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FDCA9" w14:textId="77777777" w:rsidR="003E10D4" w:rsidRDefault="008634CF">
      <w:pPr>
        <w:pStyle w:val="Title"/>
      </w:pPr>
      <w:r>
        <w:t>Change Management at Tata Steel: Practices, Programs, and Lessons for Large-Scale Transformation</w:t>
      </w:r>
    </w:p>
    <w:p w14:paraId="4F8609B7" w14:textId="77777777" w:rsidR="003E10D4" w:rsidRDefault="008634CF">
      <w:pPr>
        <w:pStyle w:val="Heading1"/>
      </w:pPr>
      <w:r>
        <w:t>Executive Summary</w:t>
      </w:r>
    </w:p>
    <w:p w14:paraId="642F8878" w14:textId="77777777" w:rsidR="003E10D4" w:rsidRDefault="008634CF">
      <w:r>
        <w:t>Tata Steel—one of the world’s largest integrated steel producers—has executed multiple waves of change to navigate cost shocks, industry cycles, digitalization, and decarbonisation. Key levers include a group-wide excellence system (TBEM), leadership-led enterprise programs, a strong safety and ethics culture, and accelerated digital and analytics adoption across plants in India and Europe. This report synthesizes publicly available evidence to outline Tata Steel’s change approach, map it to established fra</w:t>
      </w:r>
      <w:r>
        <w:t>meworks (Kotter, ADKAR), and extract actionable lessons. It also provides a practical playbook for leaders orchestrating enterprise change in heavy industry settings.</w:t>
      </w:r>
    </w:p>
    <w:p w14:paraId="0E935F61" w14:textId="77777777" w:rsidR="003E10D4" w:rsidRDefault="008634CF">
      <w:pPr>
        <w:pStyle w:val="Heading1"/>
      </w:pPr>
      <w:r>
        <w:t>Table of Contents</w:t>
      </w:r>
    </w:p>
    <w:p w14:paraId="46BEC269" w14:textId="77777777" w:rsidR="003E10D4" w:rsidRDefault="008634CF">
      <w:pPr>
        <w:pStyle w:val="ListNumber"/>
      </w:pPr>
      <w:r>
        <w:t>1. Context and Drivers of Change</w:t>
      </w:r>
    </w:p>
    <w:p w14:paraId="1F351C80" w14:textId="77777777" w:rsidR="003E10D4" w:rsidRDefault="008634CF">
      <w:pPr>
        <w:pStyle w:val="ListNumber"/>
      </w:pPr>
      <w:r>
        <w:t>2. Governance and Operating System for Change (TBEM, Code of Conduct)</w:t>
      </w:r>
    </w:p>
    <w:p w14:paraId="5393129F" w14:textId="77777777" w:rsidR="003E10D4" w:rsidRDefault="008634CF">
      <w:pPr>
        <w:pStyle w:val="ListNumber"/>
      </w:pPr>
      <w:r>
        <w:t>3. Enterprise Transformation Programs (2015–ongoing): From Crisis to Capability</w:t>
      </w:r>
    </w:p>
    <w:p w14:paraId="4C3E3979" w14:textId="77777777" w:rsidR="003E10D4" w:rsidRDefault="008634CF">
      <w:pPr>
        <w:pStyle w:val="ListNumber"/>
      </w:pPr>
      <w:r>
        <w:t>4. Digital &amp; Analytics Transformation (Industry 4.0, Lighthouse sites)</w:t>
      </w:r>
    </w:p>
    <w:p w14:paraId="0A2FBD63" w14:textId="77777777" w:rsidR="003E10D4" w:rsidRDefault="008634CF">
      <w:pPr>
        <w:pStyle w:val="ListNumber"/>
      </w:pPr>
      <w:r>
        <w:t>5. People, Safety, and Culture</w:t>
      </w:r>
    </w:p>
    <w:p w14:paraId="64813E0D" w14:textId="77777777" w:rsidR="003E10D4" w:rsidRDefault="008634CF">
      <w:pPr>
        <w:pStyle w:val="ListNumber"/>
      </w:pPr>
      <w:r>
        <w:t>6. Decarbonisation and Just Transition (India &amp; UK)</w:t>
      </w:r>
    </w:p>
    <w:p w14:paraId="4D3676AD" w14:textId="77777777" w:rsidR="003E10D4" w:rsidRDefault="008634CF">
      <w:pPr>
        <w:pStyle w:val="ListNumber"/>
      </w:pPr>
      <w:r>
        <w:t>7. Change Management Frameworks Applied (Kotter, ADKAR)</w:t>
      </w:r>
    </w:p>
    <w:p w14:paraId="3D73B1A6" w14:textId="77777777" w:rsidR="003E10D4" w:rsidRDefault="008634CF">
      <w:pPr>
        <w:pStyle w:val="ListNumber"/>
      </w:pPr>
      <w:r>
        <w:t>8. Risks, Challenges, and Mitigations</w:t>
      </w:r>
    </w:p>
    <w:p w14:paraId="1A730F3D" w14:textId="77777777" w:rsidR="003E10D4" w:rsidRDefault="008634CF">
      <w:pPr>
        <w:pStyle w:val="ListNumber"/>
      </w:pPr>
      <w:r>
        <w:t>9. Roadmap Template and KPIs</w:t>
      </w:r>
    </w:p>
    <w:p w14:paraId="4B1C5A25" w14:textId="77777777" w:rsidR="003E10D4" w:rsidRDefault="008634CF">
      <w:pPr>
        <w:pStyle w:val="ListNumber"/>
      </w:pPr>
      <w:r>
        <w:t>10. References</w:t>
      </w:r>
    </w:p>
    <w:p w14:paraId="19BB261E" w14:textId="77777777" w:rsidR="003E10D4" w:rsidRDefault="008634CF">
      <w:pPr>
        <w:pStyle w:val="Heading1"/>
      </w:pPr>
      <w:r>
        <w:t>1. Context and Drivers of Change</w:t>
      </w:r>
    </w:p>
    <w:p w14:paraId="3BB21D39" w14:textId="77777777" w:rsidR="003E10D4" w:rsidRDefault="008634CF">
      <w:r>
        <w:t>Tata Steel’s recent change agenda has been shaped by: (a) severe commodity-price and input-supply shocks (2014–2015), (b) the need to structurally lift throughput and lower cost, (c) competitive pressure to digitalise operations, and (d) climate commitments and policy shifts requiring new steelmaking routes. In 2014–2015, global steel prices fell ~30% while captive iron ore/coal access was disrupted, compressing EBITDA by ~25% and catalysing a CEO-led enterprise transformation targeting ~$1bn sustainable im</w:t>
      </w:r>
      <w:r>
        <w:t>pact in three years. Concurrently, Tata Steel has pursued digital operations and analytics at scale—</w:t>
      </w:r>
      <w:r>
        <w:lastRenderedPageBreak/>
        <w:t>earning multiple World Economic Forum “Lighthouse” recognitions—and is now executing a multi-year decarbonisation program, including an EAF transition in the UK and hydrogen/DRI trials in India.</w:t>
      </w:r>
    </w:p>
    <w:p w14:paraId="3B17E2C2" w14:textId="77777777" w:rsidR="003E10D4" w:rsidRDefault="008634CF">
      <w:pPr>
        <w:pStyle w:val="Heading1"/>
      </w:pPr>
      <w:r>
        <w:t>2. Governance and Operating System for Change</w:t>
      </w:r>
    </w:p>
    <w:p w14:paraId="1E62F828" w14:textId="77777777" w:rsidR="003E10D4" w:rsidRDefault="008634CF">
      <w:r>
        <w:rPr>
          <w:b/>
        </w:rPr>
        <w:t xml:space="preserve">Tata Business Excellence Model (TBEM). </w:t>
      </w:r>
      <w:r>
        <w:t>TBEM, adapted from the Malcolm Baldrige model, is a Tata Group assessment and improvement system linking leadership, strategy, customer focus, measurement, workforce, operations, and results. Tata Steel’s adoption of TBEM since the late 1990s institutionalised continuous improvement and periodic external assessment; it was recognised as an “Industry Leader” in the 2015 assessment year after a rigorous enterprise-wide review.</w:t>
      </w:r>
    </w:p>
    <w:p w14:paraId="55D6DB8A" w14:textId="77777777" w:rsidR="003E10D4" w:rsidRDefault="008634CF">
      <w:r>
        <w:rPr>
          <w:b/>
        </w:rPr>
        <w:t xml:space="preserve">Code of Conduct and Ethics. </w:t>
      </w:r>
      <w:r>
        <w:t>The Tata Code of Conduct (TCoC) acts as the ethical backbone, reinforcing transparency, safety, human rights, and compliance. This governance layer supports change by clarifying expected behaviours for employees and contractors across global operations.</w:t>
      </w:r>
    </w:p>
    <w:p w14:paraId="2EB12223" w14:textId="77777777" w:rsidR="003E10D4" w:rsidRDefault="008634CF">
      <w:pPr>
        <w:pStyle w:val="Heading1"/>
      </w:pPr>
      <w:r>
        <w:t>3. Enterprise Transformation Programs (2015–ongoing): From Crisis to Capability</w:t>
      </w:r>
    </w:p>
    <w:p w14:paraId="5C776CDC" w14:textId="77777777" w:rsidR="003E10D4" w:rsidRDefault="008634CF">
      <w:r>
        <w:t xml:space="preserve">Facing margin compression in 2014–2015, leadership launched a time-bound, benefits-tracked program across mines, steelmaking, and downstream mills to lift throughput, improve quality, and sustainably reduce costs. Design choices included: (i) explicitly “no one-offs”—benefits had to be structural; (ii) a central Transformation Office with daily/weekly performance dialogs; and (iii) frontline ownership via cross-functional action teams. Reported outcomes included a rapid profitability recovery and embedding </w:t>
      </w:r>
      <w:r>
        <w:t>of change capabilities that persisted beyond the initial cycle.</w:t>
      </w:r>
    </w:p>
    <w:p w14:paraId="6C980D16" w14:textId="77777777" w:rsidR="003E10D4" w:rsidRDefault="008634CF">
      <w:pPr>
        <w:pStyle w:val="Heading1"/>
      </w:pPr>
      <w:r>
        <w:t>4. Digital &amp; Analytics Transformation (Industry 4.0)</w:t>
      </w:r>
    </w:p>
    <w:p w14:paraId="203AE4AE" w14:textId="77777777" w:rsidR="003E10D4" w:rsidRDefault="008634CF">
      <w:r>
        <w:t>Tata Steel built in-house analytics and partnered externally to scale AI/ML across critical processes (e.g., secondary metallurgy superheating set-points), raising strike rates and throughput at Kalinganagar. The company’s sites at IJmuiden (NL), Kalinganagar, and Jamshedpur have been recognised by the World Economic Forum as “Lighthouse” factories, reflecting systemic deployment of Industry 4.0. A dedicated digital architecture spans data, insight, and user apps; the Tata Steel Industrial Consulting (TSIC)</w:t>
      </w:r>
      <w:r>
        <w:t xml:space="preserve"> arm showcases these capabilities.</w:t>
      </w:r>
    </w:p>
    <w:p w14:paraId="0E63990B" w14:textId="77777777" w:rsidR="003E10D4" w:rsidRDefault="008634CF">
      <w:pPr>
        <w:pStyle w:val="Heading1"/>
      </w:pPr>
      <w:r>
        <w:t>5. People, Safety, and Culture</w:t>
      </w:r>
    </w:p>
    <w:p w14:paraId="1DF2E675" w14:textId="77777777" w:rsidR="003E10D4" w:rsidRDefault="008634CF">
      <w:r>
        <w:t xml:space="preserve">Change has been underpinned by a strong safety culture (e.g., Safety Leadership Development Centre, vendor safety capability programs, and mass communication campaigns) and two-way communication with contractors and communities. Employee </w:t>
      </w:r>
      <w:r>
        <w:lastRenderedPageBreak/>
        <w:t>upskilling in analytics, widespread problem-solving (Lean/Six Sigma), and community engagement in Jamshedpur and other locations reinforce acceptance and sustainability of change.</w:t>
      </w:r>
    </w:p>
    <w:p w14:paraId="0A7FD778" w14:textId="77777777" w:rsidR="003E10D4" w:rsidRDefault="008634CF">
      <w:pPr>
        <w:pStyle w:val="Heading1"/>
      </w:pPr>
      <w:r>
        <w:t>6. Decarbonisation and Just Transition (India &amp; UK)</w:t>
      </w:r>
    </w:p>
    <w:p w14:paraId="6579DC93" w14:textId="77777777" w:rsidR="003E10D4" w:rsidRDefault="008634CF">
      <w:r>
        <w:t xml:space="preserve">Tata Steel targets net-zero by 2045 across operations. In Europe, the strategy pivots to scrap- and EAF-based steelmaking at Port Talbot with UK government support, aiming for major emissions reductions this decade. In India, where demand is expanding, Tata Steel is piloting hydrogen injection in blast furnaces, gas-based DRI, and formalising scrap supply while evaluating pathway trade-offs. Independent analyses highlight the need to reconcile capacity growth plans with the net-zero pathway by accelerating </w:t>
      </w:r>
      <w:r>
        <w:t>DR-EAF deployment and avoiding carbon lock-in.</w:t>
      </w:r>
    </w:p>
    <w:p w14:paraId="0F0FE645" w14:textId="77777777" w:rsidR="003E10D4" w:rsidRDefault="008634CF">
      <w:pPr>
        <w:pStyle w:val="Heading1"/>
      </w:pPr>
      <w:r>
        <w:t>7. Change Management Frameworks Applied</w:t>
      </w:r>
    </w:p>
    <w:p w14:paraId="7001A9FF" w14:textId="77777777" w:rsidR="003E10D4" w:rsidRDefault="008634CF">
      <w:r>
        <w:t>• Kotter’s 8 Steps — Illustrative Mapping at Tata Steel:</w:t>
      </w:r>
    </w:p>
    <w:p w14:paraId="0AE3A00A" w14:textId="77777777" w:rsidR="003E10D4" w:rsidRDefault="008634CF">
      <w:pPr>
        <w:pStyle w:val="ListBullet"/>
      </w:pPr>
      <w:r>
        <w:t>1. Create Urgency: 2014–2015 crisis and explicit $1bn target created a burning platform.</w:t>
      </w:r>
    </w:p>
    <w:p w14:paraId="597F519C" w14:textId="77777777" w:rsidR="003E10D4" w:rsidRDefault="008634CF">
      <w:pPr>
        <w:pStyle w:val="ListBullet"/>
      </w:pPr>
      <w:r>
        <w:t>2. Build a Guiding Coalition: CEO-led steering with cross-functional leaders and plant heads.</w:t>
      </w:r>
    </w:p>
    <w:p w14:paraId="046AAD6F" w14:textId="77777777" w:rsidR="003E10D4" w:rsidRDefault="008634CF">
      <w:pPr>
        <w:pStyle w:val="ListBullet"/>
      </w:pPr>
      <w:r>
        <w:t>3. Form Strategic Vision &amp; Initiatives: Throughput, quality, cost pillars; “no one-offs” principle.</w:t>
      </w:r>
    </w:p>
    <w:p w14:paraId="0B8C340C" w14:textId="77777777" w:rsidR="003E10D4" w:rsidRDefault="008634CF">
      <w:pPr>
        <w:pStyle w:val="ListBullet"/>
      </w:pPr>
      <w:r>
        <w:t>4. Enlist a Volunteer Army: Frontline action teams; analytics champions; safety ambassadors.</w:t>
      </w:r>
    </w:p>
    <w:p w14:paraId="1CB57718" w14:textId="77777777" w:rsidR="003E10D4" w:rsidRDefault="008634CF">
      <w:pPr>
        <w:pStyle w:val="ListBullet"/>
      </w:pPr>
      <w:r>
        <w:t>5. Enable Action by Removing Barriers: Central TO; rapid data access; vendor capability building.</w:t>
      </w:r>
    </w:p>
    <w:p w14:paraId="78A6992D" w14:textId="77777777" w:rsidR="003E10D4" w:rsidRDefault="008634CF">
      <w:pPr>
        <w:pStyle w:val="ListBullet"/>
      </w:pPr>
      <w:r>
        <w:t>6. Generate Short-Term Wins: Early analytics use-cases (e.g., superheating strike-rate gains).</w:t>
      </w:r>
    </w:p>
    <w:p w14:paraId="2A4F3BCD" w14:textId="77777777" w:rsidR="003E10D4" w:rsidRDefault="008634CF">
      <w:pPr>
        <w:pStyle w:val="ListBullet"/>
      </w:pPr>
      <w:r>
        <w:t>7. Sustain Acceleration: Portfolio of use-cases scaled across mills; TBEM cycles institutionalised.</w:t>
      </w:r>
    </w:p>
    <w:p w14:paraId="3CB5E30B" w14:textId="77777777" w:rsidR="003E10D4" w:rsidRDefault="008634CF">
      <w:pPr>
        <w:pStyle w:val="ListBullet"/>
      </w:pPr>
      <w:r>
        <w:t>8. Institute Change: Embedding in standards, training, performance dialogues, and audits.</w:t>
      </w:r>
    </w:p>
    <w:p w14:paraId="28D3DFFC" w14:textId="77777777" w:rsidR="003E10D4" w:rsidRDefault="008634CF">
      <w:r>
        <w:t>• ADKAR — Stakeholder Lens:</w:t>
      </w:r>
    </w:p>
    <w:p w14:paraId="634488DB" w14:textId="77777777" w:rsidR="003E10D4" w:rsidRDefault="008634CF">
      <w:pPr>
        <w:pStyle w:val="ListBullet"/>
      </w:pPr>
      <w:r>
        <w:t>Awareness: Leadership communications on competitiveness, safety, climate.</w:t>
      </w:r>
    </w:p>
    <w:p w14:paraId="5743303E" w14:textId="77777777" w:rsidR="003E10D4" w:rsidRDefault="008634CF">
      <w:pPr>
        <w:pStyle w:val="ListBullet"/>
      </w:pPr>
      <w:r>
        <w:t>Desire: Recognition, career paths in analytics/safety; community and contractor engagement.</w:t>
      </w:r>
    </w:p>
    <w:p w14:paraId="479EAFF0" w14:textId="77777777" w:rsidR="003E10D4" w:rsidRDefault="008634CF">
      <w:pPr>
        <w:pStyle w:val="ListBullet"/>
      </w:pPr>
      <w:r>
        <w:t>Knowledge: Formal upskilling in data/AI; safety leadership curricula; TBEM training.</w:t>
      </w:r>
    </w:p>
    <w:p w14:paraId="2DD055DE" w14:textId="77777777" w:rsidR="003E10D4" w:rsidRDefault="008634CF">
      <w:pPr>
        <w:pStyle w:val="ListBullet"/>
      </w:pPr>
      <w:r>
        <w:t>Ability: Tooling (dashboards, models), coaching, and vendor enablement.</w:t>
      </w:r>
    </w:p>
    <w:p w14:paraId="2C7AEAA9" w14:textId="77777777" w:rsidR="003E10D4" w:rsidRDefault="008634CF">
      <w:pPr>
        <w:pStyle w:val="ListBullet"/>
      </w:pPr>
      <w:r>
        <w:t>Reinforcement: TBEM assessments, safety campaigns, KPIs, and incentives.</w:t>
      </w:r>
    </w:p>
    <w:p w14:paraId="0289140A" w14:textId="77777777" w:rsidR="003E10D4" w:rsidRDefault="008634CF">
      <w:pPr>
        <w:pStyle w:val="Heading1"/>
      </w:pPr>
      <w:r>
        <w:t>8. Risks, Challenges, and Mitigations</w:t>
      </w:r>
    </w:p>
    <w:p w14:paraId="5FD2716A" w14:textId="77777777" w:rsidR="003E10D4" w:rsidRDefault="008634CF">
      <w:r>
        <w:rPr>
          <w:b/>
        </w:rPr>
        <w:t xml:space="preserve">Risk: </w:t>
      </w:r>
      <w:r>
        <w:t xml:space="preserve">Carbon lock-in from BF-centric capex while pursuing net zero — </w:t>
      </w:r>
      <w:r>
        <w:rPr>
          <w:b/>
        </w:rPr>
        <w:t xml:space="preserve">Mitigation: </w:t>
      </w:r>
      <w:r>
        <w:t>Stage-gate new capacity to favour DR-EAF; run “hydrogen-ready” specs; align with policy incentives.</w:t>
      </w:r>
    </w:p>
    <w:p w14:paraId="2755C8AD" w14:textId="77777777" w:rsidR="003E10D4" w:rsidRDefault="008634CF">
      <w:r>
        <w:rPr>
          <w:b/>
        </w:rPr>
        <w:t xml:space="preserve">Risk: </w:t>
      </w:r>
      <w:r>
        <w:t xml:space="preserve">Workforce disruption from technology shifts/EAF transition — </w:t>
      </w:r>
      <w:r>
        <w:rPr>
          <w:b/>
        </w:rPr>
        <w:t xml:space="preserve">Mitigation: </w:t>
      </w:r>
      <w:r>
        <w:t>Just transition planning: reskilling pathways, role redesign, social dialogue with unions/governments.</w:t>
      </w:r>
    </w:p>
    <w:p w14:paraId="2100652C" w14:textId="77777777" w:rsidR="003E10D4" w:rsidRDefault="008634CF">
      <w:r>
        <w:rPr>
          <w:b/>
        </w:rPr>
        <w:t xml:space="preserve">Risk: </w:t>
      </w:r>
      <w:r>
        <w:t xml:space="preserve">Vendor/contractor safety and capability gaps — </w:t>
      </w:r>
      <w:r>
        <w:rPr>
          <w:b/>
        </w:rPr>
        <w:t xml:space="preserve">Mitigation: </w:t>
      </w:r>
      <w:r>
        <w:t>Structured vendor capability programs; joint campaigns; consequence management.</w:t>
      </w:r>
    </w:p>
    <w:p w14:paraId="27361809" w14:textId="77777777" w:rsidR="003E10D4" w:rsidRDefault="008634CF">
      <w:r>
        <w:rPr>
          <w:b/>
        </w:rPr>
        <w:t xml:space="preserve">Risk: </w:t>
      </w:r>
      <w:r>
        <w:t xml:space="preserve">Data/AI adoption barriers (skills, trust) — </w:t>
      </w:r>
      <w:r>
        <w:rPr>
          <w:b/>
        </w:rPr>
        <w:t xml:space="preserve">Mitigation: </w:t>
      </w:r>
      <w:r>
        <w:t>Citizen-analyst programs, model governance, human-in-the-loop operations.</w:t>
      </w:r>
    </w:p>
    <w:p w14:paraId="6144DCF2" w14:textId="77777777" w:rsidR="003E10D4" w:rsidRDefault="008634CF">
      <w:r>
        <w:rPr>
          <w:b/>
        </w:rPr>
        <w:t xml:space="preserve">Risk: </w:t>
      </w:r>
      <w:r>
        <w:t xml:space="preserve">Program fatigue and value leakage — </w:t>
      </w:r>
      <w:r>
        <w:rPr>
          <w:b/>
        </w:rPr>
        <w:t xml:space="preserve">Mitigation: </w:t>
      </w:r>
      <w:r>
        <w:t>Benefits tracking, rolling wave roadmaps, independent assurance via TBEM/Deep Dives.</w:t>
      </w:r>
    </w:p>
    <w:p w14:paraId="29DD1B4A" w14:textId="77777777" w:rsidR="003E10D4" w:rsidRDefault="008634CF">
      <w:pPr>
        <w:pStyle w:val="Heading1"/>
      </w:pPr>
      <w:r>
        <w:t>9. 18–24 Month Roadmap Template &amp; KPIs</w:t>
      </w:r>
    </w:p>
    <w:p w14:paraId="226CA486" w14:textId="77777777" w:rsidR="003E10D4" w:rsidRDefault="008634CF">
      <w:pPr>
        <w:pStyle w:val="ListNumber"/>
      </w:pPr>
      <w:r>
        <w:t>Quarter 1–2: Establish Transformation Office; clarify value thesis (throughput, energy, quality); baseline safety and carbon; create portfolio of 10–15 high-impact digital and process initiatives; launch communications.</w:t>
      </w:r>
    </w:p>
    <w:p w14:paraId="3CF07CD3" w14:textId="77777777" w:rsidR="003E10D4" w:rsidRDefault="008634CF">
      <w:pPr>
        <w:pStyle w:val="ListNumber"/>
      </w:pPr>
      <w:r>
        <w:t>Quarter 3–4: Scale first-wave use-cases (e.g., metallurgy optimisation, predictive maintenance); expand upskilling; vendor safety capability; define just transition plans for affected sites.</w:t>
      </w:r>
    </w:p>
    <w:p w14:paraId="70F183D0" w14:textId="77777777" w:rsidR="003E10D4" w:rsidRDefault="008634CF">
      <w:pPr>
        <w:pStyle w:val="ListNumber"/>
      </w:pPr>
      <w:r>
        <w:t>Quarter 5–6: Invest in DR-EAF pilots or hydrogen trials per site context; integrate analytics into control rooms; external assurance via TBEM/Deep Dives; refresh pipeline and benefits targets.</w:t>
      </w:r>
    </w:p>
    <w:p w14:paraId="7C5AC89B" w14:textId="77777777" w:rsidR="003E10D4" w:rsidRDefault="008634CF">
      <w:r>
        <w:t>Suggested KPI set:</w:t>
      </w:r>
    </w:p>
    <w:p w14:paraId="41CEE0DD" w14:textId="77777777" w:rsidR="003E10D4" w:rsidRDefault="008634CF">
      <w:pPr>
        <w:pStyle w:val="ListBullet"/>
      </w:pPr>
      <w:r>
        <w:t>Throughput (heats/day, t/day) and first-pass yield</w:t>
      </w:r>
    </w:p>
    <w:p w14:paraId="3895502F" w14:textId="77777777" w:rsidR="003E10D4" w:rsidRDefault="008634CF">
      <w:pPr>
        <w:pStyle w:val="ListBullet"/>
      </w:pPr>
      <w:r>
        <w:t>Energy intensity (GJ/tcs) and CO₂ intensity (tCO₂/tcs)</w:t>
      </w:r>
    </w:p>
    <w:p w14:paraId="5331E301" w14:textId="77777777" w:rsidR="003E10D4" w:rsidRDefault="008634CF">
      <w:pPr>
        <w:pStyle w:val="ListBullet"/>
      </w:pPr>
      <w:r>
        <w:t>Safety (TRIR, high-potential incident rate), contractor safety performance</w:t>
      </w:r>
    </w:p>
    <w:p w14:paraId="3BDE8597" w14:textId="77777777" w:rsidR="003E10D4" w:rsidRDefault="008634CF">
      <w:pPr>
        <w:pStyle w:val="ListBullet"/>
      </w:pPr>
      <w:r>
        <w:t>Digital adoption (use-case strike rate, model utilization), workforce upskilled</w:t>
      </w:r>
    </w:p>
    <w:p w14:paraId="62B7BEBB" w14:textId="77777777" w:rsidR="003E10D4" w:rsidRDefault="008634CF">
      <w:pPr>
        <w:pStyle w:val="ListBullet"/>
      </w:pPr>
      <w:r>
        <w:t>Program value (EBITDA impact verified), % structural vs one-off</w:t>
      </w:r>
    </w:p>
    <w:p w14:paraId="3E1CF3B6" w14:textId="77777777" w:rsidR="003E10D4" w:rsidRDefault="008634CF">
      <w:pPr>
        <w:pStyle w:val="Heading1"/>
      </w:pPr>
      <w:r>
        <w:t>10. References (Open Sources)</w:t>
      </w:r>
    </w:p>
    <w:p w14:paraId="77BE568B" w14:textId="77777777" w:rsidR="003E10D4" w:rsidRDefault="008634CF">
      <w:pPr>
        <w:pStyle w:val="ListBullet"/>
      </w:pPr>
      <w:r>
        <w:t>Tata group newsroom: “Forging Sustainable Change at Tata Steel” (TV Narendran et al., 2020/2026 web republications).</w:t>
      </w:r>
    </w:p>
    <w:p w14:paraId="5C0B12FF" w14:textId="77777777" w:rsidR="003E10D4" w:rsidRDefault="008634CF">
      <w:pPr>
        <w:pStyle w:val="ListBullet"/>
      </w:pPr>
      <w:r>
        <w:t>BCG: “Forging Sustainable Change at Tata Steel” (April 24, 2020).</w:t>
      </w:r>
    </w:p>
    <w:p w14:paraId="2FE4AE42" w14:textId="77777777" w:rsidR="003E10D4" w:rsidRDefault="008634CF">
      <w:pPr>
        <w:pStyle w:val="ListBullet"/>
      </w:pPr>
      <w:r>
        <w:t>McKinsey case study: “How Tata Steel built its analytics capabilities” (March 8, 2021).</w:t>
      </w:r>
    </w:p>
    <w:p w14:paraId="72FDE9D9" w14:textId="77777777" w:rsidR="003E10D4" w:rsidRDefault="008634CF">
      <w:pPr>
        <w:pStyle w:val="ListBullet"/>
      </w:pPr>
      <w:r>
        <w:t>Tata Business Excellence Group (TBEM) overview and brochure.</w:t>
      </w:r>
    </w:p>
    <w:p w14:paraId="12011BCD" w14:textId="77777777" w:rsidR="003E10D4" w:rsidRDefault="008634CF">
      <w:pPr>
        <w:pStyle w:val="ListBullet"/>
      </w:pPr>
      <w:r>
        <w:t>ICMR case: Implementing TBEM in Tata Steel; Tata Steel press release on TBEM Industry Leader (2016).</w:t>
      </w:r>
    </w:p>
    <w:p w14:paraId="4F944596" w14:textId="77777777" w:rsidR="003E10D4" w:rsidRDefault="008634CF">
      <w:pPr>
        <w:pStyle w:val="ListBullet"/>
      </w:pPr>
      <w:r>
        <w:t>Tata Steel safety programs (corporate website pages).</w:t>
      </w:r>
    </w:p>
    <w:p w14:paraId="063E7B97" w14:textId="77777777" w:rsidR="003E10D4" w:rsidRDefault="008634CF">
      <w:pPr>
        <w:pStyle w:val="ListBullet"/>
      </w:pPr>
      <w:r>
        <w:t>Tata Code of Conduct (Tata group).</w:t>
      </w:r>
    </w:p>
    <w:p w14:paraId="2617F925" w14:textId="77777777" w:rsidR="003E10D4" w:rsidRDefault="008634CF">
      <w:pPr>
        <w:pStyle w:val="ListBullet"/>
      </w:pPr>
      <w:r>
        <w:t>Tata Steel annual climate report 2023–24; UK Port Talbot EAF briefing.</w:t>
      </w:r>
    </w:p>
    <w:p w14:paraId="00BDB725" w14:textId="77777777" w:rsidR="003E10D4" w:rsidRDefault="008634CF">
      <w:pPr>
        <w:pStyle w:val="ListBullet"/>
      </w:pPr>
      <w:r>
        <w:t>EUROMETAL/Kallanish summary of differing EU/India decarbonisation approaches (Feb 2026).</w:t>
      </w:r>
    </w:p>
    <w:p w14:paraId="0927AA7C" w14:textId="77777777" w:rsidR="003E10D4" w:rsidRDefault="008634CF">
      <w:pPr>
        <w:pStyle w:val="ListBullet"/>
      </w:pPr>
      <w:r>
        <w:t>Carbon Tracker: Measuring Transition – Tata Steel (Aug 2025).</w:t>
      </w:r>
    </w:p>
    <w:sectPr w:rsidR="003E10D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84689628">
    <w:abstractNumId w:val="8"/>
  </w:num>
  <w:num w:numId="2" w16cid:durableId="1911844394">
    <w:abstractNumId w:val="6"/>
  </w:num>
  <w:num w:numId="3" w16cid:durableId="581375051">
    <w:abstractNumId w:val="5"/>
  </w:num>
  <w:num w:numId="4" w16cid:durableId="335156734">
    <w:abstractNumId w:val="4"/>
  </w:num>
  <w:num w:numId="5" w16cid:durableId="409085851">
    <w:abstractNumId w:val="7"/>
  </w:num>
  <w:num w:numId="6" w16cid:durableId="1853257709">
    <w:abstractNumId w:val="3"/>
  </w:num>
  <w:num w:numId="7" w16cid:durableId="1166507727">
    <w:abstractNumId w:val="2"/>
  </w:num>
  <w:num w:numId="8" w16cid:durableId="867916829">
    <w:abstractNumId w:val="1"/>
  </w:num>
  <w:num w:numId="9" w16cid:durableId="1708605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36364"/>
    <w:rsid w:val="003E10D4"/>
    <w:rsid w:val="008634C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3D44D8"/>
  <w14:defaultImageDpi w14:val="300"/>
  <w15:docId w15:val="{201ECA08-4E6D-4114-9D3C-DF0D8CA14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1205</Words>
  <Characters>7896</Characters>
  <Application>Microsoft Office Word</Application>
  <DocSecurity>0</DocSecurity>
  <Lines>146</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Irina Neaga</cp:lastModifiedBy>
  <cp:revision>2</cp:revision>
  <dcterms:created xsi:type="dcterms:W3CDTF">2026-02-12T22:37:00Z</dcterms:created>
  <dcterms:modified xsi:type="dcterms:W3CDTF">2026-02-12T22:37:00Z</dcterms:modified>
  <cp:category/>
</cp:coreProperties>
</file>