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715D" w:rsidRDefault="00FD06E1">
      <w:r>
        <w:t>Name: Josh Haslam</w:t>
      </w:r>
    </w:p>
    <w:p w:rsidR="00FD06E1" w:rsidRDefault="00FD06E1">
      <w:r>
        <w:t xml:space="preserve">Force number: </w:t>
      </w:r>
      <w:r w:rsidR="0031594F">
        <w:t xml:space="preserve">PC </w:t>
      </w:r>
      <w:r>
        <w:t>6840</w:t>
      </w:r>
      <w:r w:rsidR="0031594F">
        <w:t xml:space="preserve"> SOUTH WALES POLICE</w:t>
      </w:r>
    </w:p>
    <w:p w:rsidR="00FD06E1" w:rsidRDefault="00FD06E1">
      <w:r>
        <w:t>Student number: 2023676.</w:t>
      </w:r>
    </w:p>
    <w:p w:rsidR="00FD06E1" w:rsidRDefault="0031594F">
      <w:r>
        <w:t xml:space="preserve">Exam 2 – 01/06/2021. </w:t>
      </w:r>
    </w:p>
    <w:p w:rsidR="00036E74" w:rsidRDefault="00FB78B1" w:rsidP="00FB78B1">
      <w:pPr>
        <w:pStyle w:val="ListParagraph"/>
        <w:numPr>
          <w:ilvl w:val="0"/>
          <w:numId w:val="1"/>
        </w:numPr>
      </w:pPr>
      <w:r>
        <w:t xml:space="preserve">A person driving mechanically propelled vehicle on a road or other public place must stop the vehicle when being required to do so by a constable or traffic officer. </w:t>
      </w:r>
    </w:p>
    <w:p w:rsidR="00FB78B1" w:rsidRDefault="00FB78B1" w:rsidP="00FB78B1">
      <w:pPr>
        <w:pStyle w:val="ListParagraph"/>
      </w:pPr>
      <w:r>
        <w:t xml:space="preserve">A person riding a cycle on a road or other public place must stop the cycle when being required to do so by a constable in uniform or a traffic officer.  If a person fails to do so they are guilty of an offence. </w:t>
      </w:r>
    </w:p>
    <w:p w:rsidR="00036E74" w:rsidRDefault="00036E74">
      <w:r>
        <w:t>2.</w:t>
      </w:r>
      <w:r w:rsidR="00FB78B1">
        <w:t xml:space="preserve">  Section 6 (4) allows for a preliminary road side test if an officer reasonably suspects a person is driving on a road or other public place whilst driving under the influence of drink and drugs and the person driving is suspected of committing a moving traffic offence. </w:t>
      </w:r>
    </w:p>
    <w:p w:rsidR="00036E74" w:rsidRDefault="00036E74">
      <w:r>
        <w:t>3.</w:t>
      </w:r>
      <w:r w:rsidR="00FB78B1">
        <w:t xml:space="preserve"> A person driving a mechanically propelled vehicle on a road or other public place without due care and attention or without reasonable consideration for other persons using the road or place is guilty of an offence. </w:t>
      </w:r>
    </w:p>
    <w:p w:rsidR="00036E74" w:rsidRDefault="00036E74">
      <w:r>
        <w:t>4.</w:t>
      </w:r>
      <w:r w:rsidR="00FB78B1">
        <w:t xml:space="preserve"> The police have powers to disrupt unlawful criminality. Ways in which policing the roads is done by section 16</w:t>
      </w:r>
      <w:r w:rsidR="00F213EC">
        <w:t xml:space="preserve">3 road traffic act 1988 where police have the powers to stop vehicles. Police also have the power under section 4 of the criminal and police evidence act to conduct and stop vehicles in specific locations to search for any witness’s to incidents and any criminals unlawfully at large. </w:t>
      </w:r>
      <w:r w:rsidR="009F7732">
        <w:t>These are</w:t>
      </w:r>
      <w:r w:rsidR="00F213EC">
        <w:t xml:space="preserve"> known as road checks. </w:t>
      </w:r>
    </w:p>
    <w:p w:rsidR="00036E74" w:rsidRDefault="00036E74">
      <w:r>
        <w:t>5.</w:t>
      </w:r>
      <w:r w:rsidR="009F7732">
        <w:t xml:space="preserve"> W</w:t>
      </w:r>
      <w:r w:rsidR="00106277">
        <w:t>here a constable has rea</w:t>
      </w:r>
      <w:r w:rsidR="009F7732">
        <w:t xml:space="preserve">sonable grounds to believe a vehicle is being driven without insurance or being driven in a manner which is causing the public alarm or distress. Or the vehicle has failed to stop. An officer has power to seize the vehicle in question. </w:t>
      </w:r>
    </w:p>
    <w:p w:rsidR="00036E74" w:rsidRDefault="00036E74">
      <w:r>
        <w:t>6.</w:t>
      </w:r>
      <w:r w:rsidR="00F213EC">
        <w:t xml:space="preserve"> Owing to the presence of a mechanically propelled vehicle on a road or other public place and accident occurs whereby: serious injury is caused to another person (other than those in the MPV) damage is caused to a vehicle, damage is caused to an animal and damage is caused to property, constructed on, fixed to, growing in or otherwise forming part of the land on a road or other place in question or land adjacent to such land. </w:t>
      </w:r>
    </w:p>
    <w:p w:rsidR="00036E74" w:rsidRDefault="00036E74">
      <w:r>
        <w:t>7.</w:t>
      </w:r>
      <w:r w:rsidR="00881B6E">
        <w:t xml:space="preserve"> A family liaison officer role is to ensure they get a victim impact statement post incident and they are available to the family to build a bond and relationship which can assist the investigation with any further information surrounding fatalities. They have a duty to safeguard and ensure the welfare is regular checked of the fatalities family along with providing support and guidance from any partner agencies working internally and externally of the police. </w:t>
      </w:r>
    </w:p>
    <w:p w:rsidR="00036E74" w:rsidRDefault="00036E74">
      <w:r>
        <w:t>8.</w:t>
      </w:r>
      <w:r w:rsidR="00F213EC">
        <w:t xml:space="preserve">  Section 170 Road Traffic Act 1988 gives responsibilities to those individuals who are involved in a road traffic collision. Individuals have the duty to stop the vehicle and provide any information to anyone who has reasonable grounds for them. Also, they must stop and stay at the scene long enough for anyone to gather details of the persons involved if they have grounds to. And finally, they have the duty to report the road traffic collision. </w:t>
      </w:r>
    </w:p>
    <w:p w:rsidR="00036E74" w:rsidRDefault="00036E74">
      <w:r>
        <w:t>9.</w:t>
      </w:r>
      <w:r w:rsidR="00F213EC">
        <w:t xml:space="preserve">  A constable has the power to enter a premises of a person reasonably believed to have been driving whilst over the prescribed limit to require the p</w:t>
      </w:r>
      <w:r w:rsidR="007E54F0">
        <w:t xml:space="preserve">erson to take any preliminary test contrary to </w:t>
      </w:r>
      <w:r w:rsidR="007E54F0">
        <w:lastRenderedPageBreak/>
        <w:t xml:space="preserve">section 6 road traffic act. They also have power to detain and arrest a person as a result of a preliminary breath test who is reasonably suspected of being over the prescribed limit. </w:t>
      </w:r>
    </w:p>
    <w:p w:rsidR="00036E74" w:rsidRDefault="00036E74">
      <w:r>
        <w:t>10.</w:t>
      </w:r>
      <w:r w:rsidR="007E54F0">
        <w:t xml:space="preserve"> A person who causes death to another person by driving a mechanically propelled vehicle dangerously on a road or other public place is guilty of an offence. </w:t>
      </w:r>
    </w:p>
    <w:p w:rsidR="00036E74" w:rsidRDefault="00036E74">
      <w:r>
        <w:t>11.</w:t>
      </w:r>
      <w:r w:rsidR="007E54F0">
        <w:t xml:space="preserve"> Section 5 Road Traffic Act 1988 - over the prescribed limit of alcohol, states national prescribed limits for alcohol in a person’s breath, blood or urine.  The national limits of alcohol in a person breath is 35 micrograms per 100ml of breath. The national limit of alcohol in a person blood is 80 milligrams per 100ml of blood and finally, the national limit of alcohol in a person urine is 107 milligrams</w:t>
      </w:r>
      <w:r w:rsidR="003A30F4">
        <w:t xml:space="preserve"> per 100ml </w:t>
      </w:r>
      <w:r w:rsidR="007E54F0">
        <w:t xml:space="preserve">urine.  Section 5A Road traffic Act 1988 – over the prescribed limit for drugs outlines </w:t>
      </w:r>
      <w:r w:rsidR="00EA3EC7">
        <w:t>national limits of</w:t>
      </w:r>
      <w:r w:rsidR="007E54F0">
        <w:t xml:space="preserve"> 2 </w:t>
      </w:r>
      <w:r w:rsidR="003A30F4">
        <w:t>milligrams</w:t>
      </w:r>
      <w:r w:rsidR="007E54F0">
        <w:t xml:space="preserve"> for cocaine, 5 </w:t>
      </w:r>
      <w:r w:rsidR="003A30F4">
        <w:t>milligrams</w:t>
      </w:r>
      <w:r w:rsidR="007E54F0">
        <w:t xml:space="preserve"> for cannabis THC</w:t>
      </w:r>
      <w:r w:rsidR="00EA3EC7">
        <w:t xml:space="preserve"> and 200 </w:t>
      </w:r>
      <w:r w:rsidR="003A30F4">
        <w:t>milligrams</w:t>
      </w:r>
      <w:r w:rsidR="00EA3EC7">
        <w:t xml:space="preserve"> for </w:t>
      </w:r>
      <w:r w:rsidR="007E54F0">
        <w:t>amphetamine</w:t>
      </w:r>
      <w:r w:rsidR="00EA3EC7">
        <w:t xml:space="preserve"> </w:t>
      </w:r>
    </w:p>
    <w:p w:rsidR="00036E74" w:rsidRDefault="00036E74">
      <w:r>
        <w:t>12.</w:t>
      </w:r>
      <w:r w:rsidR="004A5F52">
        <w:t xml:space="preserve"> </w:t>
      </w:r>
      <w:r w:rsidR="003F1E3A">
        <w:t xml:space="preserve">During suspect interviews two other people could be present. Firstly is the suspect’s solicitor who is there to legally advise the suspect and ensure the interview is conducted fairly and professional standards are met. Secondly the other person could be an appropriate adult, with the suspect if they are under the age of 18. And also for reasons under PACE code c annex E if the suspect is suffering from a mental disorder or mental disability, or doesn’t have the mental capacity to understand questions, the appropriate adult will be there not to advise the suspect but to assist and clarify any questions the suspect is being asked. </w:t>
      </w:r>
    </w:p>
    <w:p w:rsidR="004C2E80" w:rsidRDefault="00036E74">
      <w:r>
        <w:t>13.</w:t>
      </w:r>
      <w:r w:rsidR="004C2E80">
        <w:t xml:space="preserve"> The national peace model is used to ensure a professional across the board standard of interviewing and to ensure competence with interviewing procedures. The Peace model compromises of 5 different stages which an interview will work through when interviewing either a witness or suspect. </w:t>
      </w:r>
    </w:p>
    <w:p w:rsidR="00E925C7" w:rsidRDefault="004C2E80">
      <w:r>
        <w:t>The first aspect to the PEACE model framework is planning and preparation. The interviewer will plan and prepare and gather as much detail surrounding an incident from PNC and NICHE checks, house to house enquires, statements from the attending officer to be gather as much and knowledge surrounding the incident. Secondly is engage and explain. The interview should be greeting either witness or suspect</w:t>
      </w:r>
      <w:r w:rsidR="00E925C7">
        <w:t xml:space="preserve"> building a rapport</w:t>
      </w:r>
      <w:r>
        <w:t>, outlining the routin</w:t>
      </w:r>
      <w:r w:rsidR="00E925C7">
        <w:t xml:space="preserve">es of the interview, the route </w:t>
      </w:r>
      <w:r>
        <w:t xml:space="preserve">map for any questions or probing of topics and providing information and clarity to witness or suspect. </w:t>
      </w:r>
      <w:r w:rsidR="00E925C7">
        <w:t>For</w:t>
      </w:r>
      <w:r>
        <w:t xml:space="preserve"> example stating if a witness or suspect nod their head then the interviewer for the record of the tape will verbally make a note of it. </w:t>
      </w:r>
      <w:r w:rsidR="00E925C7">
        <w:t xml:space="preserve">Thirdly is account, clarification and challenge. The interviewer will allow the suspect or witness to give their personal statement of the incident. Then the interviewer will select topics from that statement and probe for more information with open questions, closed question and will summaries each topic to ensure both witness and suspect is aware of the information being given. If interviewing a suspect the interviewer will incorporate the police agenda and challenge the </w:t>
      </w:r>
      <w:r w:rsidR="00D629F3">
        <w:t>suspect’s</w:t>
      </w:r>
      <w:r w:rsidR="00E925C7">
        <w:t xml:space="preserve"> statement based on known facts and evidence the interview has gathered.  Conclusion is the next stage of the framework. The interview will ensure all relevant questions are asked from all parties and will conclude the interview in a professional manner summarising all that was discussed to ensure clarity and understanding from the witness and suspect. Lastly is evaluation. Post interview the interviewer will evaluate and cross examine statements given from either witness or suspect and identify any inconsistences will any statements or answers to questions and can also follow up on any new information provided during the interview. The interviewer will review and re asses where the investigation will go and the required parties in need of the information provided. </w:t>
      </w:r>
    </w:p>
    <w:p w:rsidR="004A5F52" w:rsidRDefault="00036E74">
      <w:r>
        <w:lastRenderedPageBreak/>
        <w:t>14.</w:t>
      </w:r>
      <w:r w:rsidR="004A5F52">
        <w:t xml:space="preserve"> A person (a) commits an offence if they: repeatedly or continuously engage in behaviour towards another (b) that is controlling or coercive. At the time of the behaviour (A) and (b) are personally connected. The behaviour has a serious effect on (b) and (a) knows or ought to know the behaviour has a serious effect on (b) </w:t>
      </w:r>
    </w:p>
    <w:p w:rsidR="00036E74" w:rsidRDefault="00036E74">
      <w:r>
        <w:t>15.</w:t>
      </w:r>
      <w:r w:rsidR="003E2BB0">
        <w:t xml:space="preserve"> Coercive control is a form of domestic abuse, it is vital ensure victims of manipulation, deceit, harassment, physical, emotional, psychological and financial abuse are identified and are given the correct help and assistance they need. For every incident of coercive control a public protection notice and DASH risk model will be completed to update partner agencies on the level or risk the victim is under, along with the specific measures to put in place to safeguard that victim depending on if they are a standard, medium or high risk. </w:t>
      </w:r>
    </w:p>
    <w:p w:rsidR="00036E74" w:rsidRDefault="00036E74">
      <w:r>
        <w:t>16.</w:t>
      </w:r>
      <w:r w:rsidR="003E2BB0">
        <w:t xml:space="preserve"> Section 4</w:t>
      </w:r>
      <w:r w:rsidR="001170E1">
        <w:t xml:space="preserve">6 of the Children Act </w:t>
      </w:r>
      <w:r w:rsidR="00FC0786">
        <w:t xml:space="preserve">1989 </w:t>
      </w:r>
      <w:r w:rsidR="001170E1">
        <w:t xml:space="preserve">give police the powers to remove children to suitable accommodation, this is known as police protection order. If a constable has reasonable cause to believe a child would otherwise be likely to suffer harm, they may remove the child to suitable accommodation to keep them there, or take such steps as are reasonable to ensure the child’s removal from any hospital or other place in which they are being accommodated is prevented. </w:t>
      </w:r>
      <w:r w:rsidR="00FC0786">
        <w:t xml:space="preserve"> T</w:t>
      </w:r>
      <w:r w:rsidR="00F75369">
        <w:t xml:space="preserve">he </w:t>
      </w:r>
      <w:r w:rsidR="00FC0786">
        <w:t xml:space="preserve">police protection order allows the child to be removed to suitable accommodation such as a children’s home or foster care; a police station is the last resort. A public protection order is only in place for 72 hours and must be authorised by an inspector and </w:t>
      </w:r>
      <w:r w:rsidR="00F75369">
        <w:t xml:space="preserve">is authorised and </w:t>
      </w:r>
      <w:r w:rsidR="00AB0E21">
        <w:t>checked from</w:t>
      </w:r>
      <w:r w:rsidR="00F75369">
        <w:t xml:space="preserve"> the lead AO. </w:t>
      </w:r>
      <w:r w:rsidR="00AB0E21">
        <w:t xml:space="preserve">Ann officer must deem the child likely to suffer serious harm to their physical or psychological development. </w:t>
      </w:r>
    </w:p>
    <w:p w:rsidR="00036E74" w:rsidRDefault="00036E74">
      <w:r>
        <w:t>17.</w:t>
      </w:r>
      <w:r w:rsidR="00FE32CF">
        <w:t xml:space="preserve"> Where a person over 16 years of age having responsibility for a child under 16 wilfully assaults, ill-treats, neglects, abandons, or exposes the child in a manner which is likely to cause unnecessary suffering or injury to health.  </w:t>
      </w:r>
    </w:p>
    <w:p w:rsidR="00036E74" w:rsidRDefault="00036E74">
      <w:r>
        <w:t>18.</w:t>
      </w:r>
      <w:r w:rsidR="0000062C">
        <w:t xml:space="preserve">  The Dash model should be used for every domestic abuse, stalking, harassment and honour based abuse. This model helps frontline practitioners identify victims of serious risk or harm from the types of abuse mentioned above and allows for dangerous perpetrators to be identified. The risk model identifies victims of the highest risk of domestic abuse to be referred to the Multi Agency Risk Assessment Conference to ensure the correct safeguarding measures are put in place for the victim. </w:t>
      </w:r>
    </w:p>
    <w:p w:rsidR="00036E74" w:rsidRDefault="00036E74">
      <w:r>
        <w:t>19.</w:t>
      </w:r>
      <w:r w:rsidR="005D0355">
        <w:t xml:space="preserve"> A Public Protection notice must be filled out for every domestic abuse, stalking, harassment and honour based abuse.  It assists by updating partner agencies of the different levels of risk a victim will be subjected to depending on their responses to a set of questions. The victim will be asked 29 questions within the public protection notice, 18 of the questions are high risk questions to allow constables and partner agencies to identify a victim’s is standard, medium or high risk to the perpetrator. All high risk public protection notices will be referred to the Multi Agency Risk Assessment Conference. </w:t>
      </w:r>
    </w:p>
    <w:p w:rsidR="00036E74" w:rsidRDefault="00036E74">
      <w:r>
        <w:t>20.</w:t>
      </w:r>
      <w:r w:rsidR="00104D86">
        <w:t xml:space="preserve"> If an officer has reasonable grounds to believe a victim has been subject to violence, threats of violence or assault they can apply for domestic violence protection notice which gives emergency relief to a victim for 48 hours. An officer will complete the relevant DVPN which will include prohibitions against the perpetrator. For example, if the perpetrator and victim are living together, such prohibitions will remove the perpetrator from the dwelling, prevent the perpetrator molesting the victim, prevent the perpetrator evicting the victim and prevent the perpetrator from coming within a certain distance of the victim. An officer will complete the relevant DVPN form which has to be authorised by a superintendent and must state how long the prohibitions will be in place for as there is no power to detain the perpetrator. Once the DVPN has been authorised then it will be </w:t>
      </w:r>
      <w:r w:rsidR="00104D86">
        <w:lastRenderedPageBreak/>
        <w:t xml:space="preserve">treated as a summons meaning, a constable will hand the report to attend court in person to the perpetrator along with the prohibitions for 48 hours. The 48 hours victim relief starts as soon as the perpetrator has been given the report for summons. </w:t>
      </w:r>
    </w:p>
    <w:p w:rsidR="00036E74" w:rsidRDefault="00036E74">
      <w:r>
        <w:t>21.</w:t>
      </w:r>
      <w:r w:rsidR="00FF068F">
        <w:t xml:space="preserve"> Child sex exploitation is a form of a child abuse. It occurs when an individual or group take advantage of an imbalance of power to coerce, manipulate or deceive a child or young person under 18 into sexual activity. In exchange for something the victim wants or needs or the financial advantage or increased status of the perpetrator or facilitator. The victim may have been sexually exploited even if the sexual activity appeared consensual. </w:t>
      </w:r>
    </w:p>
    <w:p w:rsidR="00036E74" w:rsidRDefault="00036E74">
      <w:r>
        <w:t>22.</w:t>
      </w:r>
      <w:r w:rsidR="00DE0658">
        <w:t xml:space="preserve"> The Child Sexual Offender Disclosure scheme allows any parent or carer to request disclosure on a certain individuals past child sex offences. It ensures continuity and safeguarding to a parent or carer of a child. The request must be made at the police station the information disclosed must only be between the requesting person and the agency providing the information.</w:t>
      </w:r>
    </w:p>
    <w:p w:rsidR="00036E74" w:rsidRDefault="00036E74">
      <w:r>
        <w:t>23.</w:t>
      </w:r>
      <w:r w:rsidR="00DE0658">
        <w:t xml:space="preserve"> Evidential presumptions are one of two statutory</w:t>
      </w:r>
      <w:r w:rsidR="00F91864">
        <w:t xml:space="preserve"> presumptions made by a court to establish consent and the absence of it relating to offences of rape, sexual assault by penetration, sexual assault by touching and causing or engaging in sexual activity without consent. Section 75 (a) outlines if it is proved in court, the defendant did the sexual act, any of the specified circumstances existed and the defendant knew any of the specified circumstances existed, then the court will presume consent was absent. Section 75 (b) outlines the circumstances of the evidential presumption that exist which are proved in court and are:  fear and violence, unlawful detention, unconsciousness, inn ability to communicate due to physical disability and administered a substance without consent. If the circumstances exist then the court will presume consent was absent. </w:t>
      </w:r>
    </w:p>
    <w:p w:rsidR="00036E74" w:rsidRDefault="00036E74">
      <w:r>
        <w:t>24.</w:t>
      </w:r>
      <w:r w:rsidR="00C62DB0">
        <w:t xml:space="preserve"> To acquit the innocent and prosecute the guilty. The ensure the trial is conducted fairly and in line with article 6 of the human rights act – right to fair trial. To decide if there is enough evidence to prosecute and whether it is in the publics best interest for the case to go to court.  </w:t>
      </w:r>
    </w:p>
    <w:p w:rsidR="00036E74" w:rsidRDefault="00036E74">
      <w:r>
        <w:t>25.</w:t>
      </w:r>
      <w:r w:rsidR="0072548B">
        <w:t xml:space="preserve"> The first stage of the prosecution is for the courts to deem that there is enough sufficient evidence to prosecute the defendant at court. And secondly the court must decide if it i</w:t>
      </w:r>
      <w:r w:rsidR="003A30F4">
        <w:t>s in the</w:t>
      </w:r>
      <w:r w:rsidR="00FF601D">
        <w:t xml:space="preserve"> </w:t>
      </w:r>
      <w:bookmarkStart w:id="0" w:name="_GoBack"/>
      <w:bookmarkEnd w:id="0"/>
      <w:r w:rsidR="00A1231A">
        <w:t xml:space="preserve">public’s best interest </w:t>
      </w:r>
      <w:r w:rsidR="0072548B">
        <w:t xml:space="preserve">for the case to go to court. </w:t>
      </w:r>
    </w:p>
    <w:p w:rsidR="00036E74" w:rsidRDefault="00036E74"/>
    <w:sectPr w:rsidR="00036E74" w:rsidSect="00FD06E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54C4" w:rsidRDefault="004554C4" w:rsidP="00FD06E1">
      <w:pPr>
        <w:spacing w:after="0" w:line="240" w:lineRule="auto"/>
      </w:pPr>
      <w:r>
        <w:separator/>
      </w:r>
    </w:p>
  </w:endnote>
  <w:endnote w:type="continuationSeparator" w:id="0">
    <w:p w:rsidR="004554C4" w:rsidRDefault="004554C4" w:rsidP="00FD0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E74" w:rsidRDefault="00591AF1" w:rsidP="00591AF1">
    <w:pPr>
      <w:pStyle w:val="Footer"/>
      <w:rPr>
        <w:color w:val="000000"/>
        <w:sz w:val="17"/>
      </w:rPr>
    </w:pPr>
    <w:bookmarkStart w:id="3" w:name="TITUS1FooterEvenPages"/>
    <w:r>
      <w:rPr>
        <w:color w:val="000000"/>
        <w:sz w:val="17"/>
      </w:rPr>
      <w:t> </w:t>
    </w:r>
  </w:p>
  <w:bookmarkEnd w:id="3"/>
  <w:p w:rsidR="00036E74" w:rsidRDefault="00036E74" w:rsidP="00036E74">
    <w:pPr>
      <w:pStyle w:val="Footer"/>
    </w:pPr>
  </w:p>
  <w:p w:rsidR="00FD06E1" w:rsidRDefault="00FD06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6E1" w:rsidRDefault="00591AF1" w:rsidP="00591AF1">
    <w:pPr>
      <w:pStyle w:val="Footer"/>
      <w:rPr>
        <w:color w:val="000000"/>
        <w:sz w:val="17"/>
      </w:rPr>
    </w:pPr>
    <w:bookmarkStart w:id="4" w:name="TITUS1FooterPrimary"/>
    <w:r>
      <w:rPr>
        <w:color w:val="000000"/>
        <w:sz w:val="17"/>
      </w:rPr>
      <w:t> </w:t>
    </w:r>
  </w:p>
  <w:bookmarkEnd w:id="4"/>
  <w:p w:rsidR="00FD06E1" w:rsidRDefault="00FD06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6E1" w:rsidRDefault="00591AF1" w:rsidP="00591AF1">
    <w:pPr>
      <w:pStyle w:val="Footer"/>
      <w:rPr>
        <w:color w:val="000000"/>
        <w:sz w:val="17"/>
      </w:rPr>
    </w:pPr>
    <w:bookmarkStart w:id="6" w:name="TITUS1FooterFirstPage"/>
    <w:r>
      <w:rPr>
        <w:color w:val="000000"/>
        <w:sz w:val="17"/>
      </w:rPr>
      <w:t> </w:t>
    </w:r>
  </w:p>
  <w:bookmarkEnd w:id="6"/>
  <w:p w:rsidR="00FD06E1" w:rsidRDefault="00FD06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54C4" w:rsidRDefault="004554C4" w:rsidP="00FD06E1">
      <w:pPr>
        <w:spacing w:after="0" w:line="240" w:lineRule="auto"/>
      </w:pPr>
      <w:r>
        <w:separator/>
      </w:r>
    </w:p>
  </w:footnote>
  <w:footnote w:type="continuationSeparator" w:id="0">
    <w:p w:rsidR="004554C4" w:rsidRDefault="004554C4" w:rsidP="00FD06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E74" w:rsidRDefault="00591AF1" w:rsidP="00591AF1">
    <w:pPr>
      <w:pStyle w:val="Header"/>
      <w:rPr>
        <w:color w:val="000000"/>
        <w:sz w:val="17"/>
      </w:rPr>
    </w:pPr>
    <w:bookmarkStart w:id="1" w:name="TITUS1HeaderEvenPages"/>
    <w:r>
      <w:rPr>
        <w:color w:val="000000"/>
        <w:sz w:val="17"/>
      </w:rPr>
      <w:t> </w:t>
    </w:r>
  </w:p>
  <w:bookmarkEnd w:id="1"/>
  <w:p w:rsidR="00036E74" w:rsidRDefault="00036E74" w:rsidP="00036E74">
    <w:pPr>
      <w:pStyle w:val="Header"/>
    </w:pPr>
  </w:p>
  <w:p w:rsidR="00FD06E1" w:rsidRDefault="00FD06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6E1" w:rsidRDefault="00591AF1" w:rsidP="00591AF1">
    <w:pPr>
      <w:pStyle w:val="Header"/>
      <w:rPr>
        <w:color w:val="000000"/>
        <w:sz w:val="17"/>
      </w:rPr>
    </w:pPr>
    <w:bookmarkStart w:id="2" w:name="TITUS1HeaderPrimary"/>
    <w:r>
      <w:rPr>
        <w:color w:val="000000"/>
        <w:sz w:val="17"/>
      </w:rPr>
      <w:t> </w:t>
    </w:r>
  </w:p>
  <w:bookmarkEnd w:id="2"/>
  <w:p w:rsidR="00FD06E1" w:rsidRDefault="00FD06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6E1" w:rsidRDefault="00591AF1" w:rsidP="00591AF1">
    <w:pPr>
      <w:pStyle w:val="Header"/>
      <w:rPr>
        <w:color w:val="000000"/>
        <w:sz w:val="17"/>
      </w:rPr>
    </w:pPr>
    <w:bookmarkStart w:id="5" w:name="TITUS1HeaderFirstPage"/>
    <w:r>
      <w:rPr>
        <w:color w:val="000000"/>
        <w:sz w:val="17"/>
      </w:rPr>
      <w:t> </w:t>
    </w:r>
  </w:p>
  <w:bookmarkEnd w:id="5"/>
  <w:p w:rsidR="00FD06E1" w:rsidRDefault="00FD06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561B9"/>
    <w:multiLevelType w:val="hybridMultilevel"/>
    <w:tmpl w:val="401E16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6E1"/>
    <w:rsid w:val="0000062C"/>
    <w:rsid w:val="00036E74"/>
    <w:rsid w:val="00104D86"/>
    <w:rsid w:val="00106277"/>
    <w:rsid w:val="001170E1"/>
    <w:rsid w:val="00122FFF"/>
    <w:rsid w:val="0012715D"/>
    <w:rsid w:val="0031594F"/>
    <w:rsid w:val="003A30F4"/>
    <w:rsid w:val="003E2BB0"/>
    <w:rsid w:val="003F1E3A"/>
    <w:rsid w:val="004554C4"/>
    <w:rsid w:val="004817F0"/>
    <w:rsid w:val="004A5F52"/>
    <w:rsid w:val="004C2E80"/>
    <w:rsid w:val="00591AF1"/>
    <w:rsid w:val="005D0355"/>
    <w:rsid w:val="00724162"/>
    <w:rsid w:val="0072548B"/>
    <w:rsid w:val="007E54F0"/>
    <w:rsid w:val="00881B6E"/>
    <w:rsid w:val="00933D32"/>
    <w:rsid w:val="009F3199"/>
    <w:rsid w:val="009F7732"/>
    <w:rsid w:val="00A1231A"/>
    <w:rsid w:val="00AB0E21"/>
    <w:rsid w:val="00C62DB0"/>
    <w:rsid w:val="00CE78C8"/>
    <w:rsid w:val="00D629F3"/>
    <w:rsid w:val="00DE0658"/>
    <w:rsid w:val="00E925C7"/>
    <w:rsid w:val="00EA3EC7"/>
    <w:rsid w:val="00F213EC"/>
    <w:rsid w:val="00F75369"/>
    <w:rsid w:val="00F91864"/>
    <w:rsid w:val="00FB78B1"/>
    <w:rsid w:val="00FC0786"/>
    <w:rsid w:val="00FC1CE6"/>
    <w:rsid w:val="00FD06E1"/>
    <w:rsid w:val="00FE32CF"/>
    <w:rsid w:val="00FF068F"/>
    <w:rsid w:val="00FF6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E0CA91"/>
  <w15:chartTrackingRefBased/>
  <w15:docId w15:val="{F6901329-B23B-41ED-A3AA-E8DF778C8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6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6E1"/>
  </w:style>
  <w:style w:type="paragraph" w:styleId="Footer">
    <w:name w:val="footer"/>
    <w:basedOn w:val="Normal"/>
    <w:link w:val="FooterChar"/>
    <w:uiPriority w:val="99"/>
    <w:unhideWhenUsed/>
    <w:rsid w:val="00FD06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6E1"/>
  </w:style>
  <w:style w:type="paragraph" w:styleId="ListParagraph">
    <w:name w:val="List Paragraph"/>
    <w:basedOn w:val="Normal"/>
    <w:uiPriority w:val="34"/>
    <w:qFormat/>
    <w:rsid w:val="00FB7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4</Pages>
  <Words>2031</Words>
  <Characters>11580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Haslam,Josh swp6840</dc:creator>
  <cp:keywords/>
  <dc:description/>
  <cp:lastModifiedBy>Haslam,Josh swp6840</cp:lastModifiedBy>
  <cp:revision>34</cp:revision>
  <dcterms:created xsi:type="dcterms:W3CDTF">2021-06-01T07:14:00Z</dcterms:created>
  <dcterms:modified xsi:type="dcterms:W3CDTF">2021-06-01T10:12:00Z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96dce8b1-59ca-4951-b4db-6ce50a99d14c</vt:lpwstr>
  </property>
  <property fmtid="{D5CDD505-2E9C-101B-9397-08002B2CF9AE}" pid="3" name="Classification">
    <vt:lpwstr>OFFICIAL</vt:lpwstr>
  </property>
  <property fmtid="{D5CDD505-2E9C-101B-9397-08002B2CF9AE}" pid="4" name="Visibility">
    <vt:lpwstr>NOT VISIBLE</vt:lpwstr>
  </property>
</Properties>
</file>