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624272532"/>
        <w:docPartObj>
          <w:docPartGallery w:val="Cover Pages"/>
          <w:docPartUnique/>
        </w:docPartObj>
      </w:sdtPr>
      <w:sdtContent>
        <w:p w14:paraId="3C429786" w14:textId="43A7ACBD" w:rsidR="00DA0FDB" w:rsidRPr="002B2ACC" w:rsidRDefault="00DA0FDB">
          <w:pPr>
            <w:rPr>
              <w:rFonts w:ascii="Arial" w:hAnsi="Arial" w:cs="Arial"/>
              <w:sz w:val="24"/>
              <w:szCs w:val="24"/>
            </w:rPr>
          </w:pPr>
        </w:p>
        <w:p w14:paraId="6A2F6523" w14:textId="3D29D9A0" w:rsidR="00DA0FDB" w:rsidRPr="002B2ACC" w:rsidRDefault="00DA0FDB">
          <w:pPr>
            <w:rPr>
              <w:rFonts w:ascii="Arial" w:hAnsi="Arial" w:cs="Arial"/>
              <w:sz w:val="24"/>
              <w:szCs w:val="24"/>
            </w:rPr>
          </w:pPr>
          <w:r w:rsidRPr="002B2ACC">
            <w:rPr>
              <w:rFonts w:ascii="Arial" w:hAnsi="Arial" w:cs="Arial"/>
              <w:noProof/>
              <w:sz w:val="24"/>
              <w:szCs w:val="24"/>
            </w:rPr>
            <mc:AlternateContent>
              <mc:Choice Requires="wpg">
                <w:drawing>
                  <wp:anchor distT="0" distB="0" distL="114300" distR="114300" simplePos="0" relativeHeight="251659264" behindDoc="1" locked="0" layoutInCell="1" allowOverlap="1" wp14:anchorId="7B03D26F" wp14:editId="5CACF2A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9930CAB" w14:textId="2CB12E65" w:rsidR="00DA0FDB"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52B36">
                                        <w:rPr>
                                          <w:color w:val="FFFFFF" w:themeColor="background1"/>
                                          <w:sz w:val="72"/>
                                          <w:szCs w:val="72"/>
                                        </w:rPr>
                                        <w:t xml:space="preserve">A Critical Analysis of the Theoretical Perspectives of </w:t>
                                      </w:r>
                                    </w:sdtContent>
                                  </w:sdt>
                                  <w:r w:rsidR="00DA0FDB">
                                    <w:rPr>
                                      <w:color w:val="FFFFFF" w:themeColor="background1"/>
                                      <w:sz w:val="72"/>
                                      <w:szCs w:val="72"/>
                                    </w:rPr>
                                    <w:t>Leadership at a Strategic Level Within the Police</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B03D26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9930CAB" w14:textId="2CB12E65" w:rsidR="00DA0FDB"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52B36">
                                  <w:rPr>
                                    <w:color w:val="FFFFFF" w:themeColor="background1"/>
                                    <w:sz w:val="72"/>
                                    <w:szCs w:val="72"/>
                                  </w:rPr>
                                  <w:t xml:space="preserve">A Critical Analysis of the Theoretical Perspectives of </w:t>
                                </w:r>
                              </w:sdtContent>
                            </w:sdt>
                            <w:r w:rsidR="00DA0FDB">
                              <w:rPr>
                                <w:color w:val="FFFFFF" w:themeColor="background1"/>
                                <w:sz w:val="72"/>
                                <w:szCs w:val="72"/>
                              </w:rPr>
                              <w:t>Leadership at a Strategic Level Within the Police</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2B2ACC">
            <w:rPr>
              <w:rFonts w:ascii="Arial" w:hAnsi="Arial" w:cs="Arial"/>
              <w:noProof/>
              <w:sz w:val="24"/>
              <w:szCs w:val="24"/>
            </w:rPr>
            <mc:AlternateContent>
              <mc:Choice Requires="wps">
                <w:drawing>
                  <wp:anchor distT="0" distB="0" distL="114300" distR="114300" simplePos="0" relativeHeight="251662336" behindDoc="0" locked="0" layoutInCell="1" allowOverlap="1" wp14:anchorId="71E67E2F" wp14:editId="3283B8C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FB6F4" w14:textId="7089384A" w:rsidR="00DA0FDB" w:rsidRPr="00DA0FDB" w:rsidRDefault="00DA0FDB">
                                <w:pPr>
                                  <w:pStyle w:val="NoSpacing"/>
                                  <w:rPr>
                                    <w:color w:val="7F7F7F" w:themeColor="text1" w:themeTint="80"/>
                                    <w:sz w:val="18"/>
                                    <w:szCs w:val="18"/>
                                    <w:lang w:val="en-GB"/>
                                  </w:rPr>
                                </w:pPr>
                                <w:r>
                                  <w:rPr>
                                    <w:caps/>
                                    <w:color w:val="7F7F7F" w:themeColor="text1" w:themeTint="80"/>
                                    <w:sz w:val="18"/>
                                    <w:szCs w:val="18"/>
                                    <w:lang w:val="en-GB"/>
                                  </w:rPr>
                                  <w:t>Rachel smith                                                                                                              11</w:t>
                                </w:r>
                                <w:r w:rsidRPr="00DA0FDB">
                                  <w:rPr>
                                    <w:caps/>
                                    <w:color w:val="7F7F7F" w:themeColor="text1" w:themeTint="80"/>
                                    <w:sz w:val="18"/>
                                    <w:szCs w:val="18"/>
                                    <w:vertAlign w:val="superscript"/>
                                    <w:lang w:val="en-GB"/>
                                  </w:rPr>
                                  <w:t>th</w:t>
                                </w:r>
                                <w:r>
                                  <w:rPr>
                                    <w:caps/>
                                    <w:color w:val="7F7F7F" w:themeColor="text1" w:themeTint="80"/>
                                    <w:sz w:val="18"/>
                                    <w:szCs w:val="18"/>
                                    <w:lang w:val="en-GB"/>
                                  </w:rPr>
                                  <w:t xml:space="preserve"> september 2022</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1E67E2F"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89FB6F4" w14:textId="7089384A" w:rsidR="00DA0FDB" w:rsidRPr="00DA0FDB" w:rsidRDefault="00DA0FDB">
                          <w:pPr>
                            <w:pStyle w:val="NoSpacing"/>
                            <w:rPr>
                              <w:color w:val="7F7F7F" w:themeColor="text1" w:themeTint="80"/>
                              <w:sz w:val="18"/>
                              <w:szCs w:val="18"/>
                              <w:lang w:val="en-GB"/>
                            </w:rPr>
                          </w:pPr>
                          <w:r>
                            <w:rPr>
                              <w:caps/>
                              <w:color w:val="7F7F7F" w:themeColor="text1" w:themeTint="80"/>
                              <w:sz w:val="18"/>
                              <w:szCs w:val="18"/>
                              <w:lang w:val="en-GB"/>
                            </w:rPr>
                            <w:t>Rachel smith                                                                                                              11</w:t>
                          </w:r>
                          <w:r w:rsidRPr="00DA0FDB">
                            <w:rPr>
                              <w:caps/>
                              <w:color w:val="7F7F7F" w:themeColor="text1" w:themeTint="80"/>
                              <w:sz w:val="18"/>
                              <w:szCs w:val="18"/>
                              <w:vertAlign w:val="superscript"/>
                              <w:lang w:val="en-GB"/>
                            </w:rPr>
                            <w:t>th</w:t>
                          </w:r>
                          <w:r>
                            <w:rPr>
                              <w:caps/>
                              <w:color w:val="7F7F7F" w:themeColor="text1" w:themeTint="80"/>
                              <w:sz w:val="18"/>
                              <w:szCs w:val="18"/>
                              <w:lang w:val="en-GB"/>
                            </w:rPr>
                            <w:t xml:space="preserve"> september 2022</w:t>
                          </w:r>
                        </w:p>
                      </w:txbxContent>
                    </v:textbox>
                    <w10:wrap type="square" anchorx="page" anchory="margin"/>
                  </v:shape>
                </w:pict>
              </mc:Fallback>
            </mc:AlternateContent>
          </w:r>
          <w:r w:rsidRPr="002B2ACC">
            <w:rPr>
              <w:rFonts w:ascii="Arial" w:hAnsi="Arial" w:cs="Arial"/>
              <w:noProof/>
              <w:sz w:val="24"/>
              <w:szCs w:val="24"/>
            </w:rPr>
            <mc:AlternateContent>
              <mc:Choice Requires="wps">
                <w:drawing>
                  <wp:anchor distT="0" distB="0" distL="114300" distR="114300" simplePos="0" relativeHeight="251661312" behindDoc="0" locked="0" layoutInCell="1" allowOverlap="1" wp14:anchorId="02546CC2" wp14:editId="7BDD065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5AD60BE" w14:textId="08B6EF82" w:rsidR="00DA0FDB" w:rsidRDefault="00DA0FDB">
                                    <w:pPr>
                                      <w:pStyle w:val="NoSpacing"/>
                                      <w:spacing w:before="40" w:after="40"/>
                                      <w:rPr>
                                        <w:caps/>
                                        <w:color w:val="4472C4" w:themeColor="accent1"/>
                                        <w:sz w:val="28"/>
                                        <w:szCs w:val="28"/>
                                      </w:rPr>
                                    </w:pPr>
                                    <w:r>
                                      <w:rPr>
                                        <w:caps/>
                                        <w:color w:val="4472C4" w:themeColor="accent1"/>
                                        <w:sz w:val="28"/>
                                        <w:szCs w:val="28"/>
                                      </w:rPr>
                                      <w:t>BMPL6004</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7652C45" w14:textId="7587C6E9" w:rsidR="00DA0FDB" w:rsidRDefault="00DA0FDB">
                                    <w:pPr>
                                      <w:pStyle w:val="NoSpacing"/>
                                      <w:spacing w:before="40" w:after="40"/>
                                      <w:rPr>
                                        <w:caps/>
                                        <w:color w:val="5B9BD5" w:themeColor="accent5"/>
                                        <w:sz w:val="24"/>
                                        <w:szCs w:val="24"/>
                                      </w:rPr>
                                    </w:pPr>
                                    <w:r>
                                      <w:rPr>
                                        <w:caps/>
                                        <w:color w:val="5B9BD5" w:themeColor="accent5"/>
                                        <w:sz w:val="24"/>
                                        <w:szCs w:val="24"/>
                                      </w:rPr>
                                      <w:t>Daniel Jones (2008078)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2546CC2"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5AD60BE" w14:textId="08B6EF82" w:rsidR="00DA0FDB" w:rsidRDefault="00DA0FDB">
                              <w:pPr>
                                <w:pStyle w:val="NoSpacing"/>
                                <w:spacing w:before="40" w:after="40"/>
                                <w:rPr>
                                  <w:caps/>
                                  <w:color w:val="4472C4" w:themeColor="accent1"/>
                                  <w:sz w:val="28"/>
                                  <w:szCs w:val="28"/>
                                </w:rPr>
                              </w:pPr>
                              <w:r>
                                <w:rPr>
                                  <w:caps/>
                                  <w:color w:val="4472C4" w:themeColor="accent1"/>
                                  <w:sz w:val="28"/>
                                  <w:szCs w:val="28"/>
                                </w:rPr>
                                <w:t>BMPL6004</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7652C45" w14:textId="7587C6E9" w:rsidR="00DA0FDB" w:rsidRDefault="00DA0FDB">
                              <w:pPr>
                                <w:pStyle w:val="NoSpacing"/>
                                <w:spacing w:before="40" w:after="40"/>
                                <w:rPr>
                                  <w:caps/>
                                  <w:color w:val="5B9BD5" w:themeColor="accent5"/>
                                  <w:sz w:val="24"/>
                                  <w:szCs w:val="24"/>
                                </w:rPr>
                              </w:pPr>
                              <w:r>
                                <w:rPr>
                                  <w:caps/>
                                  <w:color w:val="5B9BD5" w:themeColor="accent5"/>
                                  <w:sz w:val="24"/>
                                  <w:szCs w:val="24"/>
                                </w:rPr>
                                <w:t>Daniel Jones (2008078)</w:t>
                              </w:r>
                            </w:p>
                          </w:sdtContent>
                        </w:sdt>
                      </w:txbxContent>
                    </v:textbox>
                    <w10:wrap type="square" anchorx="page" anchory="page"/>
                  </v:shape>
                </w:pict>
              </mc:Fallback>
            </mc:AlternateContent>
          </w:r>
          <w:r w:rsidRPr="002B2ACC">
            <w:rPr>
              <w:rFonts w:ascii="Arial" w:hAnsi="Arial" w:cs="Arial"/>
              <w:noProof/>
              <w:sz w:val="24"/>
              <w:szCs w:val="24"/>
            </w:rPr>
            <mc:AlternateContent>
              <mc:Choice Requires="wps">
                <w:drawing>
                  <wp:anchor distT="0" distB="0" distL="114300" distR="114300" simplePos="0" relativeHeight="251660288" behindDoc="0" locked="0" layoutInCell="1" allowOverlap="1" wp14:anchorId="694A57AF" wp14:editId="6412B80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56853F04" w14:textId="7480FC81" w:rsidR="00DA0FDB" w:rsidRDefault="00DA0FDB">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94A57AF"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56853F04" w14:textId="7480FC81" w:rsidR="00DA0FDB" w:rsidRDefault="00DA0FDB">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Pr="002B2ACC">
            <w:rPr>
              <w:rFonts w:ascii="Arial" w:hAnsi="Arial" w:cs="Arial"/>
              <w:sz w:val="24"/>
              <w:szCs w:val="24"/>
            </w:rPr>
            <w:br w:type="page"/>
          </w:r>
        </w:p>
      </w:sdtContent>
    </w:sdt>
    <w:p w14:paraId="76516270" w14:textId="083E1B32" w:rsidR="00DA0FDB" w:rsidRPr="002B2ACC" w:rsidRDefault="00DA0FDB" w:rsidP="002B2ACC">
      <w:pPr>
        <w:spacing w:line="480" w:lineRule="auto"/>
        <w:jc w:val="both"/>
        <w:rPr>
          <w:rFonts w:ascii="Arial" w:hAnsi="Arial" w:cs="Arial"/>
          <w:sz w:val="24"/>
          <w:szCs w:val="24"/>
        </w:rPr>
      </w:pPr>
      <w:r w:rsidRPr="002B2ACC">
        <w:rPr>
          <w:rFonts w:ascii="Arial" w:hAnsi="Arial" w:cs="Arial"/>
          <w:sz w:val="24"/>
          <w:szCs w:val="24"/>
        </w:rPr>
        <w:lastRenderedPageBreak/>
        <w:t>This paper is going to critically analyse the</w:t>
      </w:r>
      <w:r w:rsidR="00F846FF">
        <w:rPr>
          <w:rFonts w:ascii="Arial" w:hAnsi="Arial" w:cs="Arial"/>
          <w:sz w:val="24"/>
          <w:szCs w:val="24"/>
        </w:rPr>
        <w:t xml:space="preserve"> effectiveness of</w:t>
      </w:r>
      <w:r w:rsidRPr="002B2ACC">
        <w:rPr>
          <w:rFonts w:ascii="Arial" w:hAnsi="Arial" w:cs="Arial"/>
          <w:sz w:val="24"/>
          <w:szCs w:val="24"/>
        </w:rPr>
        <w:t xml:space="preserve"> leadership of the police during the London Riots of 2011. This will be done by evaluating the events that took place and applying the methods used to a variety of leadership theories in order to determine their effectiveness.</w:t>
      </w:r>
    </w:p>
    <w:p w14:paraId="439A0D75" w14:textId="1363CA37" w:rsidR="001E271C" w:rsidRPr="002B2ACC" w:rsidRDefault="00CB170B" w:rsidP="002B2ACC">
      <w:pPr>
        <w:spacing w:line="480" w:lineRule="auto"/>
        <w:jc w:val="both"/>
        <w:rPr>
          <w:rFonts w:ascii="Arial" w:hAnsi="Arial" w:cs="Arial"/>
          <w:sz w:val="24"/>
          <w:szCs w:val="24"/>
        </w:rPr>
      </w:pPr>
      <w:r w:rsidRPr="002B2ACC">
        <w:rPr>
          <w:rFonts w:ascii="Arial" w:hAnsi="Arial" w:cs="Arial"/>
          <w:sz w:val="24"/>
          <w:szCs w:val="24"/>
        </w:rPr>
        <w:t>The London Riots in 2011 were sparked by the fatal shooting of Mark Duggan. Duggan was travelling by taxi when Authorised Firearms Officers from the Metropolitan Police conducted a ‘hard stop’ on the vehicle which resulted in Duggan being fatally shot by armed officers (Baker, 2016)</w:t>
      </w:r>
      <w:r w:rsidR="00EA6A06" w:rsidRPr="002B2ACC">
        <w:rPr>
          <w:rFonts w:ascii="Arial" w:hAnsi="Arial" w:cs="Arial"/>
          <w:sz w:val="24"/>
          <w:szCs w:val="24"/>
        </w:rPr>
        <w:t xml:space="preserve">. Following this, local residents organised a march to Tottenham police station with the aim of getting the police to account for their actions, however the march and subsequent protest quickly escalated into a </w:t>
      </w:r>
      <w:r w:rsidR="00E656C1" w:rsidRPr="002B2ACC">
        <w:rPr>
          <w:rFonts w:ascii="Arial" w:hAnsi="Arial" w:cs="Arial"/>
          <w:sz w:val="24"/>
          <w:szCs w:val="24"/>
        </w:rPr>
        <w:t>full-scale</w:t>
      </w:r>
      <w:r w:rsidR="00EA6A06" w:rsidRPr="002B2ACC">
        <w:rPr>
          <w:rFonts w:ascii="Arial" w:hAnsi="Arial" w:cs="Arial"/>
          <w:sz w:val="24"/>
          <w:szCs w:val="24"/>
        </w:rPr>
        <w:t xml:space="preserve"> riot (Waddington, 2012)</w:t>
      </w:r>
      <w:r w:rsidR="00E656C1" w:rsidRPr="002B2ACC">
        <w:rPr>
          <w:rFonts w:ascii="Arial" w:hAnsi="Arial" w:cs="Arial"/>
          <w:sz w:val="24"/>
          <w:szCs w:val="24"/>
        </w:rPr>
        <w:t xml:space="preserve">. </w:t>
      </w:r>
      <w:r w:rsidR="00BB7693" w:rsidRPr="002B2ACC">
        <w:rPr>
          <w:rFonts w:ascii="Arial" w:hAnsi="Arial" w:cs="Arial"/>
          <w:sz w:val="24"/>
          <w:szCs w:val="24"/>
        </w:rPr>
        <w:t xml:space="preserve">The police were heavily criticised for the way they handled both the fatal shooting of Duggan and the riots themselves (Scott </w:t>
      </w:r>
      <w:r w:rsidR="00BB7693" w:rsidRPr="002B2ACC">
        <w:rPr>
          <w:rFonts w:ascii="Arial" w:hAnsi="Arial" w:cs="Arial"/>
          <w:i/>
          <w:iCs/>
          <w:sz w:val="24"/>
          <w:szCs w:val="24"/>
        </w:rPr>
        <w:t xml:space="preserve">et al, </w:t>
      </w:r>
      <w:r w:rsidR="00BB7693" w:rsidRPr="002B2ACC">
        <w:rPr>
          <w:rFonts w:ascii="Arial" w:hAnsi="Arial" w:cs="Arial"/>
          <w:sz w:val="24"/>
          <w:szCs w:val="24"/>
        </w:rPr>
        <w:t>2019). Despite this, it could be argued that there were successes in the way the police were lead when it came to tackling the riots.</w:t>
      </w:r>
    </w:p>
    <w:p w14:paraId="0E501CDE" w14:textId="07C465AB" w:rsidR="00D573FD" w:rsidRPr="002B2ACC" w:rsidRDefault="006F4CB5" w:rsidP="002B2ACC">
      <w:pPr>
        <w:spacing w:line="480" w:lineRule="auto"/>
        <w:jc w:val="both"/>
        <w:rPr>
          <w:rFonts w:ascii="Arial" w:hAnsi="Arial" w:cs="Arial"/>
          <w:sz w:val="24"/>
          <w:szCs w:val="24"/>
        </w:rPr>
      </w:pPr>
      <w:r w:rsidRPr="002B2ACC">
        <w:rPr>
          <w:rFonts w:ascii="Arial" w:hAnsi="Arial" w:cs="Arial"/>
          <w:sz w:val="24"/>
          <w:szCs w:val="24"/>
        </w:rPr>
        <w:t>During the events of the riots the police were faced with unprecedented levels of violence against them, in what has been described as “the biggest civil disorder in mainland Britain in a generation” (Newburn, 2015</w:t>
      </w:r>
      <w:r w:rsidR="0001779C" w:rsidRPr="002B2ACC">
        <w:rPr>
          <w:rFonts w:ascii="Arial" w:hAnsi="Arial" w:cs="Arial"/>
          <w:sz w:val="24"/>
          <w:szCs w:val="24"/>
        </w:rPr>
        <w:t>, p.39</w:t>
      </w:r>
      <w:r w:rsidRPr="002B2ACC">
        <w:rPr>
          <w:rFonts w:ascii="Arial" w:hAnsi="Arial" w:cs="Arial"/>
          <w:sz w:val="24"/>
          <w:szCs w:val="24"/>
        </w:rPr>
        <w:t>)</w:t>
      </w:r>
      <w:r w:rsidR="004F74AE" w:rsidRPr="002B2ACC">
        <w:rPr>
          <w:rFonts w:ascii="Arial" w:hAnsi="Arial" w:cs="Arial"/>
          <w:sz w:val="24"/>
          <w:szCs w:val="24"/>
        </w:rPr>
        <w:t>.</w:t>
      </w:r>
      <w:r w:rsidR="0001779C" w:rsidRPr="002B2ACC">
        <w:rPr>
          <w:rFonts w:ascii="Arial" w:hAnsi="Arial" w:cs="Arial"/>
          <w:sz w:val="24"/>
          <w:szCs w:val="24"/>
        </w:rPr>
        <w:t xml:space="preserve"> </w:t>
      </w:r>
      <w:r w:rsidR="00443DD2" w:rsidRPr="002B2ACC">
        <w:rPr>
          <w:rFonts w:ascii="Arial" w:hAnsi="Arial" w:cs="Arial"/>
          <w:sz w:val="24"/>
          <w:szCs w:val="24"/>
        </w:rPr>
        <w:t>This coupled with the fact that in 2009, Her Majesty’s Inspectorate of Constabulary (HMIC) called for there to be a reduced level of force</w:t>
      </w:r>
      <w:r w:rsidR="00CC315B" w:rsidRPr="002B2ACC">
        <w:rPr>
          <w:rFonts w:ascii="Arial" w:hAnsi="Arial" w:cs="Arial"/>
          <w:sz w:val="24"/>
          <w:szCs w:val="24"/>
        </w:rPr>
        <w:t xml:space="preserve"> inflicted</w:t>
      </w:r>
      <w:r w:rsidR="00443DD2" w:rsidRPr="002B2ACC">
        <w:rPr>
          <w:rFonts w:ascii="Arial" w:hAnsi="Arial" w:cs="Arial"/>
          <w:sz w:val="24"/>
          <w:szCs w:val="24"/>
        </w:rPr>
        <w:t xml:space="preserve"> by police officers against a policing protest (Her Majesty’s Inspectorate of Constabulary, 2009)</w:t>
      </w:r>
      <w:r w:rsidR="00304CBD" w:rsidRPr="002B2ACC">
        <w:rPr>
          <w:rFonts w:ascii="Arial" w:hAnsi="Arial" w:cs="Arial"/>
          <w:sz w:val="24"/>
          <w:szCs w:val="24"/>
        </w:rPr>
        <w:t xml:space="preserve"> means that there was a likelihood that the police were set up to fail before the riots even started.</w:t>
      </w:r>
      <w:r w:rsidR="00E62760" w:rsidRPr="002B2ACC">
        <w:rPr>
          <w:rFonts w:ascii="Arial" w:hAnsi="Arial" w:cs="Arial"/>
          <w:sz w:val="24"/>
          <w:szCs w:val="24"/>
        </w:rPr>
        <w:t xml:space="preserve"> </w:t>
      </w:r>
      <w:r w:rsidR="00E67764" w:rsidRPr="002B2ACC">
        <w:rPr>
          <w:rFonts w:ascii="Arial" w:hAnsi="Arial" w:cs="Arial"/>
          <w:sz w:val="24"/>
          <w:szCs w:val="24"/>
        </w:rPr>
        <w:t xml:space="preserve">The riots </w:t>
      </w:r>
      <w:r w:rsidR="000204A8" w:rsidRPr="002B2ACC">
        <w:rPr>
          <w:rFonts w:ascii="Arial" w:hAnsi="Arial" w:cs="Arial"/>
          <w:sz w:val="24"/>
          <w:szCs w:val="24"/>
        </w:rPr>
        <w:t>took place</w:t>
      </w:r>
      <w:r w:rsidR="00E67764" w:rsidRPr="002B2ACC">
        <w:rPr>
          <w:rFonts w:ascii="Arial" w:hAnsi="Arial" w:cs="Arial"/>
          <w:sz w:val="24"/>
          <w:szCs w:val="24"/>
        </w:rPr>
        <w:t xml:space="preserve"> following the election and formation of a Conservative government, which resulted in the UK Government cutting public service funding resulting in fewer officers being available to deal with such a disorder (</w:t>
      </w:r>
      <w:r w:rsidR="003305BB" w:rsidRPr="002B2ACC">
        <w:rPr>
          <w:rFonts w:ascii="Arial" w:hAnsi="Arial" w:cs="Arial"/>
          <w:sz w:val="24"/>
          <w:szCs w:val="24"/>
        </w:rPr>
        <w:t>Leon-Alban &amp; John, 2022</w:t>
      </w:r>
      <w:r w:rsidR="00E67764" w:rsidRPr="002B2ACC">
        <w:rPr>
          <w:rFonts w:ascii="Arial" w:hAnsi="Arial" w:cs="Arial"/>
          <w:sz w:val="24"/>
          <w:szCs w:val="24"/>
        </w:rPr>
        <w:t>)</w:t>
      </w:r>
      <w:r w:rsidR="003305BB" w:rsidRPr="002B2ACC">
        <w:rPr>
          <w:rFonts w:ascii="Arial" w:hAnsi="Arial" w:cs="Arial"/>
          <w:sz w:val="24"/>
          <w:szCs w:val="24"/>
        </w:rPr>
        <w:t xml:space="preserve">. </w:t>
      </w:r>
      <w:r w:rsidR="00462F60">
        <w:rPr>
          <w:rFonts w:ascii="Arial" w:hAnsi="Arial" w:cs="Arial"/>
          <w:sz w:val="24"/>
          <w:szCs w:val="24"/>
        </w:rPr>
        <w:t>Disregarding</w:t>
      </w:r>
      <w:r w:rsidR="003305BB" w:rsidRPr="002B2ACC">
        <w:rPr>
          <w:rFonts w:ascii="Arial" w:hAnsi="Arial" w:cs="Arial"/>
          <w:sz w:val="24"/>
          <w:szCs w:val="24"/>
        </w:rPr>
        <w:t xml:space="preserve"> if the leadership during the riots was positive or if there were areas for improvement, it was always </w:t>
      </w:r>
      <w:r w:rsidR="003305BB" w:rsidRPr="002B2ACC">
        <w:rPr>
          <w:rFonts w:ascii="Arial" w:hAnsi="Arial" w:cs="Arial"/>
          <w:sz w:val="24"/>
          <w:szCs w:val="24"/>
        </w:rPr>
        <w:lastRenderedPageBreak/>
        <w:t>going to be scrutinised and they were already on the backfoot before the riots even started.</w:t>
      </w:r>
    </w:p>
    <w:p w14:paraId="07A89A57" w14:textId="0FC0334B" w:rsidR="003305BB" w:rsidRPr="002B2ACC" w:rsidRDefault="009F0D1A" w:rsidP="002B2ACC">
      <w:pPr>
        <w:spacing w:line="480" w:lineRule="auto"/>
        <w:jc w:val="both"/>
        <w:rPr>
          <w:rFonts w:ascii="Arial" w:hAnsi="Arial" w:cs="Arial"/>
          <w:sz w:val="24"/>
          <w:szCs w:val="24"/>
        </w:rPr>
      </w:pPr>
      <w:r w:rsidRPr="002B2ACC">
        <w:rPr>
          <w:rFonts w:ascii="Arial" w:hAnsi="Arial" w:cs="Arial"/>
          <w:sz w:val="24"/>
          <w:szCs w:val="24"/>
        </w:rPr>
        <w:t xml:space="preserve">Evidence uncovered by </w:t>
      </w:r>
      <w:proofErr w:type="spellStart"/>
      <w:r w:rsidRPr="002B2ACC">
        <w:rPr>
          <w:rFonts w:ascii="Arial" w:hAnsi="Arial" w:cs="Arial"/>
          <w:sz w:val="24"/>
          <w:szCs w:val="24"/>
        </w:rPr>
        <w:t>Baudains</w:t>
      </w:r>
      <w:proofErr w:type="spellEnd"/>
      <w:r w:rsidRPr="002B2ACC">
        <w:rPr>
          <w:rFonts w:ascii="Arial" w:hAnsi="Arial" w:cs="Arial"/>
          <w:sz w:val="24"/>
          <w:szCs w:val="24"/>
        </w:rPr>
        <w:t xml:space="preserve"> </w:t>
      </w:r>
      <w:r w:rsidRPr="002B2ACC">
        <w:rPr>
          <w:rFonts w:ascii="Arial" w:hAnsi="Arial" w:cs="Arial"/>
          <w:i/>
          <w:iCs/>
          <w:sz w:val="24"/>
          <w:szCs w:val="24"/>
        </w:rPr>
        <w:t xml:space="preserve">et al. </w:t>
      </w:r>
      <w:r w:rsidRPr="002B2ACC">
        <w:rPr>
          <w:rFonts w:ascii="Arial" w:hAnsi="Arial" w:cs="Arial"/>
          <w:sz w:val="24"/>
          <w:szCs w:val="24"/>
        </w:rPr>
        <w:t xml:space="preserve">(2013) suggests that the police became better equipped to deal with the riots as time went on, </w:t>
      </w:r>
      <w:r w:rsidR="00C269ED" w:rsidRPr="002B2ACC">
        <w:rPr>
          <w:rFonts w:ascii="Arial" w:hAnsi="Arial" w:cs="Arial"/>
          <w:sz w:val="24"/>
          <w:szCs w:val="24"/>
        </w:rPr>
        <w:t xml:space="preserve">yet </w:t>
      </w:r>
      <w:r w:rsidRPr="002B2ACC">
        <w:rPr>
          <w:rFonts w:ascii="Arial" w:hAnsi="Arial" w:cs="Arial"/>
          <w:sz w:val="24"/>
          <w:szCs w:val="24"/>
        </w:rPr>
        <w:t xml:space="preserve">the </w:t>
      </w:r>
      <w:r w:rsidR="00C836B7" w:rsidRPr="002B2ACC">
        <w:rPr>
          <w:rFonts w:ascii="Arial" w:hAnsi="Arial" w:cs="Arial"/>
          <w:sz w:val="24"/>
          <w:szCs w:val="24"/>
        </w:rPr>
        <w:t>ever-increasing</w:t>
      </w:r>
      <w:r w:rsidRPr="002B2ACC">
        <w:rPr>
          <w:rFonts w:ascii="Arial" w:hAnsi="Arial" w:cs="Arial"/>
          <w:sz w:val="24"/>
          <w:szCs w:val="24"/>
        </w:rPr>
        <w:t xml:space="preserve"> number of officers still had no effect on the number of offences that were committed by the rioters. While this shows that those partaking in the offences such as looting were not deterred by police presence, it does show that as more officers were sent to disrupt the rioters and disorder, they were slowly starting to regain control of the situation. This behaviour does well to </w:t>
      </w:r>
      <w:r w:rsidR="005409DC" w:rsidRPr="002B2ACC">
        <w:rPr>
          <w:rFonts w:ascii="Arial" w:hAnsi="Arial" w:cs="Arial"/>
          <w:sz w:val="24"/>
          <w:szCs w:val="24"/>
        </w:rPr>
        <w:t xml:space="preserve">partly </w:t>
      </w:r>
      <w:r w:rsidRPr="002B2ACC">
        <w:rPr>
          <w:rFonts w:ascii="Arial" w:hAnsi="Arial" w:cs="Arial"/>
          <w:sz w:val="24"/>
          <w:szCs w:val="24"/>
        </w:rPr>
        <w:t>disprove McGregor’s (1960)</w:t>
      </w:r>
      <w:r w:rsidR="005409DC" w:rsidRPr="002B2ACC">
        <w:rPr>
          <w:rFonts w:ascii="Arial" w:hAnsi="Arial" w:cs="Arial"/>
          <w:sz w:val="24"/>
          <w:szCs w:val="24"/>
        </w:rPr>
        <w:t xml:space="preserve"> ‘Theory X’ as this theory argues that employees who are lead under this management style are inherently lazy and do not want to perform</w:t>
      </w:r>
      <w:r w:rsidR="00B558DD" w:rsidRPr="002B2ACC">
        <w:rPr>
          <w:rFonts w:ascii="Arial" w:hAnsi="Arial" w:cs="Arial"/>
          <w:sz w:val="24"/>
          <w:szCs w:val="24"/>
        </w:rPr>
        <w:t>, however also states the importance of employees needing close supervision and control.</w:t>
      </w:r>
      <w:r w:rsidR="005409DC" w:rsidRPr="002B2ACC">
        <w:rPr>
          <w:rFonts w:ascii="Arial" w:hAnsi="Arial" w:cs="Arial"/>
          <w:sz w:val="24"/>
          <w:szCs w:val="24"/>
        </w:rPr>
        <w:t xml:space="preserve"> Further, Theory X explores the theory that employees are not interested in the organisational goal, in this situation that goal is gaining back control of the streets of London. It could be argued that gaining back control was the immediate priority for both frontline police officers on the street and senior officers at a strategic level during the course of the riots.</w:t>
      </w:r>
    </w:p>
    <w:p w14:paraId="4BFBE3EF" w14:textId="69449AE2" w:rsidR="00C26F18" w:rsidRPr="002B2ACC" w:rsidRDefault="008B31EA" w:rsidP="002B2ACC">
      <w:pPr>
        <w:spacing w:line="480" w:lineRule="auto"/>
        <w:jc w:val="both"/>
        <w:rPr>
          <w:rFonts w:ascii="Arial" w:hAnsi="Arial" w:cs="Arial"/>
          <w:sz w:val="24"/>
          <w:szCs w:val="24"/>
        </w:rPr>
      </w:pPr>
      <w:r w:rsidRPr="002B2ACC">
        <w:rPr>
          <w:rFonts w:ascii="Arial" w:hAnsi="Arial" w:cs="Arial"/>
          <w:sz w:val="24"/>
          <w:szCs w:val="24"/>
        </w:rPr>
        <w:t>The Metropolitan Police was faced with a challenge that they had not prepared for and had not been seen in a generation. While officers from the Territorial Support Group (TSG) were specially trained to deal with public order situations</w:t>
      </w:r>
      <w:r w:rsidR="00B558DD" w:rsidRPr="002B2ACC">
        <w:rPr>
          <w:rFonts w:ascii="Arial" w:hAnsi="Arial" w:cs="Arial"/>
          <w:sz w:val="24"/>
          <w:szCs w:val="24"/>
        </w:rPr>
        <w:t xml:space="preserve"> (Metropolitan Police, 2022)</w:t>
      </w:r>
      <w:r w:rsidRPr="002B2ACC">
        <w:rPr>
          <w:rFonts w:ascii="Arial" w:hAnsi="Arial" w:cs="Arial"/>
          <w:sz w:val="24"/>
          <w:szCs w:val="24"/>
        </w:rPr>
        <w:t>, it has been said that “there was not a ‘one size fits all’ response to the disorder” (Her Majesty’s Inspectorate of Constabulary, 2011</w:t>
      </w:r>
      <w:r w:rsidR="009953D4" w:rsidRPr="002B2ACC">
        <w:rPr>
          <w:rFonts w:ascii="Arial" w:hAnsi="Arial" w:cs="Arial"/>
          <w:sz w:val="24"/>
          <w:szCs w:val="24"/>
        </w:rPr>
        <w:t>, p.59</w:t>
      </w:r>
      <w:r w:rsidRPr="002B2ACC">
        <w:rPr>
          <w:rFonts w:ascii="Arial" w:hAnsi="Arial" w:cs="Arial"/>
          <w:sz w:val="24"/>
          <w:szCs w:val="24"/>
        </w:rPr>
        <w:t>)</w:t>
      </w:r>
      <w:r w:rsidR="009953D4" w:rsidRPr="002B2ACC">
        <w:rPr>
          <w:rFonts w:ascii="Arial" w:hAnsi="Arial" w:cs="Arial"/>
          <w:sz w:val="24"/>
          <w:szCs w:val="24"/>
        </w:rPr>
        <w:t>. Senior officers had to look at what transferable skills their officers held, for example the tactics used to police football matches were examined to see if they were applicable to be used during the riots</w:t>
      </w:r>
      <w:r w:rsidR="001D74D6" w:rsidRPr="002B2ACC">
        <w:rPr>
          <w:rFonts w:ascii="Arial" w:hAnsi="Arial" w:cs="Arial"/>
          <w:sz w:val="24"/>
          <w:szCs w:val="24"/>
        </w:rPr>
        <w:t xml:space="preserve">. Tactics that got used included vehicle tactics to clear road barricades, preventative activity in order to cut off access to areas of disorder and investigative </w:t>
      </w:r>
      <w:r w:rsidR="001D74D6" w:rsidRPr="002B2ACC">
        <w:rPr>
          <w:rFonts w:ascii="Arial" w:hAnsi="Arial" w:cs="Arial"/>
          <w:sz w:val="24"/>
          <w:szCs w:val="24"/>
        </w:rPr>
        <w:lastRenderedPageBreak/>
        <w:t>strategies whereby officers worked in CCTV control rooms to identify offenders and make arrests (Her Majesty’s Inspectorate of Constabulary, 2011). These actions are in line with Hill’s Model</w:t>
      </w:r>
      <w:r w:rsidR="00166021" w:rsidRPr="002B2ACC">
        <w:rPr>
          <w:rFonts w:ascii="Arial" w:hAnsi="Arial" w:cs="Arial"/>
          <w:sz w:val="24"/>
          <w:szCs w:val="24"/>
        </w:rPr>
        <w:t xml:space="preserve"> for Team Leadership, whereby internal leadership actions are focused on a specific task they need their team to achieve by facilitating decision making to officers on the street</w:t>
      </w:r>
      <w:r w:rsidR="000446A5" w:rsidRPr="002B2ACC">
        <w:rPr>
          <w:rFonts w:ascii="Arial" w:hAnsi="Arial" w:cs="Arial"/>
          <w:sz w:val="24"/>
          <w:szCs w:val="24"/>
        </w:rPr>
        <w:t>, as well as</w:t>
      </w:r>
      <w:r w:rsidR="00166021" w:rsidRPr="002B2ACC">
        <w:rPr>
          <w:rFonts w:ascii="Arial" w:hAnsi="Arial" w:cs="Arial"/>
          <w:sz w:val="24"/>
          <w:szCs w:val="24"/>
        </w:rPr>
        <w:t xml:space="preserve"> focusing on the end goal of bringing</w:t>
      </w:r>
      <w:r w:rsidR="0008008A" w:rsidRPr="002B2ACC">
        <w:rPr>
          <w:rFonts w:ascii="Arial" w:hAnsi="Arial" w:cs="Arial"/>
          <w:sz w:val="24"/>
          <w:szCs w:val="24"/>
        </w:rPr>
        <w:t xml:space="preserve"> law and</w:t>
      </w:r>
      <w:r w:rsidR="00166021" w:rsidRPr="002B2ACC">
        <w:rPr>
          <w:rFonts w:ascii="Arial" w:hAnsi="Arial" w:cs="Arial"/>
          <w:sz w:val="24"/>
          <w:szCs w:val="24"/>
        </w:rPr>
        <w:t xml:space="preserve"> order back to the streets (Northouse, 2012)</w:t>
      </w:r>
      <w:r w:rsidR="009F741A" w:rsidRPr="002B2ACC">
        <w:rPr>
          <w:rFonts w:ascii="Arial" w:hAnsi="Arial" w:cs="Arial"/>
          <w:sz w:val="24"/>
          <w:szCs w:val="24"/>
        </w:rPr>
        <w:t xml:space="preserve">. </w:t>
      </w:r>
      <w:r w:rsidR="00497EC0" w:rsidRPr="002B2ACC">
        <w:rPr>
          <w:rFonts w:ascii="Arial" w:hAnsi="Arial" w:cs="Arial"/>
          <w:sz w:val="24"/>
          <w:szCs w:val="24"/>
        </w:rPr>
        <w:t xml:space="preserve">The model also discussed the need for relational actions such as coaching and building commitment in order for the team to be effective, a difficult situation for senior officers considering </w:t>
      </w:r>
      <w:r w:rsidR="00510411" w:rsidRPr="002B2ACC">
        <w:rPr>
          <w:rFonts w:ascii="Arial" w:hAnsi="Arial" w:cs="Arial"/>
          <w:sz w:val="24"/>
          <w:szCs w:val="24"/>
        </w:rPr>
        <w:t xml:space="preserve">the circumstances they were faced with. </w:t>
      </w:r>
      <w:r w:rsidR="00E61BDF" w:rsidRPr="002B2ACC">
        <w:rPr>
          <w:rFonts w:ascii="Arial" w:hAnsi="Arial" w:cs="Arial"/>
          <w:sz w:val="24"/>
          <w:szCs w:val="24"/>
        </w:rPr>
        <w:t xml:space="preserve">Finally, external leadership actions need to be considered in order for the team goal to be met. These factors would prove invaluable when it came to tackling disorder, as the police relied on partner agencies such as CCTV controllers to identify offenders, as well as negotiating support from other emergency services such as ambulance and fire in order to keep both the police and public as safe as they possibly can during such events.  </w:t>
      </w:r>
    </w:p>
    <w:p w14:paraId="07F6C07F" w14:textId="6DCB3FC9" w:rsidR="006709D9" w:rsidRDefault="006709D9" w:rsidP="002B2ACC">
      <w:pPr>
        <w:spacing w:line="480" w:lineRule="auto"/>
        <w:jc w:val="both"/>
        <w:rPr>
          <w:rFonts w:ascii="Arial" w:hAnsi="Arial" w:cs="Arial"/>
          <w:sz w:val="24"/>
          <w:szCs w:val="24"/>
        </w:rPr>
      </w:pPr>
      <w:r w:rsidRPr="002B2ACC">
        <w:rPr>
          <w:rFonts w:ascii="Arial" w:hAnsi="Arial" w:cs="Arial"/>
          <w:sz w:val="24"/>
          <w:szCs w:val="24"/>
        </w:rPr>
        <w:t xml:space="preserve">In conclusion, the evidence suggests that the police </w:t>
      </w:r>
      <w:r w:rsidR="00EA6EA4" w:rsidRPr="002B2ACC">
        <w:rPr>
          <w:rFonts w:ascii="Arial" w:hAnsi="Arial" w:cs="Arial"/>
          <w:sz w:val="24"/>
          <w:szCs w:val="24"/>
        </w:rPr>
        <w:t>were able to offer an effective service during the events of the riots in relation to leadership theories. While mistakes were made in the leadup to the riots with regards to the killing of Mark Duggan and during the riots themselves where the police were seen to be not in control of the situation, there were positive takeaways. The police had to face a situation they had not seen before in a generation, and the theme of the discussion throughout is that the police did handle the situation in the best way they could have considering the circumstances they were in.</w:t>
      </w:r>
    </w:p>
    <w:p w14:paraId="295B0179" w14:textId="235457C0" w:rsidR="002B2ACC" w:rsidRDefault="002B2ACC" w:rsidP="002B2ACC">
      <w:pPr>
        <w:spacing w:line="480" w:lineRule="auto"/>
        <w:jc w:val="both"/>
        <w:rPr>
          <w:rFonts w:ascii="Arial" w:hAnsi="Arial" w:cs="Arial"/>
          <w:sz w:val="24"/>
          <w:szCs w:val="24"/>
        </w:rPr>
      </w:pPr>
    </w:p>
    <w:p w14:paraId="75B71D97" w14:textId="0CF71694" w:rsidR="002B2ACC" w:rsidRDefault="002B2ACC" w:rsidP="002B2ACC">
      <w:pPr>
        <w:spacing w:line="480" w:lineRule="auto"/>
        <w:jc w:val="both"/>
        <w:rPr>
          <w:rFonts w:ascii="Arial" w:hAnsi="Arial" w:cs="Arial"/>
          <w:sz w:val="24"/>
          <w:szCs w:val="24"/>
        </w:rPr>
      </w:pPr>
    </w:p>
    <w:p w14:paraId="33841D0D" w14:textId="72694EA6" w:rsidR="002B2ACC" w:rsidRDefault="002B2ACC" w:rsidP="002B2ACC">
      <w:pPr>
        <w:spacing w:line="480" w:lineRule="auto"/>
        <w:jc w:val="both"/>
        <w:rPr>
          <w:rFonts w:ascii="Arial" w:hAnsi="Arial" w:cs="Arial"/>
          <w:b/>
          <w:bCs/>
          <w:sz w:val="24"/>
          <w:szCs w:val="24"/>
          <w:u w:val="single"/>
        </w:rPr>
      </w:pPr>
      <w:r>
        <w:rPr>
          <w:rFonts w:ascii="Arial" w:hAnsi="Arial" w:cs="Arial"/>
          <w:b/>
          <w:bCs/>
          <w:sz w:val="24"/>
          <w:szCs w:val="24"/>
          <w:u w:val="single"/>
        </w:rPr>
        <w:lastRenderedPageBreak/>
        <w:t>References</w:t>
      </w:r>
    </w:p>
    <w:p w14:paraId="59FFC6A6" w14:textId="77777777" w:rsidR="002B2ACC" w:rsidRPr="008A0E03" w:rsidRDefault="002B2ACC" w:rsidP="002B2ACC">
      <w:pPr>
        <w:ind w:left="720" w:hanging="720"/>
        <w:rPr>
          <w:rFonts w:ascii="Arial" w:hAnsi="Arial" w:cs="Arial"/>
          <w:sz w:val="24"/>
          <w:szCs w:val="24"/>
        </w:rPr>
      </w:pPr>
      <w:r w:rsidRPr="008A0E03">
        <w:rPr>
          <w:rFonts w:ascii="Arial" w:hAnsi="Arial" w:cs="Arial"/>
          <w:sz w:val="24"/>
          <w:szCs w:val="24"/>
        </w:rPr>
        <w:t xml:space="preserve">Baker, D. (2016) ‘Five Years After His Death Sparked Riots, we must not Forget Mark Duggan’, </w:t>
      </w:r>
      <w:r w:rsidRPr="008A0E03">
        <w:rPr>
          <w:rFonts w:ascii="Arial" w:hAnsi="Arial" w:cs="Arial"/>
          <w:i/>
          <w:iCs/>
          <w:sz w:val="24"/>
          <w:szCs w:val="24"/>
        </w:rPr>
        <w:t xml:space="preserve">Coventry University Research Blog </w:t>
      </w:r>
      <w:r w:rsidRPr="008A0E03">
        <w:rPr>
          <w:rFonts w:ascii="Arial" w:hAnsi="Arial" w:cs="Arial"/>
          <w:sz w:val="24"/>
          <w:szCs w:val="24"/>
        </w:rPr>
        <w:t>[blog], 11</w:t>
      </w:r>
      <w:r w:rsidRPr="008A0E03">
        <w:rPr>
          <w:rFonts w:ascii="Arial" w:hAnsi="Arial" w:cs="Arial"/>
          <w:sz w:val="24"/>
          <w:szCs w:val="24"/>
          <w:vertAlign w:val="superscript"/>
        </w:rPr>
        <w:t>th</w:t>
      </w:r>
      <w:r w:rsidRPr="008A0E03">
        <w:rPr>
          <w:rFonts w:ascii="Arial" w:hAnsi="Arial" w:cs="Arial"/>
          <w:sz w:val="24"/>
          <w:szCs w:val="24"/>
        </w:rPr>
        <w:t xml:space="preserve"> August. Available at: </w:t>
      </w:r>
      <w:hyperlink r:id="rId6" w:history="1">
        <w:r w:rsidRPr="008A0E03">
          <w:rPr>
            <w:rStyle w:val="Hyperlink"/>
            <w:rFonts w:ascii="Arial" w:hAnsi="Arial" w:cs="Arial"/>
            <w:sz w:val="24"/>
            <w:szCs w:val="24"/>
          </w:rPr>
          <w:t>https://blogs.coventry.ac.uk/researchblog/five-years-after-his-death-sparked-riots-we-must-not-forget-mark-duggan/</w:t>
        </w:r>
      </w:hyperlink>
      <w:r w:rsidRPr="008A0E03">
        <w:rPr>
          <w:rFonts w:ascii="Arial" w:hAnsi="Arial" w:cs="Arial"/>
          <w:sz w:val="24"/>
          <w:szCs w:val="24"/>
        </w:rPr>
        <w:t xml:space="preserve"> (Accessed: 4</w:t>
      </w:r>
      <w:r w:rsidRPr="008A0E03">
        <w:rPr>
          <w:rFonts w:ascii="Arial" w:hAnsi="Arial" w:cs="Arial"/>
          <w:sz w:val="24"/>
          <w:szCs w:val="24"/>
          <w:vertAlign w:val="superscript"/>
        </w:rPr>
        <w:t>th</w:t>
      </w:r>
      <w:r w:rsidRPr="008A0E03">
        <w:rPr>
          <w:rFonts w:ascii="Arial" w:hAnsi="Arial" w:cs="Arial"/>
          <w:sz w:val="24"/>
          <w:szCs w:val="24"/>
        </w:rPr>
        <w:t xml:space="preserve"> November 2022)</w:t>
      </w:r>
    </w:p>
    <w:p w14:paraId="4474AE37" w14:textId="77777777" w:rsidR="002B2ACC" w:rsidRPr="008A0E03" w:rsidRDefault="002B2ACC" w:rsidP="002B2ACC">
      <w:pPr>
        <w:ind w:left="720" w:hanging="720"/>
        <w:rPr>
          <w:rFonts w:ascii="Arial" w:hAnsi="Arial" w:cs="Arial"/>
          <w:sz w:val="24"/>
          <w:szCs w:val="24"/>
        </w:rPr>
      </w:pPr>
      <w:proofErr w:type="spellStart"/>
      <w:r w:rsidRPr="008A0E03">
        <w:rPr>
          <w:rFonts w:ascii="Arial" w:hAnsi="Arial" w:cs="Arial"/>
          <w:sz w:val="24"/>
          <w:szCs w:val="24"/>
        </w:rPr>
        <w:t>Baudains</w:t>
      </w:r>
      <w:proofErr w:type="spellEnd"/>
      <w:r w:rsidRPr="008A0E03">
        <w:rPr>
          <w:rFonts w:ascii="Arial" w:hAnsi="Arial" w:cs="Arial"/>
          <w:sz w:val="24"/>
          <w:szCs w:val="24"/>
        </w:rPr>
        <w:t xml:space="preserve">, P., Johnson, S.D., Braithwaite, A.M. (2013) ‘Geographic patterns of diffusion in the 2011 London riots, </w:t>
      </w:r>
      <w:r w:rsidRPr="008A0E03">
        <w:rPr>
          <w:rFonts w:ascii="Arial" w:hAnsi="Arial" w:cs="Arial"/>
          <w:i/>
          <w:iCs/>
          <w:sz w:val="24"/>
          <w:szCs w:val="24"/>
        </w:rPr>
        <w:t xml:space="preserve">Applied Geography, </w:t>
      </w:r>
      <w:r w:rsidRPr="008A0E03">
        <w:rPr>
          <w:rFonts w:ascii="Arial" w:hAnsi="Arial" w:cs="Arial"/>
          <w:sz w:val="24"/>
          <w:szCs w:val="24"/>
        </w:rPr>
        <w:t xml:space="preserve">Vol. 45, pp. 211-219. Available at: </w:t>
      </w:r>
      <w:hyperlink r:id="rId7" w:history="1">
        <w:r w:rsidRPr="008A0E03">
          <w:rPr>
            <w:rStyle w:val="Hyperlink"/>
            <w:rFonts w:ascii="Arial" w:hAnsi="Arial" w:cs="Arial"/>
            <w:sz w:val="24"/>
            <w:szCs w:val="24"/>
          </w:rPr>
          <w:t>https://discovery.ucl.ac.uk/id/eprint/1410544/1/1-s2.0-S0143622813002154-main.pdf</w:t>
        </w:r>
      </w:hyperlink>
      <w:r w:rsidRPr="008A0E03">
        <w:rPr>
          <w:rFonts w:ascii="Arial" w:hAnsi="Arial" w:cs="Arial"/>
          <w:sz w:val="24"/>
          <w:szCs w:val="24"/>
        </w:rPr>
        <w:t xml:space="preserve"> (Accessed: 4</w:t>
      </w:r>
      <w:r w:rsidRPr="008A0E03">
        <w:rPr>
          <w:rFonts w:ascii="Arial" w:hAnsi="Arial" w:cs="Arial"/>
          <w:sz w:val="24"/>
          <w:szCs w:val="24"/>
          <w:vertAlign w:val="superscript"/>
        </w:rPr>
        <w:t>th</w:t>
      </w:r>
      <w:r w:rsidRPr="008A0E03">
        <w:rPr>
          <w:rFonts w:ascii="Arial" w:hAnsi="Arial" w:cs="Arial"/>
          <w:sz w:val="24"/>
          <w:szCs w:val="24"/>
        </w:rPr>
        <w:t xml:space="preserve"> November 2022) </w:t>
      </w:r>
    </w:p>
    <w:p w14:paraId="4B4C3AA3" w14:textId="77777777" w:rsidR="002B2ACC" w:rsidRPr="008A0E03" w:rsidRDefault="002B2ACC" w:rsidP="002B2ACC">
      <w:pPr>
        <w:ind w:left="720" w:hanging="720"/>
        <w:rPr>
          <w:rFonts w:ascii="Arial" w:hAnsi="Arial" w:cs="Arial"/>
          <w:sz w:val="24"/>
          <w:szCs w:val="24"/>
        </w:rPr>
      </w:pPr>
      <w:r w:rsidRPr="008A0E03">
        <w:rPr>
          <w:rFonts w:ascii="Arial" w:hAnsi="Arial" w:cs="Arial"/>
          <w:sz w:val="24"/>
          <w:szCs w:val="24"/>
        </w:rPr>
        <w:t xml:space="preserve">Her Majesty’s Inspectorate of Constabulary (2009) </w:t>
      </w:r>
      <w:r w:rsidRPr="008A0E03">
        <w:rPr>
          <w:rFonts w:ascii="Arial" w:hAnsi="Arial" w:cs="Arial"/>
          <w:i/>
          <w:iCs/>
          <w:sz w:val="24"/>
          <w:szCs w:val="24"/>
        </w:rPr>
        <w:t xml:space="preserve">Adapting to Protest, </w:t>
      </w:r>
      <w:r w:rsidRPr="008A0E03">
        <w:rPr>
          <w:rFonts w:ascii="Arial" w:hAnsi="Arial" w:cs="Arial"/>
          <w:sz w:val="24"/>
          <w:szCs w:val="24"/>
        </w:rPr>
        <w:t xml:space="preserve">Available at: </w:t>
      </w:r>
      <w:hyperlink r:id="rId8" w:history="1">
        <w:r w:rsidRPr="008A0E03">
          <w:rPr>
            <w:rStyle w:val="Hyperlink"/>
            <w:rFonts w:ascii="Arial" w:hAnsi="Arial" w:cs="Arial"/>
            <w:sz w:val="24"/>
            <w:szCs w:val="24"/>
          </w:rPr>
          <w:t>https://www.justiceinspectorates.gov.uk/hmicfrs/media/adapting-to-protest-20090705.pdf</w:t>
        </w:r>
      </w:hyperlink>
      <w:r w:rsidRPr="008A0E03">
        <w:rPr>
          <w:rFonts w:ascii="Arial" w:hAnsi="Arial" w:cs="Arial"/>
          <w:sz w:val="24"/>
          <w:szCs w:val="24"/>
        </w:rPr>
        <w:t xml:space="preserve"> (Accessed: 4</w:t>
      </w:r>
      <w:r w:rsidRPr="008A0E03">
        <w:rPr>
          <w:rFonts w:ascii="Arial" w:hAnsi="Arial" w:cs="Arial"/>
          <w:sz w:val="24"/>
          <w:szCs w:val="24"/>
          <w:vertAlign w:val="superscript"/>
        </w:rPr>
        <w:t>th</w:t>
      </w:r>
      <w:r w:rsidRPr="008A0E03">
        <w:rPr>
          <w:rFonts w:ascii="Arial" w:hAnsi="Arial" w:cs="Arial"/>
          <w:sz w:val="24"/>
          <w:szCs w:val="24"/>
        </w:rPr>
        <w:t xml:space="preserve"> November 2022)</w:t>
      </w:r>
    </w:p>
    <w:p w14:paraId="46726411" w14:textId="77777777" w:rsidR="002B2ACC" w:rsidRPr="008A0E03" w:rsidRDefault="002B2ACC" w:rsidP="002B2ACC">
      <w:pPr>
        <w:ind w:left="720" w:hanging="720"/>
        <w:rPr>
          <w:rFonts w:ascii="Arial" w:hAnsi="Arial" w:cs="Arial"/>
          <w:sz w:val="24"/>
          <w:szCs w:val="24"/>
        </w:rPr>
      </w:pPr>
      <w:r w:rsidRPr="008A0E03">
        <w:rPr>
          <w:rFonts w:ascii="Arial" w:hAnsi="Arial" w:cs="Arial"/>
          <w:sz w:val="24"/>
          <w:szCs w:val="24"/>
        </w:rPr>
        <w:t xml:space="preserve">Her Majesty’s Inspectorate of Constabulary (2011) </w:t>
      </w:r>
      <w:r w:rsidRPr="008A0E03">
        <w:rPr>
          <w:rFonts w:ascii="Arial" w:hAnsi="Arial" w:cs="Arial"/>
          <w:i/>
          <w:iCs/>
          <w:sz w:val="24"/>
          <w:szCs w:val="24"/>
        </w:rPr>
        <w:t xml:space="preserve">The rules of engagement: A review of the August 2011 disorders, </w:t>
      </w:r>
      <w:r w:rsidRPr="008A0E03">
        <w:rPr>
          <w:rFonts w:ascii="Arial" w:hAnsi="Arial" w:cs="Arial"/>
          <w:sz w:val="24"/>
          <w:szCs w:val="24"/>
        </w:rPr>
        <w:t xml:space="preserve">Available at: </w:t>
      </w:r>
      <w:hyperlink r:id="rId9" w:history="1">
        <w:r w:rsidRPr="008A0E03">
          <w:rPr>
            <w:rStyle w:val="Hyperlink"/>
            <w:rFonts w:ascii="Arial" w:hAnsi="Arial" w:cs="Arial"/>
            <w:sz w:val="24"/>
            <w:szCs w:val="24"/>
          </w:rPr>
          <w:t>https://www.justiceinspectorates.gov.uk/hmicfrs/media/a-review-of-the-august-2011-disorders-20111220.pdf</w:t>
        </w:r>
      </w:hyperlink>
      <w:r w:rsidRPr="008A0E03">
        <w:rPr>
          <w:rFonts w:ascii="Arial" w:hAnsi="Arial" w:cs="Arial"/>
          <w:sz w:val="24"/>
          <w:szCs w:val="24"/>
        </w:rPr>
        <w:t xml:space="preserve"> (Accessed: 5</w:t>
      </w:r>
      <w:r w:rsidRPr="008A0E03">
        <w:rPr>
          <w:rFonts w:ascii="Arial" w:hAnsi="Arial" w:cs="Arial"/>
          <w:sz w:val="24"/>
          <w:szCs w:val="24"/>
          <w:vertAlign w:val="superscript"/>
        </w:rPr>
        <w:t>th</w:t>
      </w:r>
      <w:r w:rsidRPr="008A0E03">
        <w:rPr>
          <w:rFonts w:ascii="Arial" w:hAnsi="Arial" w:cs="Arial"/>
          <w:sz w:val="24"/>
          <w:szCs w:val="24"/>
        </w:rPr>
        <w:t xml:space="preserve"> November 2022)</w:t>
      </w:r>
    </w:p>
    <w:p w14:paraId="2D75CCC0" w14:textId="77777777" w:rsidR="002B2ACC" w:rsidRPr="008A0E03" w:rsidRDefault="002B2ACC" w:rsidP="002B2ACC">
      <w:pPr>
        <w:ind w:left="720" w:hanging="720"/>
        <w:rPr>
          <w:rFonts w:ascii="Arial" w:hAnsi="Arial" w:cs="Arial"/>
          <w:sz w:val="24"/>
          <w:szCs w:val="24"/>
        </w:rPr>
      </w:pPr>
      <w:r w:rsidRPr="008A0E03">
        <w:rPr>
          <w:rFonts w:ascii="Arial" w:hAnsi="Arial" w:cs="Arial"/>
          <w:sz w:val="24"/>
          <w:szCs w:val="24"/>
        </w:rPr>
        <w:t xml:space="preserve">Leon-Alban, G., John, P. (2022) ‘How urban riots influence political </w:t>
      </w:r>
      <w:proofErr w:type="spellStart"/>
      <w:r w:rsidRPr="008A0E03">
        <w:rPr>
          <w:rFonts w:ascii="Arial" w:hAnsi="Arial" w:cs="Arial"/>
          <w:sz w:val="24"/>
          <w:szCs w:val="24"/>
        </w:rPr>
        <w:t>behavior</w:t>
      </w:r>
      <w:proofErr w:type="spellEnd"/>
      <w:r w:rsidRPr="008A0E03">
        <w:rPr>
          <w:rFonts w:ascii="Arial" w:hAnsi="Arial" w:cs="Arial"/>
          <w:sz w:val="24"/>
          <w:szCs w:val="24"/>
        </w:rPr>
        <w:t xml:space="preserve">: vote choices after the 2011 London riots’, </w:t>
      </w:r>
      <w:r w:rsidRPr="008A0E03">
        <w:rPr>
          <w:rFonts w:ascii="Arial" w:hAnsi="Arial" w:cs="Arial"/>
          <w:i/>
          <w:iCs/>
          <w:sz w:val="24"/>
          <w:szCs w:val="24"/>
        </w:rPr>
        <w:t xml:space="preserve">Political Science Research Methods, </w:t>
      </w:r>
      <w:r w:rsidRPr="008A0E03">
        <w:rPr>
          <w:rFonts w:ascii="Arial" w:hAnsi="Arial" w:cs="Arial"/>
          <w:sz w:val="24"/>
          <w:szCs w:val="24"/>
        </w:rPr>
        <w:t xml:space="preserve">pp. 1-8. DOI: 10.1017/psrm.2022.49 </w:t>
      </w:r>
    </w:p>
    <w:p w14:paraId="1B3C9CCC" w14:textId="77777777" w:rsidR="002B2ACC" w:rsidRPr="008A0E03" w:rsidRDefault="002B2ACC" w:rsidP="002B2ACC">
      <w:pPr>
        <w:ind w:left="720" w:hanging="720"/>
        <w:rPr>
          <w:rFonts w:ascii="Arial" w:hAnsi="Arial" w:cs="Arial"/>
          <w:sz w:val="24"/>
          <w:szCs w:val="24"/>
        </w:rPr>
      </w:pPr>
      <w:r w:rsidRPr="008A0E03">
        <w:rPr>
          <w:rFonts w:ascii="Arial" w:hAnsi="Arial" w:cs="Arial"/>
          <w:sz w:val="24"/>
          <w:szCs w:val="24"/>
        </w:rPr>
        <w:t xml:space="preserve">McGregor, D. (1960) </w:t>
      </w:r>
      <w:r w:rsidRPr="008A0E03">
        <w:rPr>
          <w:rFonts w:ascii="Arial" w:hAnsi="Arial" w:cs="Arial"/>
          <w:i/>
          <w:iCs/>
          <w:sz w:val="24"/>
          <w:szCs w:val="24"/>
        </w:rPr>
        <w:t xml:space="preserve">The Human Side of Enterprise, </w:t>
      </w:r>
      <w:r w:rsidRPr="008A0E03">
        <w:rPr>
          <w:rFonts w:ascii="Arial" w:hAnsi="Arial" w:cs="Arial"/>
          <w:sz w:val="24"/>
          <w:szCs w:val="24"/>
        </w:rPr>
        <w:t>New York: McGraw Hill</w:t>
      </w:r>
    </w:p>
    <w:p w14:paraId="7F57F6AD" w14:textId="77777777" w:rsidR="002B2ACC" w:rsidRPr="008A0E03" w:rsidRDefault="002B2ACC" w:rsidP="002B2ACC">
      <w:pPr>
        <w:ind w:left="720" w:hanging="720"/>
        <w:rPr>
          <w:rFonts w:ascii="Arial" w:hAnsi="Arial" w:cs="Arial"/>
          <w:sz w:val="24"/>
          <w:szCs w:val="24"/>
        </w:rPr>
      </w:pPr>
      <w:r w:rsidRPr="008A0E03">
        <w:rPr>
          <w:rFonts w:ascii="Arial" w:hAnsi="Arial" w:cs="Arial"/>
          <w:sz w:val="24"/>
          <w:szCs w:val="24"/>
        </w:rPr>
        <w:t xml:space="preserve">Metropolitan Police (2022) </w:t>
      </w:r>
      <w:r w:rsidRPr="008A0E03">
        <w:rPr>
          <w:rFonts w:ascii="Arial" w:hAnsi="Arial" w:cs="Arial"/>
          <w:i/>
          <w:iCs/>
          <w:sz w:val="24"/>
          <w:szCs w:val="24"/>
        </w:rPr>
        <w:t xml:space="preserve">TSG role in the MPS, </w:t>
      </w:r>
      <w:r w:rsidRPr="008A0E03">
        <w:rPr>
          <w:rFonts w:ascii="Arial" w:hAnsi="Arial" w:cs="Arial"/>
          <w:sz w:val="24"/>
          <w:szCs w:val="24"/>
        </w:rPr>
        <w:t xml:space="preserve">Available at: </w:t>
      </w:r>
      <w:hyperlink r:id="rId10" w:history="1">
        <w:r w:rsidRPr="008A0E03">
          <w:rPr>
            <w:rStyle w:val="Hyperlink"/>
            <w:rFonts w:ascii="Arial" w:hAnsi="Arial" w:cs="Arial"/>
            <w:sz w:val="24"/>
            <w:szCs w:val="24"/>
          </w:rPr>
          <w:t>https://www.met.police.uk/cy-GB/foi-ai/metropolitan-police/disclosure-2019/november/tsg-mps/</w:t>
        </w:r>
      </w:hyperlink>
      <w:r w:rsidRPr="008A0E03">
        <w:rPr>
          <w:rFonts w:ascii="Arial" w:hAnsi="Arial" w:cs="Arial"/>
          <w:sz w:val="24"/>
          <w:szCs w:val="24"/>
        </w:rPr>
        <w:t xml:space="preserve"> (Accessed: 7</w:t>
      </w:r>
      <w:r w:rsidRPr="008A0E03">
        <w:rPr>
          <w:rFonts w:ascii="Arial" w:hAnsi="Arial" w:cs="Arial"/>
          <w:sz w:val="24"/>
          <w:szCs w:val="24"/>
          <w:vertAlign w:val="superscript"/>
        </w:rPr>
        <w:t>th</w:t>
      </w:r>
      <w:r w:rsidRPr="008A0E03">
        <w:rPr>
          <w:rFonts w:ascii="Arial" w:hAnsi="Arial" w:cs="Arial"/>
          <w:sz w:val="24"/>
          <w:szCs w:val="24"/>
        </w:rPr>
        <w:t xml:space="preserve"> November 2022</w:t>
      </w:r>
    </w:p>
    <w:p w14:paraId="6C9F505E" w14:textId="77777777" w:rsidR="002B2ACC" w:rsidRPr="008A0E03" w:rsidRDefault="002B2ACC" w:rsidP="002B2ACC">
      <w:pPr>
        <w:ind w:left="720" w:hanging="720"/>
        <w:rPr>
          <w:rFonts w:ascii="Arial" w:hAnsi="Arial" w:cs="Arial"/>
          <w:sz w:val="24"/>
          <w:szCs w:val="24"/>
        </w:rPr>
      </w:pPr>
      <w:r w:rsidRPr="008A0E03">
        <w:rPr>
          <w:rFonts w:ascii="Arial" w:hAnsi="Arial" w:cs="Arial"/>
          <w:sz w:val="24"/>
          <w:szCs w:val="24"/>
        </w:rPr>
        <w:t xml:space="preserve">Newburn, T. (2015) ‘The 2011 England Riots in Recent Historical Perspective’, </w:t>
      </w:r>
      <w:r w:rsidRPr="008A0E03">
        <w:rPr>
          <w:rFonts w:ascii="Arial" w:hAnsi="Arial" w:cs="Arial"/>
          <w:i/>
          <w:iCs/>
          <w:sz w:val="24"/>
          <w:szCs w:val="24"/>
        </w:rPr>
        <w:t xml:space="preserve">The British Journal of Criminology, </w:t>
      </w:r>
      <w:r w:rsidRPr="008A0E03">
        <w:rPr>
          <w:rFonts w:ascii="Arial" w:hAnsi="Arial" w:cs="Arial"/>
          <w:sz w:val="24"/>
          <w:szCs w:val="24"/>
        </w:rPr>
        <w:t xml:space="preserve">Vol. 55(1), pp. 39-64. Available at: </w:t>
      </w:r>
      <w:hyperlink r:id="rId11" w:history="1">
        <w:r w:rsidRPr="008A0E03">
          <w:rPr>
            <w:rStyle w:val="Hyperlink"/>
            <w:rFonts w:ascii="Arial" w:hAnsi="Arial" w:cs="Arial"/>
            <w:sz w:val="24"/>
            <w:szCs w:val="24"/>
          </w:rPr>
          <w:t>http://www.jstor.org/stable/43819259</w:t>
        </w:r>
      </w:hyperlink>
      <w:r w:rsidRPr="008A0E03">
        <w:rPr>
          <w:rFonts w:ascii="Arial" w:hAnsi="Arial" w:cs="Arial"/>
          <w:sz w:val="24"/>
          <w:szCs w:val="24"/>
        </w:rPr>
        <w:t xml:space="preserve"> (Accessed: 4</w:t>
      </w:r>
      <w:r w:rsidRPr="008A0E03">
        <w:rPr>
          <w:rFonts w:ascii="Arial" w:hAnsi="Arial" w:cs="Arial"/>
          <w:sz w:val="24"/>
          <w:szCs w:val="24"/>
          <w:vertAlign w:val="superscript"/>
        </w:rPr>
        <w:t>th</w:t>
      </w:r>
      <w:r w:rsidRPr="008A0E03">
        <w:rPr>
          <w:rFonts w:ascii="Arial" w:hAnsi="Arial" w:cs="Arial"/>
          <w:sz w:val="24"/>
          <w:szCs w:val="24"/>
        </w:rPr>
        <w:t xml:space="preserve"> November 2022)</w:t>
      </w:r>
    </w:p>
    <w:p w14:paraId="36DB1A5D" w14:textId="77777777" w:rsidR="002B2ACC" w:rsidRPr="008A0E03" w:rsidRDefault="002B2ACC" w:rsidP="002B2ACC">
      <w:pPr>
        <w:ind w:left="720" w:hanging="720"/>
        <w:rPr>
          <w:rFonts w:ascii="Arial" w:hAnsi="Arial" w:cs="Arial"/>
          <w:sz w:val="24"/>
          <w:szCs w:val="24"/>
        </w:rPr>
      </w:pPr>
      <w:r w:rsidRPr="008A0E03">
        <w:rPr>
          <w:rFonts w:ascii="Arial" w:hAnsi="Arial" w:cs="Arial"/>
          <w:i/>
          <w:iCs/>
          <w:sz w:val="24"/>
          <w:szCs w:val="24"/>
        </w:rPr>
        <w:t xml:space="preserve"> </w:t>
      </w:r>
      <w:r w:rsidRPr="008A0E03">
        <w:rPr>
          <w:rFonts w:ascii="Arial" w:hAnsi="Arial" w:cs="Arial"/>
          <w:sz w:val="24"/>
          <w:szCs w:val="24"/>
        </w:rPr>
        <w:t xml:space="preserve">Northouse, P.G. (2012) </w:t>
      </w:r>
      <w:r w:rsidRPr="008A0E03">
        <w:rPr>
          <w:rFonts w:ascii="Arial" w:hAnsi="Arial" w:cs="Arial"/>
          <w:i/>
          <w:iCs/>
          <w:sz w:val="24"/>
          <w:szCs w:val="24"/>
        </w:rPr>
        <w:t xml:space="preserve">Leadership: Theory and Practice, </w:t>
      </w:r>
      <w:r w:rsidRPr="008A0E03">
        <w:rPr>
          <w:rFonts w:ascii="Arial" w:hAnsi="Arial" w:cs="Arial"/>
          <w:sz w:val="24"/>
          <w:szCs w:val="24"/>
        </w:rPr>
        <w:t>6</w:t>
      </w:r>
      <w:r w:rsidRPr="008A0E03">
        <w:rPr>
          <w:rFonts w:ascii="Arial" w:hAnsi="Arial" w:cs="Arial"/>
          <w:sz w:val="24"/>
          <w:szCs w:val="24"/>
          <w:vertAlign w:val="superscript"/>
        </w:rPr>
        <w:t>th</w:t>
      </w:r>
      <w:r w:rsidRPr="008A0E03">
        <w:rPr>
          <w:rFonts w:ascii="Arial" w:hAnsi="Arial" w:cs="Arial"/>
          <w:sz w:val="24"/>
          <w:szCs w:val="24"/>
        </w:rPr>
        <w:t xml:space="preserve"> Edition, London: SAGE Publications</w:t>
      </w:r>
    </w:p>
    <w:p w14:paraId="0E8F3123" w14:textId="77777777" w:rsidR="002B2ACC" w:rsidRPr="008A0E03" w:rsidRDefault="002B2ACC" w:rsidP="002B2ACC">
      <w:pPr>
        <w:ind w:left="720" w:hanging="720"/>
        <w:rPr>
          <w:rFonts w:ascii="Arial" w:hAnsi="Arial" w:cs="Arial"/>
          <w:sz w:val="24"/>
          <w:szCs w:val="24"/>
        </w:rPr>
      </w:pPr>
      <w:r w:rsidRPr="008A0E03">
        <w:rPr>
          <w:rFonts w:ascii="Arial" w:hAnsi="Arial" w:cs="Arial"/>
          <w:sz w:val="24"/>
          <w:szCs w:val="24"/>
        </w:rPr>
        <w:t xml:space="preserve">Scott, C., Reicher, S., Drury, J. (2019) ‘London’s 2011 Riots: Report Blames Deprivation and Poor Policing – Not Mad, Bad, Dangerous People’, </w:t>
      </w:r>
      <w:proofErr w:type="spellStart"/>
      <w:r w:rsidRPr="008A0E03">
        <w:rPr>
          <w:rFonts w:ascii="Arial" w:hAnsi="Arial" w:cs="Arial"/>
          <w:i/>
          <w:iCs/>
          <w:sz w:val="24"/>
          <w:szCs w:val="24"/>
        </w:rPr>
        <w:t>Keele</w:t>
      </w:r>
      <w:proofErr w:type="spellEnd"/>
      <w:r w:rsidRPr="008A0E03">
        <w:rPr>
          <w:rFonts w:ascii="Arial" w:hAnsi="Arial" w:cs="Arial"/>
          <w:i/>
          <w:iCs/>
          <w:sz w:val="24"/>
          <w:szCs w:val="24"/>
        </w:rPr>
        <w:t xml:space="preserve"> University, </w:t>
      </w:r>
      <w:r w:rsidRPr="008A0E03">
        <w:rPr>
          <w:rFonts w:ascii="Arial" w:hAnsi="Arial" w:cs="Arial"/>
          <w:sz w:val="24"/>
          <w:szCs w:val="24"/>
        </w:rPr>
        <w:t>15</w:t>
      </w:r>
      <w:r w:rsidRPr="008A0E03">
        <w:rPr>
          <w:rFonts w:ascii="Arial" w:hAnsi="Arial" w:cs="Arial"/>
          <w:sz w:val="24"/>
          <w:szCs w:val="24"/>
          <w:vertAlign w:val="superscript"/>
        </w:rPr>
        <w:t>th</w:t>
      </w:r>
      <w:r w:rsidRPr="008A0E03">
        <w:rPr>
          <w:rFonts w:ascii="Arial" w:hAnsi="Arial" w:cs="Arial"/>
          <w:sz w:val="24"/>
          <w:szCs w:val="24"/>
        </w:rPr>
        <w:t xml:space="preserve"> February. Available at: </w:t>
      </w:r>
      <w:hyperlink r:id="rId12" w:history="1">
        <w:r w:rsidRPr="008A0E03">
          <w:rPr>
            <w:rStyle w:val="Hyperlink"/>
            <w:rFonts w:ascii="Arial" w:hAnsi="Arial" w:cs="Arial"/>
            <w:sz w:val="24"/>
            <w:szCs w:val="24"/>
          </w:rPr>
          <w:t>https://www.keele.ac.uk/kpac/newsandblogs/2019/february/2011-riots-report/deprivation-poor-policing.php</w:t>
        </w:r>
      </w:hyperlink>
      <w:r w:rsidRPr="008A0E03">
        <w:rPr>
          <w:rFonts w:ascii="Arial" w:hAnsi="Arial" w:cs="Arial"/>
          <w:sz w:val="24"/>
          <w:szCs w:val="24"/>
        </w:rPr>
        <w:t xml:space="preserve"> (Accessed: 4</w:t>
      </w:r>
      <w:r w:rsidRPr="008A0E03">
        <w:rPr>
          <w:rFonts w:ascii="Arial" w:hAnsi="Arial" w:cs="Arial"/>
          <w:sz w:val="24"/>
          <w:szCs w:val="24"/>
          <w:vertAlign w:val="superscript"/>
        </w:rPr>
        <w:t>th</w:t>
      </w:r>
      <w:r w:rsidRPr="008A0E03">
        <w:rPr>
          <w:rFonts w:ascii="Arial" w:hAnsi="Arial" w:cs="Arial"/>
          <w:sz w:val="24"/>
          <w:szCs w:val="24"/>
        </w:rPr>
        <w:t xml:space="preserve"> November 2022)</w:t>
      </w:r>
    </w:p>
    <w:p w14:paraId="60B1367F" w14:textId="55345FEC" w:rsidR="002B2ACC" w:rsidRPr="002B2ACC" w:rsidRDefault="002B2ACC" w:rsidP="002B2ACC">
      <w:pPr>
        <w:ind w:left="720" w:hanging="720"/>
        <w:rPr>
          <w:rFonts w:ascii="Arial" w:hAnsi="Arial" w:cs="Arial"/>
          <w:sz w:val="24"/>
          <w:szCs w:val="24"/>
        </w:rPr>
      </w:pPr>
      <w:r w:rsidRPr="008A0E03">
        <w:rPr>
          <w:rFonts w:ascii="Arial" w:hAnsi="Arial" w:cs="Arial"/>
          <w:sz w:val="24"/>
          <w:szCs w:val="24"/>
        </w:rPr>
        <w:t xml:space="preserve">Waddington, D. (2012) ‘The law of moments: understanding the flashpoint that ignited the riots’, </w:t>
      </w:r>
      <w:r w:rsidRPr="008A0E03">
        <w:rPr>
          <w:rFonts w:ascii="Arial" w:hAnsi="Arial" w:cs="Arial"/>
          <w:i/>
          <w:iCs/>
          <w:sz w:val="24"/>
          <w:szCs w:val="24"/>
        </w:rPr>
        <w:t xml:space="preserve">Criminal Justice Matters, </w:t>
      </w:r>
      <w:r w:rsidRPr="008A0E03">
        <w:rPr>
          <w:rFonts w:ascii="Arial" w:hAnsi="Arial" w:cs="Arial"/>
          <w:sz w:val="24"/>
          <w:szCs w:val="24"/>
        </w:rPr>
        <w:t xml:space="preserve">Vol. 87(1), pp. 6-7. DOI: 10.1080/09627251.2012.670993 </w:t>
      </w:r>
    </w:p>
    <w:sectPr w:rsidR="002B2ACC" w:rsidRPr="002B2ACC" w:rsidSect="00DA0FDB">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5B19" w14:textId="77777777" w:rsidR="008B44B4" w:rsidRDefault="008B44B4" w:rsidP="002B2ACC">
      <w:pPr>
        <w:spacing w:after="0" w:line="240" w:lineRule="auto"/>
      </w:pPr>
      <w:r>
        <w:separator/>
      </w:r>
    </w:p>
  </w:endnote>
  <w:endnote w:type="continuationSeparator" w:id="0">
    <w:p w14:paraId="18122724" w14:textId="77777777" w:rsidR="008B44B4" w:rsidRDefault="008B44B4" w:rsidP="002B2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096909"/>
      <w:docPartObj>
        <w:docPartGallery w:val="Page Numbers (Bottom of Page)"/>
        <w:docPartUnique/>
      </w:docPartObj>
    </w:sdtPr>
    <w:sdtEndPr>
      <w:rPr>
        <w:noProof/>
      </w:rPr>
    </w:sdtEndPr>
    <w:sdtContent>
      <w:p w14:paraId="3BEAD7D2" w14:textId="630DE150" w:rsidR="00E32BB9" w:rsidRDefault="00E32B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0C4FBB" w14:textId="77777777" w:rsidR="00E32BB9" w:rsidRDefault="00E32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56CA7" w14:textId="77777777" w:rsidR="008B44B4" w:rsidRDefault="008B44B4" w:rsidP="002B2ACC">
      <w:pPr>
        <w:spacing w:after="0" w:line="240" w:lineRule="auto"/>
      </w:pPr>
      <w:r>
        <w:separator/>
      </w:r>
    </w:p>
  </w:footnote>
  <w:footnote w:type="continuationSeparator" w:id="0">
    <w:p w14:paraId="7CE608E0" w14:textId="77777777" w:rsidR="008B44B4" w:rsidRDefault="008B44B4" w:rsidP="002B2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13E8F" w14:textId="05BEF8DF" w:rsidR="006C0FAC" w:rsidRDefault="006C0FAC">
    <w:pPr>
      <w:pStyle w:val="Header"/>
    </w:pPr>
    <w:r>
      <w:t>BMPL6004</w:t>
    </w:r>
    <w:r>
      <w:ptab w:relativeTo="margin" w:alignment="center" w:leader="none"/>
    </w:r>
    <w:r>
      <w:ptab w:relativeTo="margin" w:alignment="right" w:leader="none"/>
    </w:r>
    <w:r>
      <w:t>Daniel Jones</w:t>
    </w:r>
  </w:p>
  <w:p w14:paraId="0A5E34FE" w14:textId="6B32B2A1" w:rsidR="006C0FAC" w:rsidRDefault="006C0FAC" w:rsidP="006C0FAC">
    <w:pPr>
      <w:pStyle w:val="Header"/>
      <w:jc w:val="right"/>
    </w:pPr>
    <w:r>
      <w:t>2008078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70B"/>
    <w:rsid w:val="0001779C"/>
    <w:rsid w:val="000204A8"/>
    <w:rsid w:val="00041237"/>
    <w:rsid w:val="000446A5"/>
    <w:rsid w:val="0008008A"/>
    <w:rsid w:val="00166021"/>
    <w:rsid w:val="001D74D6"/>
    <w:rsid w:val="002B2ACC"/>
    <w:rsid w:val="00304CBD"/>
    <w:rsid w:val="003305BB"/>
    <w:rsid w:val="00443DD2"/>
    <w:rsid w:val="00462F60"/>
    <w:rsid w:val="00497EC0"/>
    <w:rsid w:val="004F74AE"/>
    <w:rsid w:val="00510411"/>
    <w:rsid w:val="005409DC"/>
    <w:rsid w:val="006709D9"/>
    <w:rsid w:val="006C0FAC"/>
    <w:rsid w:val="006F444B"/>
    <w:rsid w:val="006F4CB5"/>
    <w:rsid w:val="008B31EA"/>
    <w:rsid w:val="008B44B4"/>
    <w:rsid w:val="00952B36"/>
    <w:rsid w:val="009953D4"/>
    <w:rsid w:val="009F0D1A"/>
    <w:rsid w:val="009F741A"/>
    <w:rsid w:val="00B03ED0"/>
    <w:rsid w:val="00B558DD"/>
    <w:rsid w:val="00BB7693"/>
    <w:rsid w:val="00C269ED"/>
    <w:rsid w:val="00C26F18"/>
    <w:rsid w:val="00C836B7"/>
    <w:rsid w:val="00CB170B"/>
    <w:rsid w:val="00CC315B"/>
    <w:rsid w:val="00D573FD"/>
    <w:rsid w:val="00DA0FDB"/>
    <w:rsid w:val="00DD21FC"/>
    <w:rsid w:val="00E32BB9"/>
    <w:rsid w:val="00E61BDF"/>
    <w:rsid w:val="00E62760"/>
    <w:rsid w:val="00E656C1"/>
    <w:rsid w:val="00E67764"/>
    <w:rsid w:val="00EA6A06"/>
    <w:rsid w:val="00EA6EA4"/>
    <w:rsid w:val="00EE17C2"/>
    <w:rsid w:val="00F213A2"/>
    <w:rsid w:val="00F57E46"/>
    <w:rsid w:val="00F7519A"/>
    <w:rsid w:val="00F84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B7675"/>
  <w15:chartTrackingRefBased/>
  <w15:docId w15:val="{2F2CBBD4-6D18-4F0D-B0BE-411D4B055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0F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0FDB"/>
    <w:rPr>
      <w:rFonts w:eastAsiaTheme="minorEastAsia"/>
      <w:lang w:val="en-US"/>
    </w:rPr>
  </w:style>
  <w:style w:type="character" w:styleId="Hyperlink">
    <w:name w:val="Hyperlink"/>
    <w:basedOn w:val="DefaultParagraphFont"/>
    <w:uiPriority w:val="99"/>
    <w:unhideWhenUsed/>
    <w:rsid w:val="002B2ACC"/>
    <w:rPr>
      <w:color w:val="0563C1" w:themeColor="hyperlink"/>
      <w:u w:val="single"/>
    </w:rPr>
  </w:style>
  <w:style w:type="paragraph" w:styleId="Header">
    <w:name w:val="header"/>
    <w:basedOn w:val="Normal"/>
    <w:link w:val="HeaderChar"/>
    <w:uiPriority w:val="99"/>
    <w:unhideWhenUsed/>
    <w:rsid w:val="002B2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ACC"/>
  </w:style>
  <w:style w:type="paragraph" w:styleId="Footer">
    <w:name w:val="footer"/>
    <w:basedOn w:val="Normal"/>
    <w:link w:val="FooterChar"/>
    <w:uiPriority w:val="99"/>
    <w:unhideWhenUsed/>
    <w:rsid w:val="002B2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A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media/adapting-to-protest-20090705.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iscovery.ucl.ac.uk/id/eprint/1410544/1/1-s2.0-S0143622813002154-main.pdf" TargetMode="External"/><Relationship Id="rId12" Type="http://schemas.openxmlformats.org/officeDocument/2006/relationships/hyperlink" Target="https://www.keele.ac.uk/kpac/newsandblogs/2019/february/2011-riots-report/deprivation-poor-policing.php"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blogs.coventry.ac.uk/researchblog/five-years-after-his-death-sparked-riots-we-must-not-forget-mark-duggan/" TargetMode="External"/><Relationship Id="rId11" Type="http://schemas.openxmlformats.org/officeDocument/2006/relationships/hyperlink" Target="http://www.jstor.org/stable/43819259"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met.police.uk/cy-GB/foi-ai/metropolitan-police/disclosure-2019/november/tsg-mps/" TargetMode="External"/><Relationship Id="rId4" Type="http://schemas.openxmlformats.org/officeDocument/2006/relationships/footnotes" Target="footnotes.xml"/><Relationship Id="rId9" Type="http://schemas.openxmlformats.org/officeDocument/2006/relationships/hyperlink" Target="https://www.justiceinspectorates.gov.uk/hmicfrs/media/a-review-of-the-august-2011-disorders-20111220.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743</TotalTime>
  <Pages>5</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Theoretical Perspectives of</dc:title>
  <dc:subject>BMPL6004</dc:subject>
  <dc:creator>Daniel Jones (2008078)</dc:creator>
  <cp:keywords/>
  <dc:description/>
  <cp:lastModifiedBy>Daniel Jones (2008078)</cp:lastModifiedBy>
  <cp:revision>34</cp:revision>
  <dcterms:created xsi:type="dcterms:W3CDTF">2022-11-04T11:29:00Z</dcterms:created>
  <dcterms:modified xsi:type="dcterms:W3CDTF">2022-11-11T12:22:00Z</dcterms:modified>
</cp:coreProperties>
</file>