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5634" w:rsidRDefault="00053F84">
      <w:r>
        <w:t>Matrimony in Judaism is of great importance</w:t>
      </w:r>
      <w:r w:rsidR="004C6CA1">
        <w:t xml:space="preserve"> and significance. </w:t>
      </w:r>
      <w:r w:rsidR="00A05634">
        <w:t xml:space="preserve">The Torah is filled with laws detailing marriage and the Mishnah has a whole section on family life, </w:t>
      </w:r>
      <w:r w:rsidR="007422AB">
        <w:t>‘</w:t>
      </w:r>
      <w:r w:rsidR="00A05634">
        <w:t>Kiddushin</w:t>
      </w:r>
      <w:r w:rsidR="007422AB">
        <w:t>’</w:t>
      </w:r>
      <w:r w:rsidR="00A05634">
        <w:t xml:space="preserve">. Genesis 2:24 states </w:t>
      </w:r>
      <w:r w:rsidR="00A05634" w:rsidRPr="00A05634">
        <w:t>“Therefore a man shall leave his father and his mother and hold fast to his wife, and they shall become one flesh."</w:t>
      </w:r>
      <w:r w:rsidR="00D13DCA">
        <w:t xml:space="preserve"> In the Talmud: </w:t>
      </w:r>
      <w:r w:rsidR="00D13DCA" w:rsidRPr="00D13DCA">
        <w:t xml:space="preserve">‘A man without a woman is doomed to an existence without joy, without blessing, without experiencing life’s true goodness, without Torah, without protection and without peace.’ (Talmud, </w:t>
      </w:r>
      <w:proofErr w:type="spellStart"/>
      <w:r w:rsidR="00D13DCA" w:rsidRPr="00D13DCA">
        <w:t>Yevamot</w:t>
      </w:r>
      <w:proofErr w:type="spellEnd"/>
      <w:r w:rsidR="00D13DCA" w:rsidRPr="00D13DCA">
        <w:t xml:space="preserve"> 62b)</w:t>
      </w:r>
      <w:r w:rsidR="00D13DCA">
        <w:t>.</w:t>
      </w:r>
      <w:r w:rsidR="00A4211C">
        <w:t xml:space="preserve"> Because of Marriage’s sanctity, as both a legal statement of marriage and a union before God, there is a great </w:t>
      </w:r>
      <w:r w:rsidR="007422AB">
        <w:t>significance placed on marriage. Therefore, the act of a divorce in Judaism is a process that is, traditionally, not taken lightly and without good reason.</w:t>
      </w:r>
    </w:p>
    <w:p w:rsidR="00A05634" w:rsidRDefault="007422AB">
      <w:r>
        <w:t xml:space="preserve">A Jewish marriage consists of two stages: the </w:t>
      </w:r>
      <w:r w:rsidR="00401D61">
        <w:t>K</w:t>
      </w:r>
      <w:r>
        <w:t xml:space="preserve">iddushin stage and the </w:t>
      </w:r>
      <w:r w:rsidR="00401D61">
        <w:t>N</w:t>
      </w:r>
      <w:r>
        <w:t>issuin</w:t>
      </w:r>
      <w:r w:rsidR="00401D61">
        <w:t>. The Kiddushin stage acts as a betrothal between the bride and the groom. It is a legal process of acknowledging and establishing a bond of marriage. It is observed by the families of the betrothed (typically the father)</w:t>
      </w:r>
      <w:r w:rsidR="00DB6566">
        <w:t>. A The practice of fathers giving away their daughters is found in the Bible: ‘</w:t>
      </w:r>
      <w:r w:rsidR="00DB6566" w:rsidRPr="00DB6566">
        <w:t xml:space="preserve">Laban and Bethuel answered, “This is from the Lord; we can say nothing to you one way or the other. 51 Here is Rebekah; take her and </w:t>
      </w:r>
      <w:proofErr w:type="gramStart"/>
      <w:r w:rsidR="00DB6566" w:rsidRPr="00DB6566">
        <w:t>go, and</w:t>
      </w:r>
      <w:proofErr w:type="gramEnd"/>
      <w:r w:rsidR="00DB6566" w:rsidRPr="00DB6566">
        <w:t xml:space="preserve"> let her become the wife of your master’s son, as the Lord has directed.”</w:t>
      </w:r>
      <w:r w:rsidR="00DB6566">
        <w:t>’</w:t>
      </w:r>
      <w:r w:rsidR="00D306F3">
        <w:t xml:space="preserve"> A ring is given to the bride by the groom and he states, </w:t>
      </w:r>
      <w:r w:rsidR="00D306F3" w:rsidRPr="00D306F3">
        <w:t>‘You are betrothed to me by means of this ring in accordance with the law of Moses and Israel’, followed by two blessings and a shared cup of wine</w:t>
      </w:r>
      <w:r w:rsidR="00D306F3">
        <w:t>.</w:t>
      </w:r>
      <w:r w:rsidR="00DB6566">
        <w:t xml:space="preserve"> (Genesis 24:50-51). </w:t>
      </w:r>
      <w:r w:rsidR="00D306F3">
        <w:t>In t</w:t>
      </w:r>
      <w:r w:rsidR="00DB6566">
        <w:t xml:space="preserve">he second stage, the Nissuin, </w:t>
      </w:r>
      <w:r w:rsidR="00D306F3">
        <w:t>the marriage is consummated proper. A ‘Ketubah’ is read aloud to start the second stage. A Ketubah is a marriage contract that outlines the responsibilities of the wife and the husband and is signed by the bride, the groom, at least two witnesses and a rabbi.</w:t>
      </w:r>
    </w:p>
    <w:p w:rsidR="00EB6BF8" w:rsidRDefault="00B32CD2">
      <w:r>
        <w:t>Marriage, given its reliance on the Torah, varies amongst the various forms of contemporary Judaism.</w:t>
      </w:r>
      <w:r w:rsidR="00266951">
        <w:t xml:space="preserve"> </w:t>
      </w:r>
      <w:r w:rsidR="00EA4EC5">
        <w:t xml:space="preserve">In Orthodox Judaism, </w:t>
      </w:r>
      <w:r w:rsidR="00F247C3">
        <w:t xml:space="preserve">men and women are separated for both the Kiddushin and the Nissuin. Orthodox Jews also feast for seven nights and seven days. Before the ceremony it is expected that the groom covers the wife’s face with a veil. After the celebrations, the groom signs the Ketubah and the marriage </w:t>
      </w:r>
      <w:r w:rsidR="00D13DCA">
        <w:t>is effective immediately.</w:t>
      </w:r>
      <w:r w:rsidR="00AD6C58">
        <w:t xml:space="preserve"> In</w:t>
      </w:r>
      <w:r w:rsidR="00D13DCA">
        <w:t xml:space="preserve"> Reform Judaism</w:t>
      </w:r>
      <w:r w:rsidR="00EB6BF8">
        <w:t xml:space="preserve">, there is no separation of men and women. Both the bride and the groom exchange rings and the bride’s face </w:t>
      </w:r>
      <w:proofErr w:type="gramStart"/>
      <w:r w:rsidR="00EB6BF8">
        <w:t>is</w:t>
      </w:r>
      <w:proofErr w:type="gramEnd"/>
      <w:r w:rsidR="00EB6BF8">
        <w:t xml:space="preserve"> not covered before the ceremony. These differences in ceremony are </w:t>
      </w:r>
      <w:r w:rsidR="00AD6C58">
        <w:t xml:space="preserve">significant in that they are reflective of the difference in belief between the two forms of Judaism. Both sexes are mixed in the Reform wedding because of a belief that the Torah was written over different periods by various authors. </w:t>
      </w:r>
      <w:r w:rsidR="004D2DDC">
        <w:t>The Law is an adaptable thing that can fit to any situation. This includes a view of both men and women as equal individuals, which is why both the bride and the groom exchange rings. Therefore</w:t>
      </w:r>
      <w:r w:rsidR="00AD6C58">
        <w:t xml:space="preserve">, a greater emphasis is </w:t>
      </w:r>
      <w:r w:rsidR="009E4683">
        <w:t xml:space="preserve">placed on the underlying messages of the Torah rather than a fundamentalist view of the laws. Orthodox Judaism is fundamentalist in nature and </w:t>
      </w:r>
      <w:r w:rsidR="004D2DDC">
        <w:t xml:space="preserve">therefore </w:t>
      </w:r>
      <w:proofErr w:type="gramStart"/>
      <w:r w:rsidR="004D2DDC">
        <w:t>all of</w:t>
      </w:r>
      <w:proofErr w:type="gramEnd"/>
      <w:r w:rsidR="004D2DDC">
        <w:t xml:space="preserve"> the ceremonies and processes of a marriage must be in accordance with the Talmud and Torah.</w:t>
      </w:r>
      <w:r w:rsidR="008608E7">
        <w:t xml:space="preserve"> </w:t>
      </w:r>
      <w:sdt>
        <w:sdtPr>
          <w:id w:val="430095024"/>
          <w:citation/>
        </w:sdtPr>
        <w:sdtContent>
          <w:r w:rsidR="008608E7">
            <w:fldChar w:fldCharType="begin"/>
          </w:r>
          <w:r w:rsidR="008608E7">
            <w:instrText xml:space="preserve">CITATION Adl06 \l 2057 </w:instrText>
          </w:r>
          <w:r w:rsidR="008608E7">
            <w:fldChar w:fldCharType="separate"/>
          </w:r>
          <w:r w:rsidR="00BA3BE9" w:rsidRPr="00BA3BE9">
            <w:rPr>
              <w:noProof/>
            </w:rPr>
            <w:t>(Adler et al, 1906)</w:t>
          </w:r>
          <w:r w:rsidR="008608E7">
            <w:fldChar w:fldCharType="end"/>
          </w:r>
        </w:sdtContent>
      </w:sdt>
    </w:p>
    <w:p w:rsidR="00D92C18" w:rsidRDefault="004D2DDC">
      <w:r>
        <w:t xml:space="preserve">Divorce, like marriage, is traditionally open to accusations of being androcentric and patriarchal. Especially when the Torah and Talmud is followed fundamentally (i.e. Orthodox Jews). Divorce in Judaism involves the husband providing his wife with a ‘Get’ document of divorce. This document can only be given by the husband. </w:t>
      </w:r>
      <w:r w:rsidR="00D92C18">
        <w:t xml:space="preserve">There are strict grounds that are required to be met for a divorce to pass a Bet Din (rabbinical court) in Judaism. These are detailed within the Kiddushin in the Mishnah. These grounds for divorce are typically breaches of the Ketubah contract. For example, </w:t>
      </w:r>
      <w:r w:rsidR="00CE5CBE">
        <w:t xml:space="preserve">the husband marrying his wife without knowing that she is not a virgin, </w:t>
      </w:r>
      <w:r w:rsidR="00D92C18">
        <w:t xml:space="preserve">committing adultery, denial of marital responsibilities (i.e. the wife is always away). Although the Get contract can only be signed and demanded by the husband, the husband can be made to initiate a divorce by a woman by a Bet Din. A wife’s grounds for divorce include domestic abuse, the husband commits adultery (this includes just spending time with other women), the failure to adhere to the Ketubah’s demands that the husband provide for the wife or their children, or if the husband cannot (for any reason) have </w:t>
      </w:r>
      <w:r w:rsidR="00D92C18">
        <w:lastRenderedPageBreak/>
        <w:t xml:space="preserve">children. </w:t>
      </w:r>
      <w:r w:rsidR="00CE5CBE">
        <w:t xml:space="preserve">This process is found since biblical times and is found in the book of Deuteronomy: </w:t>
      </w:r>
      <w:r w:rsidR="00CE5CBE" w:rsidRPr="00CE5CBE">
        <w:t>‘Suppose a man enters into marriage with a woman, but she does not please him because he finds something objectionable about her, and so he writes her a certificate of divorce (get), puts it in her hand, and sends her out of his house’ (Deut. 24:1)</w:t>
      </w:r>
      <w:r w:rsidR="00BA3BE9">
        <w:t xml:space="preserve"> </w:t>
      </w:r>
    </w:p>
    <w:p w:rsidR="00CE5CBE" w:rsidRDefault="00CE5CBE">
      <w:r>
        <w:t xml:space="preserve">These grounds for divorce are held in almost all sects of Judaism, including Orthodoxy, Reform Judaism, and Conservative Judaism. So long as there are enough grounds, a marriage may be </w:t>
      </w:r>
      <w:r>
        <w:rPr>
          <w:i/>
        </w:rPr>
        <w:t>spiritually</w:t>
      </w:r>
      <w:r>
        <w:t xml:space="preserve"> divorced. However, whether a civil divorce is </w:t>
      </w:r>
      <w:proofErr w:type="gramStart"/>
      <w:r>
        <w:t>sufficient</w:t>
      </w:r>
      <w:proofErr w:type="gramEnd"/>
      <w:r>
        <w:t xml:space="preserve"> for a marriage to be considered ended differs between forms.</w:t>
      </w:r>
    </w:p>
    <w:p w:rsidR="008608E7" w:rsidRPr="00CE5CBE" w:rsidRDefault="00CE5CBE">
      <w:r>
        <w:t xml:space="preserve">In Orthodox Judaism, a civil divorce under local law is not </w:t>
      </w:r>
      <w:proofErr w:type="gramStart"/>
      <w:r>
        <w:t>sufficient</w:t>
      </w:r>
      <w:proofErr w:type="gramEnd"/>
      <w:r>
        <w:t xml:space="preserve"> as it was not performed under halakhic circumstances. The problem with this is that divorce can only be effectuated by the Get given by the husband. This has led to a </w:t>
      </w:r>
      <w:r w:rsidR="008608E7">
        <w:t xml:space="preserve">flaw in the law whereby a woman whose husband has died or gone missing without providing her with a Get, that would allow her to remarry, cannot remarry and is essentially left without a family. She is seen as chained to the husband and is known as an ‘Agunah’ (chained woman). In reformed Judaism, a civil divorce is enough for a divorce both legally and spiritually. Conservative Judaism meets in the middle, the halakhic process is still observed but its freedom to annul marriages civilly has solved the problem of the Agunah. </w:t>
      </w:r>
      <w:sdt>
        <w:sdtPr>
          <w:id w:val="1303035723"/>
          <w:citation/>
        </w:sdtPr>
        <w:sdtContent>
          <w:r w:rsidR="00BA3BE9">
            <w:fldChar w:fldCharType="begin"/>
          </w:r>
          <w:r w:rsidR="00BA3BE9">
            <w:instrText xml:space="preserve">CITATION Mar90 \l 2057 </w:instrText>
          </w:r>
          <w:r w:rsidR="00BA3BE9">
            <w:fldChar w:fldCharType="separate"/>
          </w:r>
          <w:r w:rsidR="00BA3BE9" w:rsidRPr="00BA3BE9">
            <w:rPr>
              <w:noProof/>
            </w:rPr>
            <w:t>(Loewenstein, 1990)</w:t>
          </w:r>
          <w:r w:rsidR="00BA3BE9">
            <w:fldChar w:fldCharType="end"/>
          </w:r>
        </w:sdtContent>
      </w:sdt>
      <w:r w:rsidR="00BA3BE9">
        <w:t xml:space="preserve"> </w:t>
      </w:r>
      <w:bookmarkStart w:id="0" w:name="_GoBack"/>
      <w:bookmarkEnd w:id="0"/>
    </w:p>
    <w:sdt>
      <w:sdtPr>
        <w:id w:val="-561410155"/>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8608E7" w:rsidRDefault="00E63AE4">
          <w:pPr>
            <w:pStyle w:val="Heading1"/>
          </w:pPr>
          <w:r>
            <w:t>Bibliography</w:t>
          </w:r>
        </w:p>
        <w:sdt>
          <w:sdtPr>
            <w:id w:val="-573587230"/>
            <w:bibliography/>
          </w:sdtPr>
          <w:sdtContent>
            <w:p w:rsidR="00BA3BE9" w:rsidRDefault="008608E7" w:rsidP="00BA3BE9">
              <w:pPr>
                <w:pStyle w:val="Bibliography"/>
                <w:rPr>
                  <w:noProof/>
                  <w:sz w:val="24"/>
                  <w:szCs w:val="24"/>
                  <w:lang w:val="en-US"/>
                </w:rPr>
              </w:pPr>
              <w:r>
                <w:fldChar w:fldCharType="begin"/>
              </w:r>
              <w:r>
                <w:instrText xml:space="preserve"> BIBLIOGRAPHY </w:instrText>
              </w:r>
              <w:r>
                <w:fldChar w:fldCharType="separate"/>
              </w:r>
              <w:r w:rsidR="00BA3BE9">
                <w:rPr>
                  <w:noProof/>
                  <w:lang w:val="en-US"/>
                </w:rPr>
                <w:t xml:space="preserve">Adler et al, 1906. In: </w:t>
              </w:r>
              <w:r w:rsidR="00BA3BE9">
                <w:rPr>
                  <w:i/>
                  <w:iCs/>
                  <w:noProof/>
                  <w:lang w:val="en-US"/>
                </w:rPr>
                <w:t xml:space="preserve">The Jewish encyclopedia : a descriptive record of the history, religion, literature, and customs of the Jewish people from the earliest times to the present day. </w:t>
              </w:r>
              <w:r w:rsidR="00BA3BE9">
                <w:rPr>
                  <w:noProof/>
                  <w:lang w:val="en-US"/>
                </w:rPr>
                <w:t>New York ; London: Funk and Wagnalls Company, pp. 340-341.</w:t>
              </w:r>
            </w:p>
            <w:p w:rsidR="00BA3BE9" w:rsidRDefault="00BA3BE9" w:rsidP="00BA3BE9">
              <w:pPr>
                <w:pStyle w:val="Bibliography"/>
                <w:rPr>
                  <w:noProof/>
                  <w:lang w:val="en-US"/>
                </w:rPr>
              </w:pPr>
              <w:r>
                <w:rPr>
                  <w:noProof/>
                  <w:lang w:val="en-US"/>
                </w:rPr>
                <w:t xml:space="preserve">Loewenstein, M., 1990. Jewish Divorce and the Secular Law. </w:t>
              </w:r>
              <w:r>
                <w:rPr>
                  <w:i/>
                  <w:iCs/>
                  <w:noProof/>
                  <w:lang w:val="en-US"/>
                </w:rPr>
                <w:t xml:space="preserve">Judaism, </w:t>
              </w:r>
              <w:r>
                <w:rPr>
                  <w:noProof/>
                  <w:lang w:val="en-US"/>
                </w:rPr>
                <w:t>39(1), p. 7.</w:t>
              </w:r>
            </w:p>
            <w:p w:rsidR="008608E7" w:rsidRDefault="008608E7" w:rsidP="00BA3BE9">
              <w:r>
                <w:rPr>
                  <w:b/>
                  <w:bCs/>
                  <w:noProof/>
                </w:rPr>
                <w:fldChar w:fldCharType="end"/>
              </w:r>
            </w:p>
          </w:sdtContent>
        </w:sdt>
      </w:sdtContent>
    </w:sdt>
    <w:p w:rsidR="008608E7" w:rsidRPr="00CE5CBE" w:rsidRDefault="008608E7"/>
    <w:sectPr w:rsidR="008608E7" w:rsidRPr="00CE5CB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32CE" w:rsidRDefault="008832CE" w:rsidP="00BC342F">
      <w:pPr>
        <w:spacing w:after="0" w:line="240" w:lineRule="auto"/>
      </w:pPr>
      <w:r>
        <w:separator/>
      </w:r>
    </w:p>
  </w:endnote>
  <w:endnote w:type="continuationSeparator" w:id="0">
    <w:p w:rsidR="008832CE" w:rsidRDefault="008832CE" w:rsidP="00BC3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647298"/>
      <w:docPartObj>
        <w:docPartGallery w:val="Page Numbers (Bottom of Page)"/>
        <w:docPartUnique/>
      </w:docPartObj>
    </w:sdtPr>
    <w:sdtEndPr>
      <w:rPr>
        <w:noProof/>
      </w:rPr>
    </w:sdtEndPr>
    <w:sdtContent>
      <w:p w:rsidR="009D0228" w:rsidRDefault="009D02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D0228" w:rsidRDefault="009D02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32CE" w:rsidRDefault="008832CE" w:rsidP="00BC342F">
      <w:pPr>
        <w:spacing w:after="0" w:line="240" w:lineRule="auto"/>
      </w:pPr>
      <w:r>
        <w:separator/>
      </w:r>
    </w:p>
  </w:footnote>
  <w:footnote w:type="continuationSeparator" w:id="0">
    <w:p w:rsidR="008832CE" w:rsidRDefault="008832CE" w:rsidP="00BC34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342F" w:rsidRPr="002C4EDD" w:rsidRDefault="00BC342F">
    <w:pPr>
      <w:pStyle w:val="Header"/>
      <w:rPr>
        <w:sz w:val="18"/>
      </w:rPr>
    </w:pPr>
    <w:r w:rsidRPr="002C4EDD">
      <w:rPr>
        <w:rFonts w:ascii="Arial" w:hAnsi="Arial" w:cs="Arial"/>
        <w:color w:val="222222"/>
        <w:sz w:val="16"/>
        <w:szCs w:val="20"/>
        <w:shd w:val="clear" w:color="auto" w:fill="FFFFFF"/>
      </w:rPr>
      <w:t>Discuss the significance of the marriage and divorce laws in Judaism. In your discussion please include both primary and secondary sources noting any differences between Orthodox and </w:t>
    </w:r>
    <w:r w:rsidRPr="002C4EDD">
      <w:rPr>
        <w:sz w:val="18"/>
      </w:rPr>
      <w:t>Reform Judaism.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8F8"/>
    <w:rsid w:val="00053F84"/>
    <w:rsid w:val="00266951"/>
    <w:rsid w:val="002C4EDD"/>
    <w:rsid w:val="002F5782"/>
    <w:rsid w:val="00366D17"/>
    <w:rsid w:val="00401D61"/>
    <w:rsid w:val="004C6CA1"/>
    <w:rsid w:val="004D2DDC"/>
    <w:rsid w:val="005755D4"/>
    <w:rsid w:val="006C288E"/>
    <w:rsid w:val="007422AB"/>
    <w:rsid w:val="008608E7"/>
    <w:rsid w:val="008832CE"/>
    <w:rsid w:val="009D0228"/>
    <w:rsid w:val="009E4683"/>
    <w:rsid w:val="009F297B"/>
    <w:rsid w:val="00A05634"/>
    <w:rsid w:val="00A4211C"/>
    <w:rsid w:val="00AD6C58"/>
    <w:rsid w:val="00B32CD2"/>
    <w:rsid w:val="00BA3BE9"/>
    <w:rsid w:val="00BC342F"/>
    <w:rsid w:val="00CE5CBE"/>
    <w:rsid w:val="00D13DCA"/>
    <w:rsid w:val="00D306F3"/>
    <w:rsid w:val="00D92C18"/>
    <w:rsid w:val="00DB6566"/>
    <w:rsid w:val="00E63AE4"/>
    <w:rsid w:val="00EA4EC5"/>
    <w:rsid w:val="00EB6BF8"/>
    <w:rsid w:val="00ED18F8"/>
    <w:rsid w:val="00F24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90C6E"/>
  <w15:chartTrackingRefBased/>
  <w15:docId w15:val="{3E35E75D-8075-4672-8675-D83FC87DA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08E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34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42F"/>
  </w:style>
  <w:style w:type="paragraph" w:styleId="Footer">
    <w:name w:val="footer"/>
    <w:basedOn w:val="Normal"/>
    <w:link w:val="FooterChar"/>
    <w:uiPriority w:val="99"/>
    <w:unhideWhenUsed/>
    <w:rsid w:val="00BC34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42F"/>
  </w:style>
  <w:style w:type="character" w:styleId="Hyperlink">
    <w:name w:val="Hyperlink"/>
    <w:basedOn w:val="DefaultParagraphFont"/>
    <w:uiPriority w:val="99"/>
    <w:unhideWhenUsed/>
    <w:rsid w:val="00BC342F"/>
    <w:rPr>
      <w:color w:val="0000FF"/>
      <w:u w:val="single"/>
    </w:rPr>
  </w:style>
  <w:style w:type="character" w:customStyle="1" w:styleId="Heading1Char">
    <w:name w:val="Heading 1 Char"/>
    <w:basedOn w:val="DefaultParagraphFont"/>
    <w:link w:val="Heading1"/>
    <w:uiPriority w:val="9"/>
    <w:rsid w:val="008608E7"/>
    <w:rPr>
      <w:rFonts w:asciiTheme="majorHAnsi" w:eastAsiaTheme="majorEastAsia" w:hAnsiTheme="majorHAnsi" w:cstheme="majorBidi"/>
      <w:color w:val="2F5496" w:themeColor="accent1" w:themeShade="BF"/>
      <w:sz w:val="32"/>
      <w:szCs w:val="32"/>
      <w:lang w:val="en-US"/>
    </w:rPr>
  </w:style>
  <w:style w:type="paragraph" w:styleId="BalloonText">
    <w:name w:val="Balloon Text"/>
    <w:basedOn w:val="Normal"/>
    <w:link w:val="BalloonTextChar"/>
    <w:uiPriority w:val="99"/>
    <w:semiHidden/>
    <w:unhideWhenUsed/>
    <w:rsid w:val="008608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08E7"/>
    <w:rPr>
      <w:rFonts w:ascii="Segoe UI" w:hAnsi="Segoe UI" w:cs="Segoe UI"/>
      <w:sz w:val="18"/>
      <w:szCs w:val="18"/>
    </w:rPr>
  </w:style>
  <w:style w:type="paragraph" w:styleId="Bibliography">
    <w:name w:val="Bibliography"/>
    <w:basedOn w:val="Normal"/>
    <w:next w:val="Normal"/>
    <w:uiPriority w:val="37"/>
    <w:unhideWhenUsed/>
    <w:rsid w:val="008608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61483">
      <w:bodyDiv w:val="1"/>
      <w:marLeft w:val="0"/>
      <w:marRight w:val="0"/>
      <w:marTop w:val="0"/>
      <w:marBottom w:val="0"/>
      <w:divBdr>
        <w:top w:val="none" w:sz="0" w:space="0" w:color="auto"/>
        <w:left w:val="none" w:sz="0" w:space="0" w:color="auto"/>
        <w:bottom w:val="none" w:sz="0" w:space="0" w:color="auto"/>
        <w:right w:val="none" w:sz="0" w:space="0" w:color="auto"/>
      </w:divBdr>
    </w:div>
    <w:div w:id="106462131">
      <w:bodyDiv w:val="1"/>
      <w:marLeft w:val="0"/>
      <w:marRight w:val="0"/>
      <w:marTop w:val="0"/>
      <w:marBottom w:val="0"/>
      <w:divBdr>
        <w:top w:val="none" w:sz="0" w:space="0" w:color="auto"/>
        <w:left w:val="none" w:sz="0" w:space="0" w:color="auto"/>
        <w:bottom w:val="none" w:sz="0" w:space="0" w:color="auto"/>
        <w:right w:val="none" w:sz="0" w:space="0" w:color="auto"/>
      </w:divBdr>
    </w:div>
    <w:div w:id="119152951">
      <w:bodyDiv w:val="1"/>
      <w:marLeft w:val="0"/>
      <w:marRight w:val="0"/>
      <w:marTop w:val="0"/>
      <w:marBottom w:val="0"/>
      <w:divBdr>
        <w:top w:val="none" w:sz="0" w:space="0" w:color="auto"/>
        <w:left w:val="none" w:sz="0" w:space="0" w:color="auto"/>
        <w:bottom w:val="none" w:sz="0" w:space="0" w:color="auto"/>
        <w:right w:val="none" w:sz="0" w:space="0" w:color="auto"/>
      </w:divBdr>
    </w:div>
    <w:div w:id="312685187">
      <w:bodyDiv w:val="1"/>
      <w:marLeft w:val="0"/>
      <w:marRight w:val="0"/>
      <w:marTop w:val="0"/>
      <w:marBottom w:val="0"/>
      <w:divBdr>
        <w:top w:val="none" w:sz="0" w:space="0" w:color="auto"/>
        <w:left w:val="none" w:sz="0" w:space="0" w:color="auto"/>
        <w:bottom w:val="none" w:sz="0" w:space="0" w:color="auto"/>
        <w:right w:val="none" w:sz="0" w:space="0" w:color="auto"/>
      </w:divBdr>
    </w:div>
    <w:div w:id="473062353">
      <w:bodyDiv w:val="1"/>
      <w:marLeft w:val="0"/>
      <w:marRight w:val="0"/>
      <w:marTop w:val="0"/>
      <w:marBottom w:val="0"/>
      <w:divBdr>
        <w:top w:val="none" w:sz="0" w:space="0" w:color="auto"/>
        <w:left w:val="none" w:sz="0" w:space="0" w:color="auto"/>
        <w:bottom w:val="none" w:sz="0" w:space="0" w:color="auto"/>
        <w:right w:val="none" w:sz="0" w:space="0" w:color="auto"/>
      </w:divBdr>
    </w:div>
    <w:div w:id="490996404">
      <w:bodyDiv w:val="1"/>
      <w:marLeft w:val="0"/>
      <w:marRight w:val="0"/>
      <w:marTop w:val="0"/>
      <w:marBottom w:val="0"/>
      <w:divBdr>
        <w:top w:val="none" w:sz="0" w:space="0" w:color="auto"/>
        <w:left w:val="none" w:sz="0" w:space="0" w:color="auto"/>
        <w:bottom w:val="none" w:sz="0" w:space="0" w:color="auto"/>
        <w:right w:val="none" w:sz="0" w:space="0" w:color="auto"/>
      </w:divBdr>
    </w:div>
    <w:div w:id="576017723">
      <w:bodyDiv w:val="1"/>
      <w:marLeft w:val="0"/>
      <w:marRight w:val="0"/>
      <w:marTop w:val="0"/>
      <w:marBottom w:val="0"/>
      <w:divBdr>
        <w:top w:val="none" w:sz="0" w:space="0" w:color="auto"/>
        <w:left w:val="none" w:sz="0" w:space="0" w:color="auto"/>
        <w:bottom w:val="none" w:sz="0" w:space="0" w:color="auto"/>
        <w:right w:val="none" w:sz="0" w:space="0" w:color="auto"/>
      </w:divBdr>
    </w:div>
    <w:div w:id="688801205">
      <w:bodyDiv w:val="1"/>
      <w:marLeft w:val="0"/>
      <w:marRight w:val="0"/>
      <w:marTop w:val="0"/>
      <w:marBottom w:val="0"/>
      <w:divBdr>
        <w:top w:val="none" w:sz="0" w:space="0" w:color="auto"/>
        <w:left w:val="none" w:sz="0" w:space="0" w:color="auto"/>
        <w:bottom w:val="none" w:sz="0" w:space="0" w:color="auto"/>
        <w:right w:val="none" w:sz="0" w:space="0" w:color="auto"/>
      </w:divBdr>
    </w:div>
    <w:div w:id="765072968">
      <w:bodyDiv w:val="1"/>
      <w:marLeft w:val="0"/>
      <w:marRight w:val="0"/>
      <w:marTop w:val="0"/>
      <w:marBottom w:val="0"/>
      <w:divBdr>
        <w:top w:val="none" w:sz="0" w:space="0" w:color="auto"/>
        <w:left w:val="none" w:sz="0" w:space="0" w:color="auto"/>
        <w:bottom w:val="none" w:sz="0" w:space="0" w:color="auto"/>
        <w:right w:val="none" w:sz="0" w:space="0" w:color="auto"/>
      </w:divBdr>
    </w:div>
    <w:div w:id="860438245">
      <w:bodyDiv w:val="1"/>
      <w:marLeft w:val="0"/>
      <w:marRight w:val="0"/>
      <w:marTop w:val="0"/>
      <w:marBottom w:val="0"/>
      <w:divBdr>
        <w:top w:val="none" w:sz="0" w:space="0" w:color="auto"/>
        <w:left w:val="none" w:sz="0" w:space="0" w:color="auto"/>
        <w:bottom w:val="none" w:sz="0" w:space="0" w:color="auto"/>
        <w:right w:val="none" w:sz="0" w:space="0" w:color="auto"/>
      </w:divBdr>
    </w:div>
    <w:div w:id="983774562">
      <w:bodyDiv w:val="1"/>
      <w:marLeft w:val="0"/>
      <w:marRight w:val="0"/>
      <w:marTop w:val="0"/>
      <w:marBottom w:val="0"/>
      <w:divBdr>
        <w:top w:val="none" w:sz="0" w:space="0" w:color="auto"/>
        <w:left w:val="none" w:sz="0" w:space="0" w:color="auto"/>
        <w:bottom w:val="none" w:sz="0" w:space="0" w:color="auto"/>
        <w:right w:val="none" w:sz="0" w:space="0" w:color="auto"/>
      </w:divBdr>
    </w:div>
    <w:div w:id="1023166494">
      <w:bodyDiv w:val="1"/>
      <w:marLeft w:val="0"/>
      <w:marRight w:val="0"/>
      <w:marTop w:val="0"/>
      <w:marBottom w:val="0"/>
      <w:divBdr>
        <w:top w:val="none" w:sz="0" w:space="0" w:color="auto"/>
        <w:left w:val="none" w:sz="0" w:space="0" w:color="auto"/>
        <w:bottom w:val="none" w:sz="0" w:space="0" w:color="auto"/>
        <w:right w:val="none" w:sz="0" w:space="0" w:color="auto"/>
      </w:divBdr>
    </w:div>
    <w:div w:id="1081297455">
      <w:bodyDiv w:val="1"/>
      <w:marLeft w:val="0"/>
      <w:marRight w:val="0"/>
      <w:marTop w:val="0"/>
      <w:marBottom w:val="0"/>
      <w:divBdr>
        <w:top w:val="none" w:sz="0" w:space="0" w:color="auto"/>
        <w:left w:val="none" w:sz="0" w:space="0" w:color="auto"/>
        <w:bottom w:val="none" w:sz="0" w:space="0" w:color="auto"/>
        <w:right w:val="none" w:sz="0" w:space="0" w:color="auto"/>
      </w:divBdr>
    </w:div>
    <w:div w:id="1174151883">
      <w:bodyDiv w:val="1"/>
      <w:marLeft w:val="0"/>
      <w:marRight w:val="0"/>
      <w:marTop w:val="0"/>
      <w:marBottom w:val="0"/>
      <w:divBdr>
        <w:top w:val="none" w:sz="0" w:space="0" w:color="auto"/>
        <w:left w:val="none" w:sz="0" w:space="0" w:color="auto"/>
        <w:bottom w:val="none" w:sz="0" w:space="0" w:color="auto"/>
        <w:right w:val="none" w:sz="0" w:space="0" w:color="auto"/>
      </w:divBdr>
    </w:div>
    <w:div w:id="1193149588">
      <w:bodyDiv w:val="1"/>
      <w:marLeft w:val="0"/>
      <w:marRight w:val="0"/>
      <w:marTop w:val="0"/>
      <w:marBottom w:val="0"/>
      <w:divBdr>
        <w:top w:val="none" w:sz="0" w:space="0" w:color="auto"/>
        <w:left w:val="none" w:sz="0" w:space="0" w:color="auto"/>
        <w:bottom w:val="none" w:sz="0" w:space="0" w:color="auto"/>
        <w:right w:val="none" w:sz="0" w:space="0" w:color="auto"/>
      </w:divBdr>
    </w:div>
    <w:div w:id="1215117661">
      <w:bodyDiv w:val="1"/>
      <w:marLeft w:val="0"/>
      <w:marRight w:val="0"/>
      <w:marTop w:val="0"/>
      <w:marBottom w:val="0"/>
      <w:divBdr>
        <w:top w:val="none" w:sz="0" w:space="0" w:color="auto"/>
        <w:left w:val="none" w:sz="0" w:space="0" w:color="auto"/>
        <w:bottom w:val="none" w:sz="0" w:space="0" w:color="auto"/>
        <w:right w:val="none" w:sz="0" w:space="0" w:color="auto"/>
      </w:divBdr>
    </w:div>
    <w:div w:id="1221482992">
      <w:bodyDiv w:val="1"/>
      <w:marLeft w:val="0"/>
      <w:marRight w:val="0"/>
      <w:marTop w:val="0"/>
      <w:marBottom w:val="0"/>
      <w:divBdr>
        <w:top w:val="none" w:sz="0" w:space="0" w:color="auto"/>
        <w:left w:val="none" w:sz="0" w:space="0" w:color="auto"/>
        <w:bottom w:val="none" w:sz="0" w:space="0" w:color="auto"/>
        <w:right w:val="none" w:sz="0" w:space="0" w:color="auto"/>
      </w:divBdr>
    </w:div>
    <w:div w:id="1534343773">
      <w:bodyDiv w:val="1"/>
      <w:marLeft w:val="0"/>
      <w:marRight w:val="0"/>
      <w:marTop w:val="0"/>
      <w:marBottom w:val="0"/>
      <w:divBdr>
        <w:top w:val="none" w:sz="0" w:space="0" w:color="auto"/>
        <w:left w:val="none" w:sz="0" w:space="0" w:color="auto"/>
        <w:bottom w:val="none" w:sz="0" w:space="0" w:color="auto"/>
        <w:right w:val="none" w:sz="0" w:space="0" w:color="auto"/>
      </w:divBdr>
    </w:div>
    <w:div w:id="1583097774">
      <w:bodyDiv w:val="1"/>
      <w:marLeft w:val="0"/>
      <w:marRight w:val="0"/>
      <w:marTop w:val="0"/>
      <w:marBottom w:val="0"/>
      <w:divBdr>
        <w:top w:val="none" w:sz="0" w:space="0" w:color="auto"/>
        <w:left w:val="none" w:sz="0" w:space="0" w:color="auto"/>
        <w:bottom w:val="none" w:sz="0" w:space="0" w:color="auto"/>
        <w:right w:val="none" w:sz="0" w:space="0" w:color="auto"/>
      </w:divBdr>
    </w:div>
    <w:div w:id="1651061059">
      <w:bodyDiv w:val="1"/>
      <w:marLeft w:val="0"/>
      <w:marRight w:val="0"/>
      <w:marTop w:val="0"/>
      <w:marBottom w:val="0"/>
      <w:divBdr>
        <w:top w:val="none" w:sz="0" w:space="0" w:color="auto"/>
        <w:left w:val="none" w:sz="0" w:space="0" w:color="auto"/>
        <w:bottom w:val="none" w:sz="0" w:space="0" w:color="auto"/>
        <w:right w:val="none" w:sz="0" w:space="0" w:color="auto"/>
      </w:divBdr>
    </w:div>
    <w:div w:id="1656644125">
      <w:bodyDiv w:val="1"/>
      <w:marLeft w:val="0"/>
      <w:marRight w:val="0"/>
      <w:marTop w:val="0"/>
      <w:marBottom w:val="0"/>
      <w:divBdr>
        <w:top w:val="none" w:sz="0" w:space="0" w:color="auto"/>
        <w:left w:val="none" w:sz="0" w:space="0" w:color="auto"/>
        <w:bottom w:val="none" w:sz="0" w:space="0" w:color="auto"/>
        <w:right w:val="none" w:sz="0" w:space="0" w:color="auto"/>
      </w:divBdr>
    </w:div>
    <w:div w:id="1923100220">
      <w:bodyDiv w:val="1"/>
      <w:marLeft w:val="0"/>
      <w:marRight w:val="0"/>
      <w:marTop w:val="0"/>
      <w:marBottom w:val="0"/>
      <w:divBdr>
        <w:top w:val="none" w:sz="0" w:space="0" w:color="auto"/>
        <w:left w:val="none" w:sz="0" w:space="0" w:color="auto"/>
        <w:bottom w:val="none" w:sz="0" w:space="0" w:color="auto"/>
        <w:right w:val="none" w:sz="0" w:space="0" w:color="auto"/>
      </w:divBdr>
    </w:div>
    <w:div w:id="198426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Adl06</b:Tag>
    <b:SourceType>BookSection</b:SourceType>
    <b:Guid>{410DF733-B03B-415D-8987-4E7B45F67045}</b:Guid>
    <b:Author>
      <b:Author>
        <b:Corporate>Adler et al</b:Corporate>
      </b:Author>
    </b:Author>
    <b:BookTitle>The Jewish encyclopedia : a descriptive record of the history, religion, literature, and customs of the Jewish people from the earliest times to the present day</b:BookTitle>
    <b:Year>1906</b:Year>
    <b:Pages>340-341</b:Pages>
    <b:City>New York ; London</b:City>
    <b:Publisher>Funk and Wagnalls Company</b:Publisher>
    <b:RefOrder>1</b:RefOrder>
  </b:Source>
  <b:Source>
    <b:Tag>Mar90</b:Tag>
    <b:SourceType>JournalArticle</b:SourceType>
    <b:Guid>{94283F75-5313-479A-A4B4-8A7509637DCF}</b:Guid>
    <b:Title>Jewish Divorce and the Secular Law</b:Title>
    <b:BookTitle>Jewish Divorce and the Secular Law</b:BookTitle>
    <b:Year>1990</b:Year>
    <b:Pages>7</b:Pages>
    <b:Author>
      <b:Author>
        <b:NameList>
          <b:Person>
            <b:Last>Loewenstein</b:Last>
            <b:First>Mark</b:First>
          </b:Person>
        </b:NameList>
      </b:Author>
    </b:Author>
    <b:JournalName>Judaism</b:JournalName>
    <b:Volume>39</b:Volume>
    <b:Issue>1</b:Issue>
    <b:RefOrder>2</b:RefOrder>
  </b:Source>
</b:Sources>
</file>

<file path=customXml/itemProps1.xml><?xml version="1.0" encoding="utf-8"?>
<ds:datastoreItem xmlns:ds="http://schemas.openxmlformats.org/officeDocument/2006/customXml" ds:itemID="{1F4DC627-B612-4339-AD34-5A6D5044D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2</Pages>
  <Words>939</Words>
  <Characters>5357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Felix</dc:creator>
  <cp:keywords/>
  <dc:description/>
  <cp:lastModifiedBy>Felix</cp:lastModifiedBy>
  <cp:revision>9</cp:revision>
  <dcterms:created xsi:type="dcterms:W3CDTF">2019-11-15T12:05:00Z</dcterms:created>
  <dcterms:modified xsi:type="dcterms:W3CDTF">2019-11-15T16:51:00Z</dcterms:modified>
</cp:coreProperties>
</file>