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51DD74" w14:textId="2E15DADD" w:rsidR="004A635E" w:rsidRPr="00A52B4A" w:rsidRDefault="004A635E" w:rsidP="009D4D3E">
      <w:pPr>
        <w:spacing w:before="100" w:beforeAutospacing="1" w:after="100" w:afterAutospacing="1" w:line="360" w:lineRule="auto"/>
        <w:rPr>
          <w:rFonts w:asciiTheme="minorBidi" w:eastAsia="Times New Roman" w:hAnsiTheme="minorBidi"/>
          <w:b/>
          <w:bCs/>
          <w:kern w:val="0"/>
          <w:lang w:eastAsia="en-GB"/>
          <w14:ligatures w14:val="none"/>
        </w:rPr>
      </w:pPr>
      <w:r w:rsidRPr="00A52B4A">
        <w:rPr>
          <w:rFonts w:asciiTheme="minorBidi" w:eastAsia="Times New Roman" w:hAnsiTheme="minorBidi"/>
          <w:b/>
          <w:bCs/>
          <w:kern w:val="0"/>
          <w:lang w:eastAsia="en-GB"/>
          <w14:ligatures w14:val="none"/>
        </w:rPr>
        <w:t>Introduction</w:t>
      </w:r>
    </w:p>
    <w:p w14:paraId="4192A31F" w14:textId="3A43E509" w:rsidR="004A635E" w:rsidRPr="00A52B4A" w:rsidRDefault="004A635E" w:rsidP="009D4D3E">
      <w:pPr>
        <w:spacing w:before="100" w:beforeAutospacing="1" w:after="100" w:afterAutospacing="1" w:line="360" w:lineRule="auto"/>
        <w:rPr>
          <w:rFonts w:asciiTheme="minorBidi" w:eastAsia="Times New Roman" w:hAnsiTheme="minorBidi"/>
          <w:kern w:val="0"/>
          <w:lang w:eastAsia="en-GB"/>
          <w14:ligatures w14:val="none"/>
        </w:rPr>
      </w:pPr>
      <w:r w:rsidRPr="00A52B4A">
        <w:rPr>
          <w:rFonts w:asciiTheme="minorBidi" w:hAnsiTheme="minorBidi"/>
        </w:rPr>
        <w:t xml:space="preserve">This reflective </w:t>
      </w:r>
      <w:r w:rsidR="00A52B4A">
        <w:rPr>
          <w:rFonts w:asciiTheme="minorBidi" w:hAnsiTheme="minorBidi"/>
        </w:rPr>
        <w:t>assignment</w:t>
      </w:r>
      <w:r w:rsidRPr="00A52B4A">
        <w:rPr>
          <w:rFonts w:asciiTheme="minorBidi" w:hAnsiTheme="minorBidi"/>
        </w:rPr>
        <w:t xml:space="preserve"> critically explores two methods that promote and ensure quality in early years settings beyond statutory requirements: the </w:t>
      </w:r>
      <w:proofErr w:type="gramStart"/>
      <w:r w:rsidRPr="00A52B4A">
        <w:rPr>
          <w:rStyle w:val="Emphasis"/>
          <w:rFonts w:asciiTheme="minorBidi" w:hAnsiTheme="minorBidi"/>
        </w:rPr>
        <w:t>Quality of Care</w:t>
      </w:r>
      <w:proofErr w:type="gramEnd"/>
      <w:r w:rsidRPr="00A52B4A">
        <w:rPr>
          <w:rStyle w:val="Emphasis"/>
          <w:rFonts w:asciiTheme="minorBidi" w:hAnsiTheme="minorBidi"/>
        </w:rPr>
        <w:t xml:space="preserve"> Review (QOCR) and parent engagement tools</w:t>
      </w:r>
      <w:r w:rsidRPr="00A52B4A">
        <w:rPr>
          <w:rFonts w:asciiTheme="minorBidi" w:hAnsiTheme="minorBidi"/>
        </w:rPr>
        <w:t xml:space="preserve">, and </w:t>
      </w:r>
      <w:r w:rsidRPr="00A52B4A">
        <w:rPr>
          <w:rStyle w:val="Emphasis"/>
          <w:rFonts w:asciiTheme="minorBidi" w:hAnsiTheme="minorBidi"/>
        </w:rPr>
        <w:t>staff professional development through frameworks such as SSTEW and reflective supervision</w:t>
      </w:r>
      <w:r w:rsidRPr="00A52B4A">
        <w:rPr>
          <w:rFonts w:asciiTheme="minorBidi" w:hAnsiTheme="minorBidi"/>
        </w:rPr>
        <w:t xml:space="preserve">. Both are widely used across Flying Start provision and aligned with </w:t>
      </w:r>
      <w:r w:rsidR="00A52B4A">
        <w:rPr>
          <w:rFonts w:asciiTheme="minorBidi" w:hAnsiTheme="minorBidi"/>
        </w:rPr>
        <w:t>Welsh Government</w:t>
      </w:r>
      <w:r w:rsidRPr="00A52B4A">
        <w:rPr>
          <w:rFonts w:asciiTheme="minorBidi" w:hAnsiTheme="minorBidi"/>
        </w:rPr>
        <w:t xml:space="preserve"> priorities around relational pedagogy and children’s rights. Drawing on statutory guidance, research literature, and </w:t>
      </w:r>
      <w:r w:rsidR="00A52B4A" w:rsidRPr="00A52B4A">
        <w:rPr>
          <w:rFonts w:asciiTheme="minorBidi" w:hAnsiTheme="minorBidi"/>
        </w:rPr>
        <w:t>practi</w:t>
      </w:r>
      <w:r w:rsidR="00A52B4A">
        <w:rPr>
          <w:rFonts w:asciiTheme="minorBidi" w:hAnsiTheme="minorBidi"/>
        </w:rPr>
        <w:t>ce-based quality frameworks</w:t>
      </w:r>
      <w:r w:rsidRPr="00A52B4A">
        <w:rPr>
          <w:rFonts w:asciiTheme="minorBidi" w:hAnsiTheme="minorBidi"/>
        </w:rPr>
        <w:t>, th</w:t>
      </w:r>
      <w:r w:rsidR="00A52B4A">
        <w:rPr>
          <w:rFonts w:asciiTheme="minorBidi" w:hAnsiTheme="minorBidi"/>
        </w:rPr>
        <w:t>is</w:t>
      </w:r>
      <w:r w:rsidRPr="00A52B4A">
        <w:rPr>
          <w:rFonts w:asciiTheme="minorBidi" w:hAnsiTheme="minorBidi"/>
        </w:rPr>
        <w:t xml:space="preserve"> </w:t>
      </w:r>
      <w:r w:rsidR="00A52B4A">
        <w:rPr>
          <w:rFonts w:asciiTheme="minorBidi" w:hAnsiTheme="minorBidi"/>
        </w:rPr>
        <w:t xml:space="preserve">assignment </w:t>
      </w:r>
      <w:r w:rsidRPr="00A52B4A">
        <w:rPr>
          <w:rFonts w:asciiTheme="minorBidi" w:hAnsiTheme="minorBidi"/>
        </w:rPr>
        <w:t xml:space="preserve">evaluates how these methods contribute to a culture of continuous improvement. Emphasis is placed on reflective practice, family voice, and pedagogical leadership as foundations for enhancing quality in a meaningful, sustainable way. The analysis also considers the limitations of </w:t>
      </w:r>
      <w:r w:rsidR="00F612D9">
        <w:rPr>
          <w:rFonts w:asciiTheme="minorBidi" w:hAnsiTheme="minorBidi"/>
        </w:rPr>
        <w:t>surface level</w:t>
      </w:r>
      <w:r w:rsidRPr="00A52B4A">
        <w:rPr>
          <w:rFonts w:asciiTheme="minorBidi" w:hAnsiTheme="minorBidi"/>
        </w:rPr>
        <w:t xml:space="preserve"> </w:t>
      </w:r>
      <w:r w:rsidR="009D4D3E" w:rsidRPr="00A52B4A">
        <w:rPr>
          <w:rFonts w:asciiTheme="minorBidi" w:hAnsiTheme="minorBidi"/>
        </w:rPr>
        <w:t>implementation,</w:t>
      </w:r>
      <w:r w:rsidRPr="00A52B4A">
        <w:rPr>
          <w:rFonts w:asciiTheme="minorBidi" w:hAnsiTheme="minorBidi"/>
        </w:rPr>
        <w:t xml:space="preserve"> and the enabling conditions required to maximise the impact of these approaches.</w:t>
      </w:r>
    </w:p>
    <w:p w14:paraId="56EE04E2" w14:textId="590B8749" w:rsidR="004A635E" w:rsidRPr="00A52B4A" w:rsidRDefault="004A635E" w:rsidP="009D4D3E">
      <w:pPr>
        <w:spacing w:before="100" w:beforeAutospacing="1" w:after="100" w:afterAutospacing="1" w:line="360" w:lineRule="auto"/>
        <w:rPr>
          <w:rFonts w:asciiTheme="minorBidi" w:eastAsia="Times New Roman" w:hAnsiTheme="minorBidi"/>
          <w:b/>
          <w:bCs/>
          <w:kern w:val="0"/>
          <w:lang w:eastAsia="en-GB"/>
          <w14:ligatures w14:val="none"/>
        </w:rPr>
      </w:pPr>
      <w:r w:rsidRPr="00A52B4A">
        <w:rPr>
          <w:rFonts w:asciiTheme="minorBidi" w:eastAsia="Times New Roman" w:hAnsiTheme="minorBidi"/>
          <w:b/>
          <w:bCs/>
          <w:kern w:val="0"/>
          <w:lang w:eastAsia="en-GB"/>
          <w14:ligatures w14:val="none"/>
        </w:rPr>
        <w:t>Section 1</w:t>
      </w:r>
    </w:p>
    <w:p w14:paraId="70F2EB04" w14:textId="100460E7" w:rsidR="004A635E" w:rsidRPr="004A635E" w:rsidRDefault="004A635E" w:rsidP="009D4D3E">
      <w:pPr>
        <w:spacing w:before="100" w:beforeAutospacing="1" w:after="100" w:afterAutospacing="1" w:line="360" w:lineRule="auto"/>
        <w:rPr>
          <w:rFonts w:asciiTheme="minorBidi" w:eastAsia="Times New Roman" w:hAnsiTheme="minorBidi"/>
          <w:kern w:val="0"/>
          <w:lang w:eastAsia="en-GB"/>
          <w14:ligatures w14:val="none"/>
        </w:rPr>
      </w:pPr>
      <w:r w:rsidRPr="004A635E">
        <w:rPr>
          <w:rFonts w:asciiTheme="minorBidi" w:eastAsia="Times New Roman" w:hAnsiTheme="minorBidi"/>
          <w:kern w:val="0"/>
          <w:lang w:eastAsia="en-GB"/>
          <w14:ligatures w14:val="none"/>
        </w:rPr>
        <w:t xml:space="preserve">Promoting quality beyond statutory requirements requires early years settings to embed inclusive and reflective </w:t>
      </w:r>
      <w:r w:rsidR="00A52B4A" w:rsidRPr="004A635E">
        <w:rPr>
          <w:rFonts w:asciiTheme="minorBidi" w:eastAsia="Times New Roman" w:hAnsiTheme="minorBidi"/>
          <w:kern w:val="0"/>
          <w:lang w:eastAsia="en-GB"/>
          <w14:ligatures w14:val="none"/>
        </w:rPr>
        <w:t>tools</w:t>
      </w:r>
      <w:r w:rsidRPr="004A635E">
        <w:rPr>
          <w:rFonts w:asciiTheme="minorBidi" w:eastAsia="Times New Roman" w:hAnsiTheme="minorBidi"/>
          <w:kern w:val="0"/>
          <w:lang w:eastAsia="en-GB"/>
          <w14:ligatures w14:val="none"/>
        </w:rPr>
        <w:t xml:space="preserve"> that enable them to hear and respond to the voices of families. One such method is the </w:t>
      </w:r>
      <w:proofErr w:type="gramStart"/>
      <w:r w:rsidRPr="004A635E">
        <w:rPr>
          <w:rFonts w:asciiTheme="minorBidi" w:eastAsia="Times New Roman" w:hAnsiTheme="minorBidi"/>
          <w:kern w:val="0"/>
          <w:lang w:eastAsia="en-GB"/>
          <w14:ligatures w14:val="none"/>
        </w:rPr>
        <w:t>Quality of Care</w:t>
      </w:r>
      <w:proofErr w:type="gramEnd"/>
      <w:r w:rsidRPr="004A635E">
        <w:rPr>
          <w:rFonts w:asciiTheme="minorBidi" w:eastAsia="Times New Roman" w:hAnsiTheme="minorBidi"/>
          <w:kern w:val="0"/>
          <w:lang w:eastAsia="en-GB"/>
          <w14:ligatures w14:val="none"/>
        </w:rPr>
        <w:t xml:space="preserve"> Review (QOCR), a requirement under the Regulation and Inspection of Social Care (Wales) Act 2016</w:t>
      </w:r>
      <w:r w:rsidR="009D4D3E" w:rsidRPr="00A52B4A">
        <w:rPr>
          <w:rFonts w:asciiTheme="minorBidi" w:eastAsia="Times New Roman" w:hAnsiTheme="minorBidi"/>
          <w:kern w:val="0"/>
          <w:lang w:eastAsia="en-GB"/>
          <w14:ligatures w14:val="none"/>
        </w:rPr>
        <w:t xml:space="preserve"> (Welsh Government, 2016)</w:t>
      </w:r>
      <w:r w:rsidRPr="004A635E">
        <w:rPr>
          <w:rFonts w:asciiTheme="minorBidi" w:eastAsia="Times New Roman" w:hAnsiTheme="minorBidi"/>
          <w:kern w:val="0"/>
          <w:lang w:eastAsia="en-GB"/>
          <w14:ligatures w14:val="none"/>
        </w:rPr>
        <w:t>, supported by the Self-Assessment of Service Statement (SASS) and annual quality assurance processes</w:t>
      </w:r>
      <w:r w:rsidR="00A52B4A">
        <w:rPr>
          <w:rFonts w:asciiTheme="minorBidi" w:eastAsia="Times New Roman" w:hAnsiTheme="minorBidi"/>
          <w:kern w:val="0"/>
          <w:lang w:eastAsia="en-GB"/>
          <w14:ligatures w14:val="none"/>
        </w:rPr>
        <w:t xml:space="preserve"> (CIW, </w:t>
      </w:r>
      <w:proofErr w:type="spellStart"/>
      <w:r w:rsidR="00A52B4A">
        <w:rPr>
          <w:rFonts w:asciiTheme="minorBidi" w:eastAsia="Times New Roman" w:hAnsiTheme="minorBidi"/>
          <w:kern w:val="0"/>
          <w:lang w:eastAsia="en-GB"/>
          <w14:ligatures w14:val="none"/>
        </w:rPr>
        <w:t>n.d</w:t>
      </w:r>
      <w:proofErr w:type="spellEnd"/>
      <w:r w:rsidR="00A52B4A">
        <w:rPr>
          <w:rFonts w:asciiTheme="minorBidi" w:eastAsia="Times New Roman" w:hAnsiTheme="minorBidi"/>
          <w:kern w:val="0"/>
          <w:lang w:eastAsia="en-GB"/>
          <w14:ligatures w14:val="none"/>
        </w:rPr>
        <w:t>)</w:t>
      </w:r>
      <w:r w:rsidRPr="004A635E">
        <w:rPr>
          <w:rFonts w:asciiTheme="minorBidi" w:eastAsia="Times New Roman" w:hAnsiTheme="minorBidi"/>
          <w:kern w:val="0"/>
          <w:lang w:eastAsia="en-GB"/>
          <w14:ligatures w14:val="none"/>
        </w:rPr>
        <w:t>. In practice, many Flying Start settings use parent questionnaires and structured reflections as a way of assessing impact, improving practice, and deepening relationships with the communities they serve.</w:t>
      </w:r>
    </w:p>
    <w:p w14:paraId="322EEAA5" w14:textId="236E70D7" w:rsidR="004A635E" w:rsidRPr="004A635E" w:rsidRDefault="004A635E" w:rsidP="009D4D3E">
      <w:pPr>
        <w:spacing w:before="100" w:beforeAutospacing="1" w:after="100" w:afterAutospacing="1" w:line="360" w:lineRule="auto"/>
        <w:rPr>
          <w:rFonts w:asciiTheme="minorBidi" w:eastAsia="Times New Roman" w:hAnsiTheme="minorBidi"/>
          <w:kern w:val="0"/>
          <w:lang w:eastAsia="en-GB"/>
          <w14:ligatures w14:val="none"/>
        </w:rPr>
      </w:pPr>
      <w:r w:rsidRPr="004A635E">
        <w:rPr>
          <w:rFonts w:asciiTheme="minorBidi" w:eastAsia="Times New Roman" w:hAnsiTheme="minorBidi"/>
          <w:kern w:val="0"/>
          <w:lang w:eastAsia="en-GB"/>
          <w14:ligatures w14:val="none"/>
        </w:rPr>
        <w:t xml:space="preserve">Unlike statutory inspections or regulatory </w:t>
      </w:r>
      <w:r w:rsidR="00312F89" w:rsidRPr="00A52B4A">
        <w:rPr>
          <w:rFonts w:asciiTheme="minorBidi" w:eastAsia="Times New Roman" w:hAnsiTheme="minorBidi"/>
          <w:kern w:val="0"/>
          <w:lang w:eastAsia="en-GB"/>
          <w14:ligatures w14:val="none"/>
        </w:rPr>
        <w:t>systems of measurement</w:t>
      </w:r>
      <w:r w:rsidRPr="004A635E">
        <w:rPr>
          <w:rFonts w:asciiTheme="minorBidi" w:eastAsia="Times New Roman" w:hAnsiTheme="minorBidi"/>
          <w:kern w:val="0"/>
          <w:lang w:eastAsia="en-GB"/>
          <w14:ligatures w14:val="none"/>
        </w:rPr>
        <w:t xml:space="preserve"> that may capture surface-level compliance, QOCRs can offer a more contextualised and child/family-centred perspective when applied meaningfully. As shown in the CIW-reviewed examples from Badgers Jet-Set </w:t>
      </w:r>
      <w:r w:rsidR="00A52B4A">
        <w:rPr>
          <w:rFonts w:asciiTheme="minorBidi" w:eastAsia="Times New Roman" w:hAnsiTheme="minorBidi"/>
          <w:kern w:val="0"/>
          <w:lang w:eastAsia="en-GB"/>
          <w14:ligatures w14:val="none"/>
        </w:rPr>
        <w:t xml:space="preserve">(2016) </w:t>
      </w:r>
      <w:r w:rsidRPr="004A635E">
        <w:rPr>
          <w:rFonts w:asciiTheme="minorBidi" w:eastAsia="Times New Roman" w:hAnsiTheme="minorBidi"/>
          <w:kern w:val="0"/>
          <w:lang w:eastAsia="en-GB"/>
          <w14:ligatures w14:val="none"/>
        </w:rPr>
        <w:t>and Little Cherubs Nursery</w:t>
      </w:r>
      <w:r w:rsidR="00A52B4A">
        <w:rPr>
          <w:rFonts w:asciiTheme="minorBidi" w:eastAsia="Times New Roman" w:hAnsiTheme="minorBidi"/>
          <w:kern w:val="0"/>
          <w:lang w:eastAsia="en-GB"/>
          <w14:ligatures w14:val="none"/>
        </w:rPr>
        <w:t xml:space="preserve"> (2018)</w:t>
      </w:r>
      <w:r w:rsidRPr="004A635E">
        <w:rPr>
          <w:rFonts w:asciiTheme="minorBidi" w:eastAsia="Times New Roman" w:hAnsiTheme="minorBidi"/>
          <w:kern w:val="0"/>
          <w:lang w:eastAsia="en-GB"/>
          <w14:ligatures w14:val="none"/>
        </w:rPr>
        <w:t xml:space="preserve">, reflective engagement with parent voice enabled leaders to identify culturally relevant gaps, address feedback on routine flexibility, and ensure alignment with both policy and family priorities. These case studies demonstrate how the QOCR can be used as a </w:t>
      </w:r>
      <w:r w:rsidRPr="004A635E">
        <w:rPr>
          <w:rFonts w:asciiTheme="minorBidi" w:eastAsia="Times New Roman" w:hAnsiTheme="minorBidi"/>
          <w:kern w:val="0"/>
          <w:lang w:eastAsia="en-GB"/>
          <w14:ligatures w14:val="none"/>
        </w:rPr>
        <w:lastRenderedPageBreak/>
        <w:t>live document</w:t>
      </w:r>
      <w:r w:rsidR="00312F89" w:rsidRPr="00A52B4A">
        <w:rPr>
          <w:rFonts w:asciiTheme="minorBidi" w:eastAsia="Times New Roman" w:hAnsiTheme="minorBidi"/>
          <w:kern w:val="0"/>
          <w:lang w:eastAsia="en-GB"/>
          <w14:ligatures w14:val="none"/>
        </w:rPr>
        <w:t xml:space="preserve">, </w:t>
      </w:r>
      <w:r w:rsidRPr="004A635E">
        <w:rPr>
          <w:rFonts w:asciiTheme="minorBidi" w:eastAsia="Times New Roman" w:hAnsiTheme="minorBidi"/>
          <w:kern w:val="0"/>
          <w:lang w:eastAsia="en-GB"/>
          <w14:ligatures w14:val="none"/>
        </w:rPr>
        <w:t>reviewed and developed collaboratively to improve practice in real time</w:t>
      </w:r>
      <w:r w:rsidR="00A52B4A">
        <w:rPr>
          <w:rFonts w:asciiTheme="minorBidi" w:eastAsia="Times New Roman" w:hAnsiTheme="minorBidi"/>
          <w:kern w:val="0"/>
          <w:lang w:eastAsia="en-GB"/>
          <w14:ligatures w14:val="none"/>
        </w:rPr>
        <w:t>.</w:t>
      </w:r>
    </w:p>
    <w:p w14:paraId="4CEC8EE3" w14:textId="77777777" w:rsidR="004A635E" w:rsidRPr="004A635E" w:rsidRDefault="004A635E" w:rsidP="009D4D3E">
      <w:pPr>
        <w:spacing w:before="100" w:beforeAutospacing="1" w:after="100" w:afterAutospacing="1" w:line="360" w:lineRule="auto"/>
        <w:rPr>
          <w:rFonts w:asciiTheme="minorBidi" w:eastAsia="Times New Roman" w:hAnsiTheme="minorBidi"/>
          <w:kern w:val="0"/>
          <w:lang w:eastAsia="en-GB"/>
          <w14:ligatures w14:val="none"/>
        </w:rPr>
      </w:pPr>
      <w:r w:rsidRPr="004A635E">
        <w:rPr>
          <w:rFonts w:asciiTheme="minorBidi" w:eastAsia="Times New Roman" w:hAnsiTheme="minorBidi"/>
          <w:kern w:val="0"/>
          <w:lang w:eastAsia="en-GB"/>
          <w14:ligatures w14:val="none"/>
        </w:rPr>
        <w:t>However, the value of parent voice depends heavily on how it is captured and interpreted. Parent questionnaires, while convenient, risk becoming tokenistic or dominated by confident voices if language barriers, digital access, or cultural communication styles are not actively considered. This concern is echoed in wider literature. Cottle and Alexander (2014) argue that parent partnership is too often shaped by practitioner assumptions, rather than co-produced with families. Their earlier work (2012) further critiques how government-led definitions of “quality” are often compliance-focused and misaligned with practitioners’ lived experiences. As they note, “Practitioners’ own views of quality are often overshadowed by external definitions shaped by policy and regulatory frameworks” (Cottle &amp; Alexander, 2012, p. 643). In this way, the act of surveying parents can become more about evidencing quality than improving it.</w:t>
      </w:r>
    </w:p>
    <w:p w14:paraId="2A32773A" w14:textId="77777777" w:rsidR="004A635E" w:rsidRPr="004A635E" w:rsidRDefault="004A635E" w:rsidP="009D4D3E">
      <w:pPr>
        <w:spacing w:before="100" w:beforeAutospacing="1" w:after="100" w:afterAutospacing="1" w:line="360" w:lineRule="auto"/>
        <w:rPr>
          <w:rFonts w:asciiTheme="minorBidi" w:eastAsia="Times New Roman" w:hAnsiTheme="minorBidi"/>
          <w:kern w:val="0"/>
          <w:lang w:eastAsia="en-GB"/>
          <w14:ligatures w14:val="none"/>
        </w:rPr>
      </w:pPr>
      <w:r w:rsidRPr="004A635E">
        <w:rPr>
          <w:rFonts w:asciiTheme="minorBidi" w:eastAsia="Times New Roman" w:hAnsiTheme="minorBidi"/>
          <w:kern w:val="0"/>
          <w:lang w:eastAsia="en-GB"/>
          <w14:ligatures w14:val="none"/>
        </w:rPr>
        <w:t xml:space="preserve">By contrast, reflective engagement processes—such as the QOCR when implemented robustly—can allow for localised, relational definitions of quality to emerge. This is supported by </w:t>
      </w:r>
      <w:proofErr w:type="spellStart"/>
      <w:r w:rsidRPr="004A635E">
        <w:rPr>
          <w:rFonts w:asciiTheme="minorBidi" w:eastAsia="Times New Roman" w:hAnsiTheme="minorBidi"/>
          <w:kern w:val="0"/>
          <w:lang w:eastAsia="en-GB"/>
          <w14:ligatures w14:val="none"/>
        </w:rPr>
        <w:t>Rudoe</w:t>
      </w:r>
      <w:proofErr w:type="spellEnd"/>
      <w:r w:rsidRPr="004A635E">
        <w:rPr>
          <w:rFonts w:asciiTheme="minorBidi" w:eastAsia="Times New Roman" w:hAnsiTheme="minorBidi"/>
          <w:kern w:val="0"/>
          <w:lang w:eastAsia="en-GB"/>
          <w14:ligatures w14:val="none"/>
        </w:rPr>
        <w:t xml:space="preserve"> (2020), who in a study of nursery headteachers found that leaders emphasised seeing “every child as an individual” and prioritised enacting quality through daily relationships rather than through standardised audits. In her words, “Quality was something enacted and embodied rather than audited” (</w:t>
      </w:r>
      <w:proofErr w:type="spellStart"/>
      <w:r w:rsidRPr="004A635E">
        <w:rPr>
          <w:rFonts w:asciiTheme="minorBidi" w:eastAsia="Times New Roman" w:hAnsiTheme="minorBidi"/>
          <w:kern w:val="0"/>
          <w:lang w:eastAsia="en-GB"/>
          <w14:ligatures w14:val="none"/>
        </w:rPr>
        <w:t>Rudoe</w:t>
      </w:r>
      <w:proofErr w:type="spellEnd"/>
      <w:r w:rsidRPr="004A635E">
        <w:rPr>
          <w:rFonts w:asciiTheme="minorBidi" w:eastAsia="Times New Roman" w:hAnsiTheme="minorBidi"/>
          <w:kern w:val="0"/>
          <w:lang w:eastAsia="en-GB"/>
          <w14:ligatures w14:val="none"/>
        </w:rPr>
        <w:t>, 2020, p. 1020). This resonates with Flying Start's emphasis on responsive provision and its alignment with the United Nations Convention on the Rights of the Child (UNCRC), particularly Article 12, which upholds children’s and families’ right to be heard.</w:t>
      </w:r>
    </w:p>
    <w:p w14:paraId="6D14C0F6" w14:textId="77777777" w:rsidR="004A635E" w:rsidRPr="004A635E" w:rsidRDefault="004A635E" w:rsidP="009D4D3E">
      <w:pPr>
        <w:spacing w:before="100" w:beforeAutospacing="1" w:after="100" w:afterAutospacing="1" w:line="360" w:lineRule="auto"/>
        <w:rPr>
          <w:rFonts w:asciiTheme="minorBidi" w:eastAsia="Times New Roman" w:hAnsiTheme="minorBidi"/>
          <w:kern w:val="0"/>
          <w:lang w:eastAsia="en-GB"/>
          <w14:ligatures w14:val="none"/>
        </w:rPr>
      </w:pPr>
      <w:r w:rsidRPr="004A635E">
        <w:rPr>
          <w:rFonts w:asciiTheme="minorBidi" w:eastAsia="Times New Roman" w:hAnsiTheme="minorBidi"/>
          <w:kern w:val="0"/>
          <w:lang w:eastAsia="en-GB"/>
          <w14:ligatures w14:val="none"/>
        </w:rPr>
        <w:t>When settings create time and space to reflect on what parents are saying, it supports both accountability and innovation. As Reed and Canning (2012) highlight, tools like the QOCR only support quality improvement when used within a culture of reflection, not as mechanical compliance tasks. “The danger is that reflective tools become reduced to a series of forms to be filled, rather than dynamic processes that enable learning and improvement” (Reed &amp; Canning, 2012, p. 59). In this way, the QOCR becomes both a process and a mindset—shaping how the setting interprets parental input and staff observations to adapt provision for the better.</w:t>
      </w:r>
    </w:p>
    <w:p w14:paraId="503B95DA" w14:textId="51B638EA" w:rsidR="004A635E" w:rsidRPr="004A635E" w:rsidRDefault="004A635E" w:rsidP="009D4D3E">
      <w:pPr>
        <w:spacing w:before="100" w:beforeAutospacing="1" w:after="100" w:afterAutospacing="1" w:line="360" w:lineRule="auto"/>
        <w:rPr>
          <w:rFonts w:asciiTheme="minorBidi" w:eastAsia="Times New Roman" w:hAnsiTheme="minorBidi"/>
          <w:kern w:val="0"/>
          <w:lang w:eastAsia="en-GB"/>
          <w14:ligatures w14:val="none"/>
        </w:rPr>
      </w:pPr>
      <w:r w:rsidRPr="004A635E">
        <w:rPr>
          <w:rFonts w:asciiTheme="minorBidi" w:eastAsia="Times New Roman" w:hAnsiTheme="minorBidi"/>
          <w:kern w:val="0"/>
          <w:lang w:eastAsia="en-GB"/>
          <w14:ligatures w14:val="none"/>
        </w:rPr>
        <w:lastRenderedPageBreak/>
        <w:t xml:space="preserve">In practice, the success of parent engagement is also influenced by cultural competence and practitioner confidence. The Badgers Jet-Set example illustrates how multilingual and visual adaptations to parent surveys led to more meaningful feedback from underrepresented families </w:t>
      </w:r>
      <w:r w:rsidRPr="004A635E">
        <w:rPr>
          <w:rFonts w:asciiTheme="minorBidi" w:eastAsia="Times New Roman" w:hAnsiTheme="minorBidi"/>
          <w:kern w:val="0"/>
          <w:highlight w:val="yellow"/>
          <w:lang w:eastAsia="en-GB"/>
          <w14:ligatures w14:val="none"/>
        </w:rPr>
        <w:t>(</w:t>
      </w:r>
      <w:r w:rsidR="00312F89" w:rsidRPr="00A52B4A">
        <w:rPr>
          <w:rFonts w:asciiTheme="minorBidi" w:hAnsiTheme="minorBidi"/>
        </w:rPr>
        <w:t>Badgers Jet-Set Nursery</w:t>
      </w:r>
      <w:r w:rsidR="00312F89" w:rsidRPr="00A52B4A">
        <w:rPr>
          <w:rFonts w:asciiTheme="minorBidi" w:hAnsiTheme="minorBidi"/>
        </w:rPr>
        <w:t xml:space="preserve">, </w:t>
      </w:r>
      <w:r w:rsidR="00312F89" w:rsidRPr="00A52B4A">
        <w:rPr>
          <w:rFonts w:asciiTheme="minorBidi" w:hAnsiTheme="minorBidi"/>
        </w:rPr>
        <w:t>2018</w:t>
      </w:r>
      <w:r w:rsidR="00312F89" w:rsidRPr="00A52B4A">
        <w:rPr>
          <w:rFonts w:asciiTheme="minorBidi" w:hAnsiTheme="minorBidi"/>
        </w:rPr>
        <w:t>)</w:t>
      </w:r>
      <w:r w:rsidRPr="004A635E">
        <w:rPr>
          <w:rFonts w:asciiTheme="minorBidi" w:eastAsia="Times New Roman" w:hAnsiTheme="minorBidi"/>
          <w:kern w:val="0"/>
          <w:lang w:eastAsia="en-GB"/>
          <w14:ligatures w14:val="none"/>
        </w:rPr>
        <w:t>. This mirrors critiques from literature such as Brooker (2010), who warns that “unquestioned norms” around communication often lead to exclusionary practices that silence the most marginalised voices. Thus, inclusion is not simply about offering surveys in multiple languages—it is about challenging assumptions, building trust, and empowering all families to share their views with confidence.</w:t>
      </w:r>
    </w:p>
    <w:p w14:paraId="18F0A909" w14:textId="22D0FCE0" w:rsidR="004A635E" w:rsidRPr="004A635E" w:rsidRDefault="004A635E" w:rsidP="009D4D3E">
      <w:pPr>
        <w:spacing w:before="100" w:beforeAutospacing="1" w:after="100" w:afterAutospacing="1" w:line="360" w:lineRule="auto"/>
        <w:rPr>
          <w:rFonts w:asciiTheme="minorBidi" w:eastAsia="Times New Roman" w:hAnsiTheme="minorBidi"/>
          <w:kern w:val="0"/>
          <w:lang w:eastAsia="en-GB"/>
          <w14:ligatures w14:val="none"/>
        </w:rPr>
      </w:pPr>
      <w:r w:rsidRPr="004A635E">
        <w:rPr>
          <w:rFonts w:asciiTheme="minorBidi" w:eastAsia="Times New Roman" w:hAnsiTheme="minorBidi"/>
          <w:kern w:val="0"/>
          <w:lang w:eastAsia="en-GB"/>
          <w14:ligatures w14:val="none"/>
        </w:rPr>
        <w:t xml:space="preserve">When applied meaningfully, QOCR processes can act as mirrors for settings, helping them uncover patterns that may not be immediately visible through observation or inspection. For instance, parental feedback about children’s home routines not being reflected in daily practice led one setting to reassess their transitions and drop-off policies </w:t>
      </w:r>
      <w:r w:rsidRPr="004A635E">
        <w:rPr>
          <w:rFonts w:asciiTheme="minorBidi" w:eastAsia="Times New Roman" w:hAnsiTheme="minorBidi"/>
          <w:kern w:val="0"/>
          <w:highlight w:val="yellow"/>
          <w:lang w:eastAsia="en-GB"/>
          <w14:ligatures w14:val="none"/>
        </w:rPr>
        <w:t>(</w:t>
      </w:r>
      <w:r w:rsidR="00312F89" w:rsidRPr="00A52B4A">
        <w:rPr>
          <w:rFonts w:asciiTheme="minorBidi" w:hAnsiTheme="minorBidi"/>
        </w:rPr>
        <w:t>Little Cherubs Day Care Nursery</w:t>
      </w:r>
      <w:r w:rsidR="00312F89" w:rsidRPr="00A52B4A">
        <w:rPr>
          <w:rFonts w:asciiTheme="minorBidi" w:hAnsiTheme="minorBidi"/>
        </w:rPr>
        <w:t xml:space="preserve">, </w:t>
      </w:r>
      <w:r w:rsidR="00312F89" w:rsidRPr="00A52B4A">
        <w:rPr>
          <w:rFonts w:asciiTheme="minorBidi" w:hAnsiTheme="minorBidi"/>
        </w:rPr>
        <w:t>2016</w:t>
      </w:r>
      <w:r w:rsidRPr="004A635E">
        <w:rPr>
          <w:rFonts w:asciiTheme="minorBidi" w:eastAsia="Times New Roman" w:hAnsiTheme="minorBidi"/>
          <w:kern w:val="0"/>
          <w:highlight w:val="yellow"/>
          <w:lang w:eastAsia="en-GB"/>
          <w14:ligatures w14:val="none"/>
        </w:rPr>
        <w:t>).</w:t>
      </w:r>
      <w:r w:rsidRPr="004A635E">
        <w:rPr>
          <w:rFonts w:asciiTheme="minorBidi" w:eastAsia="Times New Roman" w:hAnsiTheme="minorBidi"/>
          <w:kern w:val="0"/>
          <w:lang w:eastAsia="en-GB"/>
          <w14:ligatures w14:val="none"/>
        </w:rPr>
        <w:t xml:space="preserve"> This level of responsiveness fosters a co-constructed model of care, positioning families not as passive recipients but as active contributors to quality development. This reflects broader shifts in early years philosophy toward participatory approaches that centre relational and emotional dimensions of practice (Eadie et al., 2022).</w:t>
      </w:r>
    </w:p>
    <w:p w14:paraId="639173C4" w14:textId="77777777" w:rsidR="004A635E" w:rsidRPr="004A635E" w:rsidRDefault="004A635E" w:rsidP="009D4D3E">
      <w:pPr>
        <w:spacing w:before="100" w:beforeAutospacing="1" w:after="100" w:afterAutospacing="1" w:line="360" w:lineRule="auto"/>
        <w:rPr>
          <w:rFonts w:asciiTheme="minorBidi" w:eastAsia="Times New Roman" w:hAnsiTheme="minorBidi"/>
          <w:kern w:val="0"/>
          <w:lang w:eastAsia="en-GB"/>
          <w14:ligatures w14:val="none"/>
        </w:rPr>
      </w:pPr>
      <w:r w:rsidRPr="004A635E">
        <w:rPr>
          <w:rFonts w:asciiTheme="minorBidi" w:eastAsia="Times New Roman" w:hAnsiTheme="minorBidi"/>
          <w:kern w:val="0"/>
          <w:lang w:eastAsia="en-GB"/>
          <w14:ligatures w14:val="none"/>
        </w:rPr>
        <w:t>However, it is important to recognise that not all settings are equally resourced or supported to do this well. Where staff are stretched or unfamiliar with reflective practice, there is a risk that QOCR processes remain superficial. As Cottle and Alexander (2012) note, “quality is interpreted through the lens of lived experience, values, and contextual pressures” (p. 648). For some, this may mean prioritising health and safety compliance or inspection readiness, rather than authentic dialogue. Similarly, unless leadership models encourage open dialogue and staff development, reflective engagement may feel like extra work rather than a shared responsibility.</w:t>
      </w:r>
    </w:p>
    <w:p w14:paraId="3833D4EC" w14:textId="02AFB217" w:rsidR="00FE2E03" w:rsidRPr="00A52B4A" w:rsidRDefault="004A635E" w:rsidP="009D4D3E">
      <w:pPr>
        <w:spacing w:before="100" w:beforeAutospacing="1" w:after="100" w:afterAutospacing="1" w:line="360" w:lineRule="auto"/>
        <w:rPr>
          <w:rFonts w:asciiTheme="minorBidi" w:eastAsia="Times New Roman" w:hAnsiTheme="minorBidi"/>
          <w:kern w:val="0"/>
          <w:lang w:eastAsia="en-GB"/>
          <w14:ligatures w14:val="none"/>
        </w:rPr>
      </w:pPr>
      <w:r w:rsidRPr="004A635E">
        <w:rPr>
          <w:rFonts w:asciiTheme="minorBidi" w:eastAsia="Times New Roman" w:hAnsiTheme="minorBidi"/>
          <w:kern w:val="0"/>
          <w:lang w:eastAsia="en-GB"/>
          <w14:ligatures w14:val="none"/>
        </w:rPr>
        <w:t xml:space="preserve">In conclusion, QOCRs and parent questionnaires offer significant potential to promote quality above statutory minimums—particularly when embedded in a reflective, relational, and inclusive culture. Drawing on guidance from CIW and the UNCRC, and supported by critical literature, </w:t>
      </w:r>
      <w:proofErr w:type="gramStart"/>
      <w:r w:rsidRPr="004A635E">
        <w:rPr>
          <w:rFonts w:asciiTheme="minorBidi" w:eastAsia="Times New Roman" w:hAnsiTheme="minorBidi"/>
          <w:kern w:val="0"/>
          <w:lang w:eastAsia="en-GB"/>
          <w14:ligatures w14:val="none"/>
        </w:rPr>
        <w:t>it is clear that parent</w:t>
      </w:r>
      <w:proofErr w:type="gramEnd"/>
      <w:r w:rsidRPr="004A635E">
        <w:rPr>
          <w:rFonts w:asciiTheme="minorBidi" w:eastAsia="Times New Roman" w:hAnsiTheme="minorBidi"/>
          <w:kern w:val="0"/>
          <w:lang w:eastAsia="en-GB"/>
          <w14:ligatures w14:val="none"/>
        </w:rPr>
        <w:t xml:space="preserve"> voice is a powerful tool—but only when settings have the confidence, competence, and commitment to </w:t>
      </w:r>
      <w:r w:rsidRPr="004A635E">
        <w:rPr>
          <w:rFonts w:asciiTheme="minorBidi" w:eastAsia="Times New Roman" w:hAnsiTheme="minorBidi"/>
          <w:kern w:val="0"/>
          <w:lang w:eastAsia="en-GB"/>
          <w14:ligatures w14:val="none"/>
        </w:rPr>
        <w:lastRenderedPageBreak/>
        <w:t>engage with it meaningfully. Otherwise, such processes risk reinforcing hierarchies of voice, rather than dismantling them.</w:t>
      </w:r>
    </w:p>
    <w:p w14:paraId="7456FB5E" w14:textId="6CF713DF" w:rsidR="00FE2E03" w:rsidRPr="00FE2E03" w:rsidRDefault="004A635E" w:rsidP="009D4D3E">
      <w:pPr>
        <w:spacing w:before="100" w:beforeAutospacing="1" w:after="100" w:afterAutospacing="1" w:line="360" w:lineRule="auto"/>
        <w:rPr>
          <w:rFonts w:asciiTheme="minorBidi" w:eastAsia="Times New Roman" w:hAnsiTheme="minorBidi"/>
          <w:kern w:val="0"/>
          <w:lang w:eastAsia="en-GB"/>
          <w14:ligatures w14:val="none"/>
        </w:rPr>
      </w:pPr>
      <w:r w:rsidRPr="00A52B4A">
        <w:rPr>
          <w:rFonts w:asciiTheme="minorBidi" w:eastAsia="Times New Roman" w:hAnsiTheme="minorBidi"/>
          <w:b/>
          <w:bCs/>
          <w:kern w:val="0"/>
          <w:lang w:eastAsia="en-GB"/>
          <w14:ligatures w14:val="none"/>
        </w:rPr>
        <w:t>Section 2</w:t>
      </w:r>
      <w:r w:rsidRPr="00A52B4A">
        <w:rPr>
          <w:rFonts w:asciiTheme="minorBidi" w:eastAsia="Times New Roman" w:hAnsiTheme="minorBidi"/>
          <w:kern w:val="0"/>
          <w:lang w:eastAsia="en-GB"/>
          <w14:ligatures w14:val="none"/>
        </w:rPr>
        <w:br/>
      </w:r>
      <w:r w:rsidRPr="00A52B4A">
        <w:rPr>
          <w:rFonts w:asciiTheme="minorBidi" w:eastAsia="Times New Roman" w:hAnsiTheme="minorBidi"/>
          <w:kern w:val="0"/>
          <w:lang w:eastAsia="en-GB"/>
          <w14:ligatures w14:val="none"/>
        </w:rPr>
        <w:br/>
      </w:r>
      <w:r w:rsidR="00FE2E03" w:rsidRPr="00FE2E03">
        <w:rPr>
          <w:rFonts w:asciiTheme="minorBidi" w:eastAsia="Times New Roman" w:hAnsiTheme="minorBidi"/>
          <w:kern w:val="0"/>
          <w:lang w:eastAsia="en-GB"/>
          <w14:ligatures w14:val="none"/>
        </w:rPr>
        <w:t>Improving quality beyond statutory minimums also relies on investing in the professional learning and well-being of staff. Flying Start settings often model this through regular supervision, in-house CPD, and structured reflection rooted in relational pedagogy. While statutory guidance such as the National Minimum Standards for Regulated Childcare and Estyn's inspection areas include broad references to training, these frameworks typically lack depth regarding how professional learning translates into daily pedagogical quality (</w:t>
      </w:r>
      <w:r w:rsidR="009D4D3E" w:rsidRPr="00A52B4A">
        <w:rPr>
          <w:rFonts w:asciiTheme="minorBidi" w:eastAsia="Times New Roman" w:hAnsiTheme="minorBidi"/>
          <w:i/>
          <w:iCs/>
          <w:kern w:val="0"/>
          <w:lang w:eastAsia="en-GB"/>
          <w14:ligatures w14:val="none"/>
        </w:rPr>
        <w:t>CIW, 2022</w:t>
      </w:r>
      <w:r w:rsidR="00FE2E03" w:rsidRPr="00FE2E03">
        <w:rPr>
          <w:rFonts w:asciiTheme="minorBidi" w:eastAsia="Times New Roman" w:hAnsiTheme="minorBidi"/>
          <w:kern w:val="0"/>
          <w:lang w:eastAsia="en-GB"/>
          <w14:ligatures w14:val="none"/>
        </w:rPr>
        <w:t>). In contrast, approaches such as the Sustained Shared Thinking and Emotional Well-being (SSTEW) Scale offer specific indicators to help practitioners critically examine and improve their practice.</w:t>
      </w:r>
    </w:p>
    <w:p w14:paraId="47F63AB6" w14:textId="67C0E0BC" w:rsidR="00FE2E03" w:rsidRPr="00FE2E03" w:rsidRDefault="00FE2E03" w:rsidP="009D4D3E">
      <w:pPr>
        <w:spacing w:before="100" w:beforeAutospacing="1" w:after="100" w:afterAutospacing="1" w:line="360" w:lineRule="auto"/>
        <w:rPr>
          <w:rFonts w:asciiTheme="minorBidi" w:eastAsia="Times New Roman" w:hAnsiTheme="minorBidi"/>
          <w:kern w:val="0"/>
          <w:lang w:eastAsia="en-GB"/>
          <w14:ligatures w14:val="none"/>
        </w:rPr>
      </w:pPr>
      <w:r w:rsidRPr="00FE2E03">
        <w:rPr>
          <w:rFonts w:asciiTheme="minorBidi" w:eastAsia="Times New Roman" w:hAnsiTheme="minorBidi"/>
          <w:kern w:val="0"/>
          <w:lang w:eastAsia="en-GB"/>
          <w14:ligatures w14:val="none"/>
        </w:rPr>
        <w:t xml:space="preserve">Developed by Siraj et al. (2015), the SSTEW framework assesses process quality across five domains, including trusting relationships, critical thinking, and language-rich interactions. Unlike compliance </w:t>
      </w:r>
      <w:r w:rsidR="00F612D9" w:rsidRPr="00FE2E03">
        <w:rPr>
          <w:rFonts w:asciiTheme="minorBidi" w:eastAsia="Times New Roman" w:hAnsiTheme="minorBidi"/>
          <w:kern w:val="0"/>
          <w:lang w:eastAsia="en-GB"/>
          <w14:ligatures w14:val="none"/>
        </w:rPr>
        <w:t>system</w:t>
      </w:r>
      <w:r w:rsidR="00F612D9">
        <w:rPr>
          <w:rFonts w:asciiTheme="minorBidi" w:eastAsia="Times New Roman" w:hAnsiTheme="minorBidi"/>
          <w:kern w:val="0"/>
          <w:lang w:eastAsia="en-GB"/>
          <w14:ligatures w14:val="none"/>
        </w:rPr>
        <w:t>s</w:t>
      </w:r>
      <w:r w:rsidR="00F612D9" w:rsidRPr="00FE2E03">
        <w:rPr>
          <w:rFonts w:asciiTheme="minorBidi" w:eastAsia="Times New Roman" w:hAnsiTheme="minorBidi"/>
          <w:kern w:val="0"/>
          <w:lang w:eastAsia="en-GB"/>
          <w14:ligatures w14:val="none"/>
        </w:rPr>
        <w:t xml:space="preserve"> of measurement</w:t>
      </w:r>
      <w:r w:rsidRPr="00FE2E03">
        <w:rPr>
          <w:rFonts w:asciiTheme="minorBidi" w:eastAsia="Times New Roman" w:hAnsiTheme="minorBidi"/>
          <w:kern w:val="0"/>
          <w:lang w:eastAsia="en-GB"/>
          <w14:ligatures w14:val="none"/>
        </w:rPr>
        <w:t>, it provides reflective prompts for practitioners to consider how their behaviour, tone, and responsiveness affect children’s well-being and cognitive development. For example, practitioners are encouraged to “engage in genuine conversations,” model curiosity, and tailor scaffolding to individual children's developmental profiles (Siraj et al., 2015, pp. 10, 27, 33). This allows CPD and supervision to be grounded in real examples of practice, moving beyond surface-level “training” to embedded improvement.</w:t>
      </w:r>
    </w:p>
    <w:p w14:paraId="4C3731CE" w14:textId="0FD5A63D" w:rsidR="00FE2E03" w:rsidRPr="00FE2E03" w:rsidRDefault="00FE2E03" w:rsidP="009D4D3E">
      <w:pPr>
        <w:spacing w:before="100" w:beforeAutospacing="1" w:after="100" w:afterAutospacing="1" w:line="360" w:lineRule="auto"/>
        <w:rPr>
          <w:rFonts w:asciiTheme="minorBidi" w:eastAsia="Times New Roman" w:hAnsiTheme="minorBidi"/>
          <w:kern w:val="0"/>
          <w:lang w:eastAsia="en-GB"/>
          <w14:ligatures w14:val="none"/>
        </w:rPr>
      </w:pPr>
      <w:r w:rsidRPr="00FE2E03">
        <w:rPr>
          <w:rFonts w:asciiTheme="minorBidi" w:eastAsia="Times New Roman" w:hAnsiTheme="minorBidi"/>
          <w:kern w:val="0"/>
          <w:lang w:eastAsia="en-GB"/>
          <w14:ligatures w14:val="none"/>
        </w:rPr>
        <w:t xml:space="preserve">The importance of such process-oriented tools is reinforced by research from Siraj et al. (2019), who compared regulatory and non-regulatory measures of early years quality across Australian settings. Their findings showed that while structural indicators (e.g., ratios, policies) had limited predictive value, tools like SSTEW were significantly associated with improved child outcomes. “Regulatory quality indicators were only weakly associated with child outcomes,” they note, “whereas non-regulatory indicators, such as those measured by the SSTEW scale, showed stronger predictive validity” (Siraj et al., 2019, p. 374). This supports the idea that </w:t>
      </w:r>
      <w:r w:rsidRPr="00FE2E03">
        <w:rPr>
          <w:rFonts w:asciiTheme="minorBidi" w:eastAsia="Times New Roman" w:hAnsiTheme="minorBidi"/>
          <w:kern w:val="0"/>
          <w:lang w:eastAsia="en-GB"/>
          <w14:ligatures w14:val="none"/>
        </w:rPr>
        <w:lastRenderedPageBreak/>
        <w:t xml:space="preserve">professional learning must be embedded within pedagogical frameworks, not simply </w:t>
      </w:r>
      <w:r w:rsidR="006A3FFE">
        <w:rPr>
          <w:rFonts w:asciiTheme="minorBidi" w:eastAsia="Times New Roman" w:hAnsiTheme="minorBidi"/>
          <w:kern w:val="0"/>
          <w:lang w:eastAsia="en-GB"/>
          <w14:ligatures w14:val="none"/>
        </w:rPr>
        <w:t>statutory expectations</w:t>
      </w:r>
      <w:r w:rsidRPr="00FE2E03">
        <w:rPr>
          <w:rFonts w:asciiTheme="minorBidi" w:eastAsia="Times New Roman" w:hAnsiTheme="minorBidi"/>
          <w:kern w:val="0"/>
          <w:lang w:eastAsia="en-GB"/>
          <w14:ligatures w14:val="none"/>
        </w:rPr>
        <w:t>.</w:t>
      </w:r>
    </w:p>
    <w:p w14:paraId="7C7E95EE" w14:textId="77777777" w:rsidR="00FE2E03" w:rsidRPr="00FE2E03" w:rsidRDefault="00FE2E03" w:rsidP="009D4D3E">
      <w:pPr>
        <w:spacing w:before="100" w:beforeAutospacing="1" w:after="100" w:afterAutospacing="1" w:line="360" w:lineRule="auto"/>
        <w:rPr>
          <w:rFonts w:asciiTheme="minorBidi" w:eastAsia="Times New Roman" w:hAnsiTheme="minorBidi"/>
          <w:kern w:val="0"/>
          <w:lang w:eastAsia="en-GB"/>
          <w14:ligatures w14:val="none"/>
        </w:rPr>
      </w:pPr>
      <w:r w:rsidRPr="00FE2E03">
        <w:rPr>
          <w:rFonts w:asciiTheme="minorBidi" w:eastAsia="Times New Roman" w:hAnsiTheme="minorBidi"/>
          <w:kern w:val="0"/>
          <w:lang w:eastAsia="en-GB"/>
          <w14:ligatures w14:val="none"/>
        </w:rPr>
        <w:t xml:space="preserve">Further empirical support comes from the FEEL study by </w:t>
      </w:r>
      <w:proofErr w:type="spellStart"/>
      <w:r w:rsidRPr="00FE2E03">
        <w:rPr>
          <w:rFonts w:asciiTheme="minorBidi" w:eastAsia="Times New Roman" w:hAnsiTheme="minorBidi"/>
          <w:kern w:val="0"/>
          <w:lang w:eastAsia="en-GB"/>
          <w14:ligatures w14:val="none"/>
        </w:rPr>
        <w:t>Melhuish</w:t>
      </w:r>
      <w:proofErr w:type="spellEnd"/>
      <w:r w:rsidRPr="00FE2E03">
        <w:rPr>
          <w:rFonts w:asciiTheme="minorBidi" w:eastAsia="Times New Roman" w:hAnsiTheme="minorBidi"/>
          <w:kern w:val="0"/>
          <w:lang w:eastAsia="en-GB"/>
          <w14:ligatures w14:val="none"/>
        </w:rPr>
        <w:t xml:space="preserve"> et al. (2016), which used a randomised controlled trial to examine the impact of SSTEW-based CPD on educator practice and child development. The intervention showed that sustained shared thinking, emotional responsiveness, and collaborative reflection significantly improved both educator-child interactions and school readiness outcomes. As the authors argue, “Improving educator-child interactions through reflective, practice-based CPD represents a key mechanism for advancing quality in early years provision” (</w:t>
      </w:r>
      <w:proofErr w:type="spellStart"/>
      <w:r w:rsidRPr="00FE2E03">
        <w:rPr>
          <w:rFonts w:asciiTheme="minorBidi" w:eastAsia="Times New Roman" w:hAnsiTheme="minorBidi"/>
          <w:kern w:val="0"/>
          <w:lang w:eastAsia="en-GB"/>
          <w14:ligatures w14:val="none"/>
        </w:rPr>
        <w:t>Melhuish</w:t>
      </w:r>
      <w:proofErr w:type="spellEnd"/>
      <w:r w:rsidRPr="00FE2E03">
        <w:rPr>
          <w:rFonts w:asciiTheme="minorBidi" w:eastAsia="Times New Roman" w:hAnsiTheme="minorBidi"/>
          <w:kern w:val="0"/>
          <w:lang w:eastAsia="en-GB"/>
          <w14:ligatures w14:val="none"/>
        </w:rPr>
        <w:t xml:space="preserve"> et al., 2016, p. 3). This directly supports the argument that investment in deep, contextually grounded CPD is vital for achieving authentic quality.</w:t>
      </w:r>
    </w:p>
    <w:p w14:paraId="1F4AD375" w14:textId="77777777" w:rsidR="00FE2E03" w:rsidRPr="00FE2E03" w:rsidRDefault="00FE2E03" w:rsidP="009D4D3E">
      <w:pPr>
        <w:spacing w:before="100" w:beforeAutospacing="1" w:after="100" w:afterAutospacing="1" w:line="360" w:lineRule="auto"/>
        <w:rPr>
          <w:rFonts w:asciiTheme="minorBidi" w:eastAsia="Times New Roman" w:hAnsiTheme="minorBidi"/>
          <w:kern w:val="0"/>
          <w:lang w:eastAsia="en-GB"/>
          <w14:ligatures w14:val="none"/>
        </w:rPr>
      </w:pPr>
      <w:r w:rsidRPr="00FE2E03">
        <w:rPr>
          <w:rFonts w:asciiTheme="minorBidi" w:eastAsia="Times New Roman" w:hAnsiTheme="minorBidi"/>
          <w:kern w:val="0"/>
          <w:lang w:eastAsia="en-GB"/>
          <w14:ligatures w14:val="none"/>
        </w:rPr>
        <w:t>However, CPD alone is insufficient without leadership that fosters a culture of reflection and relational practice. As Campbell-Barr and Leeson (2016) assert, “Leadership in the early years involves the creation of a reflective culture where quality is a lived experience, not a fixed output” (p. 29). Their conceptualisation of leadership challenges deficit models of supervision and instead centres the role of leaders as facilitators of enquiry and co-learning. In Flying Start settings, this may be reflected in supervision meetings that offer safe spaces for staff to critically explore dilemmas, revisit practice using SSTEW indicators, and co-construct next steps. Rather than performance management, supervision becomes a site of professional dialogue and identity building.</w:t>
      </w:r>
    </w:p>
    <w:p w14:paraId="149EFD0F" w14:textId="504D9002" w:rsidR="00FE2E03" w:rsidRPr="00FE2E03" w:rsidRDefault="00FE2E03" w:rsidP="009D4D3E">
      <w:pPr>
        <w:spacing w:before="100" w:beforeAutospacing="1" w:after="100" w:afterAutospacing="1" w:line="360" w:lineRule="auto"/>
        <w:rPr>
          <w:rFonts w:asciiTheme="minorBidi" w:eastAsia="Times New Roman" w:hAnsiTheme="minorBidi"/>
          <w:kern w:val="0"/>
          <w:lang w:eastAsia="en-GB"/>
          <w14:ligatures w14:val="none"/>
        </w:rPr>
      </w:pPr>
      <w:r w:rsidRPr="00FE2E03">
        <w:rPr>
          <w:rFonts w:asciiTheme="minorBidi" w:eastAsia="Times New Roman" w:hAnsiTheme="minorBidi"/>
          <w:kern w:val="0"/>
          <w:lang w:eastAsia="en-GB"/>
          <w14:ligatures w14:val="none"/>
        </w:rPr>
        <w:t>This view aligns with the Welsh Government’s National Approach to Professional Learning, which encourages sustained, enquiry-based models of CPD over one-off events (</w:t>
      </w:r>
      <w:r w:rsidR="009D4D3E" w:rsidRPr="00A52B4A">
        <w:rPr>
          <w:rFonts w:asciiTheme="minorBidi" w:eastAsia="Times New Roman" w:hAnsiTheme="minorBidi"/>
          <w:i/>
          <w:iCs/>
          <w:kern w:val="0"/>
          <w:lang w:eastAsia="en-GB"/>
          <w14:ligatures w14:val="none"/>
        </w:rPr>
        <w:t>Welsh Government, 2022</w:t>
      </w:r>
      <w:r w:rsidRPr="00FE2E03">
        <w:rPr>
          <w:rFonts w:asciiTheme="minorBidi" w:eastAsia="Times New Roman" w:hAnsiTheme="minorBidi"/>
          <w:kern w:val="0"/>
          <w:lang w:eastAsia="en-GB"/>
          <w14:ligatures w14:val="none"/>
        </w:rPr>
        <w:t xml:space="preserve">). It also reflects findings from </w:t>
      </w:r>
      <w:r w:rsidR="009D4D3E" w:rsidRPr="00A52B4A">
        <w:rPr>
          <w:rFonts w:asciiTheme="minorBidi" w:eastAsia="Times New Roman" w:hAnsiTheme="minorBidi"/>
          <w:kern w:val="0"/>
          <w:lang w:eastAsia="en-GB"/>
          <w14:ligatures w14:val="none"/>
        </w:rPr>
        <w:t>Welsh Government (2010)</w:t>
      </w:r>
      <w:r w:rsidRPr="00FE2E03">
        <w:rPr>
          <w:rFonts w:asciiTheme="minorBidi" w:eastAsia="Times New Roman" w:hAnsiTheme="minorBidi"/>
          <w:kern w:val="0"/>
          <w:lang w:eastAsia="en-GB"/>
          <w14:ligatures w14:val="none"/>
        </w:rPr>
        <w:t>, which emphasised the importance of well-being, trust, and continuous learning in supervisory practice. While statutory references to staff supervision exist in the Child Minding and Day Care (Wales) Regulations 2010, they lack the pedagogical depth explored in frameworks like SSTEW or the broader theoretical literature</w:t>
      </w:r>
      <w:r w:rsidR="009D4D3E" w:rsidRPr="00A52B4A">
        <w:rPr>
          <w:rFonts w:asciiTheme="minorBidi" w:eastAsia="Times New Roman" w:hAnsiTheme="minorBidi"/>
          <w:kern w:val="0"/>
          <w:lang w:eastAsia="en-GB"/>
          <w14:ligatures w14:val="none"/>
        </w:rPr>
        <w:t xml:space="preserve"> (</w:t>
      </w:r>
      <w:r w:rsidR="00562A81" w:rsidRPr="00A52B4A">
        <w:t>Campbell-Barr &amp; Leeson, 2016; Siraj et al., 2015</w:t>
      </w:r>
      <w:r w:rsidR="009D4D3E" w:rsidRPr="00A52B4A">
        <w:rPr>
          <w:rFonts w:asciiTheme="minorBidi" w:eastAsia="Times New Roman" w:hAnsiTheme="minorBidi"/>
          <w:kern w:val="0"/>
          <w:lang w:eastAsia="en-GB"/>
          <w14:ligatures w14:val="none"/>
        </w:rPr>
        <w:t>)</w:t>
      </w:r>
      <w:r w:rsidRPr="00FE2E03">
        <w:rPr>
          <w:rFonts w:asciiTheme="minorBidi" w:eastAsia="Times New Roman" w:hAnsiTheme="minorBidi"/>
          <w:kern w:val="0"/>
          <w:lang w:eastAsia="en-GB"/>
          <w14:ligatures w14:val="none"/>
        </w:rPr>
        <w:t>.</w:t>
      </w:r>
    </w:p>
    <w:p w14:paraId="325EDBDA" w14:textId="77777777" w:rsidR="00FE2E03" w:rsidRPr="00FE2E03" w:rsidRDefault="00FE2E03" w:rsidP="009D4D3E">
      <w:pPr>
        <w:spacing w:before="100" w:beforeAutospacing="1" w:after="100" w:afterAutospacing="1" w:line="360" w:lineRule="auto"/>
        <w:rPr>
          <w:rFonts w:asciiTheme="minorBidi" w:eastAsia="Times New Roman" w:hAnsiTheme="minorBidi"/>
          <w:kern w:val="0"/>
          <w:lang w:eastAsia="en-GB"/>
          <w14:ligatures w14:val="none"/>
        </w:rPr>
      </w:pPr>
      <w:r w:rsidRPr="00FE2E03">
        <w:rPr>
          <w:rFonts w:asciiTheme="minorBidi" w:eastAsia="Times New Roman" w:hAnsiTheme="minorBidi"/>
          <w:kern w:val="0"/>
          <w:lang w:eastAsia="en-GB"/>
          <w14:ligatures w14:val="none"/>
        </w:rPr>
        <w:lastRenderedPageBreak/>
        <w:t>Nonetheless, the ability of settings to deliver high-quality supervision is contingent on time, training, and leadership priorities. Where resources are limited or supervision is viewed as a compliance task, opportunities for reflective dialogue are reduced. This can lead to stress, miscommunication, or missed opportunities to improve practice. As Campbell-Barr and Leeson (2016) caution, “If quality is to be sustained, leadership must embrace uncertainty and support practitioners in interpreting what quality means in their specific context” (p. 67). Therefore, promoting quality above statutory requirements depends not only on the tools used but on the leadership culture in which those tools are embedded.</w:t>
      </w:r>
    </w:p>
    <w:p w14:paraId="5B3AB353" w14:textId="2A7CC1AE" w:rsidR="00663E9F" w:rsidRPr="00A52B4A" w:rsidRDefault="00FE2E03" w:rsidP="009D4D3E">
      <w:pPr>
        <w:spacing w:before="100" w:beforeAutospacing="1" w:after="100" w:afterAutospacing="1" w:line="360" w:lineRule="auto"/>
        <w:rPr>
          <w:rFonts w:asciiTheme="minorBidi" w:eastAsia="Times New Roman" w:hAnsiTheme="minorBidi"/>
          <w:kern w:val="0"/>
          <w:lang w:eastAsia="en-GB"/>
          <w14:ligatures w14:val="none"/>
        </w:rPr>
      </w:pPr>
      <w:r w:rsidRPr="00FE2E03">
        <w:rPr>
          <w:rFonts w:asciiTheme="minorBidi" w:eastAsia="Times New Roman" w:hAnsiTheme="minorBidi"/>
          <w:kern w:val="0"/>
          <w:lang w:eastAsia="en-GB"/>
          <w14:ligatures w14:val="none"/>
        </w:rPr>
        <w:t>In summary, professional learning, reflective supervision, and frameworks such as SSTEW enable Flying Start settings to pursue process quality in meaningful and measurable ways. This exceeds the expectations set by statutory guidance by offering a more holistic, relational, and responsive model of pedagogy. When supervision is informed by pedagogical frameworks and supported by reflective leadership, it becomes a lever for continuous quality improvement</w:t>
      </w:r>
      <w:r w:rsidR="006F1614">
        <w:rPr>
          <w:rFonts w:asciiTheme="minorBidi" w:eastAsia="Times New Roman" w:hAnsiTheme="minorBidi"/>
          <w:kern w:val="0"/>
          <w:lang w:eastAsia="en-GB"/>
          <w14:ligatures w14:val="none"/>
        </w:rPr>
        <w:t xml:space="preserve">, </w:t>
      </w:r>
      <w:r w:rsidRPr="00FE2E03">
        <w:rPr>
          <w:rFonts w:asciiTheme="minorBidi" w:eastAsia="Times New Roman" w:hAnsiTheme="minorBidi"/>
          <w:kern w:val="0"/>
          <w:lang w:eastAsia="en-GB"/>
          <w14:ligatures w14:val="none"/>
        </w:rPr>
        <w:t>benefitting both practitioners and the children in their care.</w:t>
      </w:r>
    </w:p>
    <w:p w14:paraId="1476F920" w14:textId="77777777" w:rsidR="004A635E" w:rsidRPr="00A52B4A" w:rsidRDefault="004A635E" w:rsidP="009D4D3E">
      <w:pPr>
        <w:spacing w:before="100" w:beforeAutospacing="1" w:after="100" w:afterAutospacing="1" w:line="360" w:lineRule="auto"/>
        <w:rPr>
          <w:rFonts w:asciiTheme="minorBidi" w:eastAsia="Times New Roman" w:hAnsiTheme="minorBidi"/>
          <w:b/>
          <w:bCs/>
          <w:kern w:val="0"/>
          <w:lang w:eastAsia="en-GB"/>
          <w14:ligatures w14:val="none"/>
        </w:rPr>
      </w:pPr>
      <w:r w:rsidRPr="00A52B4A">
        <w:rPr>
          <w:rFonts w:asciiTheme="minorBidi" w:eastAsia="Times New Roman" w:hAnsiTheme="minorBidi"/>
          <w:b/>
          <w:bCs/>
          <w:kern w:val="0"/>
          <w:lang w:eastAsia="en-GB"/>
          <w14:ligatures w14:val="none"/>
        </w:rPr>
        <w:t>Conclusion</w:t>
      </w:r>
    </w:p>
    <w:p w14:paraId="333FF9A6" w14:textId="238297C3" w:rsidR="004A635E" w:rsidRPr="00A52B4A" w:rsidRDefault="004A635E" w:rsidP="009D4D3E">
      <w:pPr>
        <w:spacing w:before="100" w:beforeAutospacing="1" w:after="100" w:afterAutospacing="1" w:line="360" w:lineRule="auto"/>
        <w:rPr>
          <w:rFonts w:asciiTheme="minorBidi" w:eastAsia="Times New Roman" w:hAnsiTheme="minorBidi"/>
          <w:kern w:val="0"/>
          <w:lang w:eastAsia="en-GB"/>
          <w14:ligatures w14:val="none"/>
        </w:rPr>
      </w:pPr>
      <w:r w:rsidRPr="00A52B4A">
        <w:rPr>
          <w:rFonts w:asciiTheme="minorBidi" w:hAnsiTheme="minorBidi"/>
        </w:rPr>
        <w:t xml:space="preserve">Promoting quality beyond compliance requires more than fulfilling statutory obligations; it calls for a values-led, relational, and reflective approach to early years practice. This </w:t>
      </w:r>
      <w:r w:rsidR="00A52B4A">
        <w:rPr>
          <w:rFonts w:asciiTheme="minorBidi" w:hAnsiTheme="minorBidi"/>
        </w:rPr>
        <w:t>assignment</w:t>
      </w:r>
      <w:r w:rsidRPr="00A52B4A">
        <w:rPr>
          <w:rFonts w:asciiTheme="minorBidi" w:hAnsiTheme="minorBidi"/>
        </w:rPr>
        <w:t xml:space="preserve"> has examined how QOCRs and parent engagement tools can elevate quality when embedded meaningfully, offering families a platform to influence provision and shaping services around lived experience. Likewise, frameworks such as SSTEW</w:t>
      </w:r>
      <w:r w:rsidR="006F1614">
        <w:rPr>
          <w:rFonts w:asciiTheme="minorBidi" w:hAnsiTheme="minorBidi"/>
        </w:rPr>
        <w:t xml:space="preserve">, </w:t>
      </w:r>
      <w:r w:rsidRPr="00A52B4A">
        <w:rPr>
          <w:rFonts w:asciiTheme="minorBidi" w:hAnsiTheme="minorBidi"/>
        </w:rPr>
        <w:t>when supported through reflective supervision and strong leadership</w:t>
      </w:r>
      <w:r w:rsidR="006F1614">
        <w:rPr>
          <w:rFonts w:asciiTheme="minorBidi" w:hAnsiTheme="minorBidi"/>
        </w:rPr>
        <w:t xml:space="preserve">, </w:t>
      </w:r>
      <w:r w:rsidRPr="00A52B4A">
        <w:rPr>
          <w:rFonts w:asciiTheme="minorBidi" w:hAnsiTheme="minorBidi"/>
        </w:rPr>
        <w:t>enable staff to develop process quality through dialogue, curiosity, and emotional responsiveness. Both methods require time, trust, and intentionality to be effective. Ultimately, it is not the tools themselves, but how they are used within a supportive culture, that determines whether they enhance or dilute quality in early childhood care and education.</w:t>
      </w:r>
    </w:p>
    <w:p w14:paraId="48D452BD" w14:textId="77777777" w:rsidR="004A635E" w:rsidRPr="00A52B4A" w:rsidRDefault="004A635E" w:rsidP="009D4D3E">
      <w:pPr>
        <w:spacing w:before="100" w:beforeAutospacing="1" w:after="100" w:afterAutospacing="1" w:line="360" w:lineRule="auto"/>
        <w:rPr>
          <w:rFonts w:asciiTheme="minorBidi" w:eastAsia="Times New Roman" w:hAnsiTheme="minorBidi"/>
          <w:kern w:val="0"/>
          <w:lang w:eastAsia="en-GB"/>
          <w14:ligatures w14:val="none"/>
        </w:rPr>
      </w:pPr>
    </w:p>
    <w:p w14:paraId="148D9D53" w14:textId="434E0532" w:rsidR="00A52B4A" w:rsidRPr="007C7F1B" w:rsidRDefault="00A52B4A" w:rsidP="007C7F1B">
      <w:pPr>
        <w:spacing w:line="360" w:lineRule="auto"/>
        <w:rPr>
          <w:rFonts w:asciiTheme="minorBidi" w:eastAsia="Times New Roman" w:hAnsiTheme="minorBidi"/>
          <w:kern w:val="0"/>
          <w:lang w:eastAsia="en-GB"/>
          <w14:ligatures w14:val="none"/>
        </w:rPr>
      </w:pPr>
    </w:p>
    <w:sectPr w:rsidR="00A52B4A" w:rsidRPr="007C7F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E9F"/>
    <w:rsid w:val="001D080B"/>
    <w:rsid w:val="0021420F"/>
    <w:rsid w:val="00312F89"/>
    <w:rsid w:val="00313AF3"/>
    <w:rsid w:val="004A39FB"/>
    <w:rsid w:val="004A635E"/>
    <w:rsid w:val="00562A81"/>
    <w:rsid w:val="00663E9F"/>
    <w:rsid w:val="006A3FFE"/>
    <w:rsid w:val="006F1614"/>
    <w:rsid w:val="007C7F1B"/>
    <w:rsid w:val="0082452B"/>
    <w:rsid w:val="009D4D3E"/>
    <w:rsid w:val="00A52B4A"/>
    <w:rsid w:val="00C965F2"/>
    <w:rsid w:val="00D814CF"/>
    <w:rsid w:val="00F03784"/>
    <w:rsid w:val="00F612D9"/>
    <w:rsid w:val="00FE2E0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66237"/>
  <w15:chartTrackingRefBased/>
  <w15:docId w15:val="{5F9D75E2-8D5F-CA4E-BDE1-0EE58E798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3E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3E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3E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3E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3E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3E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3E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3E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3E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3E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3E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3E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3E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3E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3E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3E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3E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3E9F"/>
    <w:rPr>
      <w:rFonts w:eastAsiaTheme="majorEastAsia" w:cstheme="majorBidi"/>
      <w:color w:val="272727" w:themeColor="text1" w:themeTint="D8"/>
    </w:rPr>
  </w:style>
  <w:style w:type="paragraph" w:styleId="Title">
    <w:name w:val="Title"/>
    <w:basedOn w:val="Normal"/>
    <w:next w:val="Normal"/>
    <w:link w:val="TitleChar"/>
    <w:uiPriority w:val="10"/>
    <w:qFormat/>
    <w:rsid w:val="00663E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3E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3E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3E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3E9F"/>
    <w:pPr>
      <w:spacing w:before="160"/>
      <w:jc w:val="center"/>
    </w:pPr>
    <w:rPr>
      <w:i/>
      <w:iCs/>
      <w:color w:val="404040" w:themeColor="text1" w:themeTint="BF"/>
    </w:rPr>
  </w:style>
  <w:style w:type="character" w:customStyle="1" w:styleId="QuoteChar">
    <w:name w:val="Quote Char"/>
    <w:basedOn w:val="DefaultParagraphFont"/>
    <w:link w:val="Quote"/>
    <w:uiPriority w:val="29"/>
    <w:rsid w:val="00663E9F"/>
    <w:rPr>
      <w:i/>
      <w:iCs/>
      <w:color w:val="404040" w:themeColor="text1" w:themeTint="BF"/>
    </w:rPr>
  </w:style>
  <w:style w:type="paragraph" w:styleId="ListParagraph">
    <w:name w:val="List Paragraph"/>
    <w:basedOn w:val="Normal"/>
    <w:uiPriority w:val="34"/>
    <w:qFormat/>
    <w:rsid w:val="00663E9F"/>
    <w:pPr>
      <w:ind w:left="720"/>
      <w:contextualSpacing/>
    </w:pPr>
  </w:style>
  <w:style w:type="character" w:styleId="IntenseEmphasis">
    <w:name w:val="Intense Emphasis"/>
    <w:basedOn w:val="DefaultParagraphFont"/>
    <w:uiPriority w:val="21"/>
    <w:qFormat/>
    <w:rsid w:val="00663E9F"/>
    <w:rPr>
      <w:i/>
      <w:iCs/>
      <w:color w:val="0F4761" w:themeColor="accent1" w:themeShade="BF"/>
    </w:rPr>
  </w:style>
  <w:style w:type="paragraph" w:styleId="IntenseQuote">
    <w:name w:val="Intense Quote"/>
    <w:basedOn w:val="Normal"/>
    <w:next w:val="Normal"/>
    <w:link w:val="IntenseQuoteChar"/>
    <w:uiPriority w:val="30"/>
    <w:qFormat/>
    <w:rsid w:val="00663E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3E9F"/>
    <w:rPr>
      <w:i/>
      <w:iCs/>
      <w:color w:val="0F4761" w:themeColor="accent1" w:themeShade="BF"/>
    </w:rPr>
  </w:style>
  <w:style w:type="character" w:styleId="IntenseReference">
    <w:name w:val="Intense Reference"/>
    <w:basedOn w:val="DefaultParagraphFont"/>
    <w:uiPriority w:val="32"/>
    <w:qFormat/>
    <w:rsid w:val="00663E9F"/>
    <w:rPr>
      <w:b/>
      <w:bCs/>
      <w:smallCaps/>
      <w:color w:val="0F4761" w:themeColor="accent1" w:themeShade="BF"/>
      <w:spacing w:val="5"/>
    </w:rPr>
  </w:style>
  <w:style w:type="character" w:styleId="Strong">
    <w:name w:val="Strong"/>
    <w:basedOn w:val="DefaultParagraphFont"/>
    <w:uiPriority w:val="22"/>
    <w:qFormat/>
    <w:rsid w:val="00663E9F"/>
    <w:rPr>
      <w:b/>
      <w:bCs/>
    </w:rPr>
  </w:style>
  <w:style w:type="character" w:styleId="Emphasis">
    <w:name w:val="Emphasis"/>
    <w:basedOn w:val="DefaultParagraphFont"/>
    <w:uiPriority w:val="20"/>
    <w:qFormat/>
    <w:rsid w:val="00663E9F"/>
    <w:rPr>
      <w:i/>
      <w:iCs/>
    </w:rPr>
  </w:style>
  <w:style w:type="character" w:styleId="Hyperlink">
    <w:name w:val="Hyperlink"/>
    <w:basedOn w:val="DefaultParagraphFont"/>
    <w:uiPriority w:val="99"/>
    <w:unhideWhenUsed/>
    <w:rsid w:val="00663E9F"/>
    <w:rPr>
      <w:color w:val="0000FF"/>
      <w:u w:val="single"/>
    </w:rPr>
  </w:style>
  <w:style w:type="character" w:styleId="UnresolvedMention">
    <w:name w:val="Unresolved Mention"/>
    <w:basedOn w:val="DefaultParagraphFont"/>
    <w:uiPriority w:val="99"/>
    <w:semiHidden/>
    <w:unhideWhenUsed/>
    <w:rsid w:val="009D4D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254279">
      <w:bodyDiv w:val="1"/>
      <w:marLeft w:val="0"/>
      <w:marRight w:val="0"/>
      <w:marTop w:val="0"/>
      <w:marBottom w:val="0"/>
      <w:divBdr>
        <w:top w:val="none" w:sz="0" w:space="0" w:color="auto"/>
        <w:left w:val="none" w:sz="0" w:space="0" w:color="auto"/>
        <w:bottom w:val="none" w:sz="0" w:space="0" w:color="auto"/>
        <w:right w:val="none" w:sz="0" w:space="0" w:color="auto"/>
      </w:divBdr>
    </w:div>
    <w:div w:id="264113872">
      <w:bodyDiv w:val="1"/>
      <w:marLeft w:val="0"/>
      <w:marRight w:val="0"/>
      <w:marTop w:val="0"/>
      <w:marBottom w:val="0"/>
      <w:divBdr>
        <w:top w:val="none" w:sz="0" w:space="0" w:color="auto"/>
        <w:left w:val="none" w:sz="0" w:space="0" w:color="auto"/>
        <w:bottom w:val="none" w:sz="0" w:space="0" w:color="auto"/>
        <w:right w:val="none" w:sz="0" w:space="0" w:color="auto"/>
      </w:divBdr>
    </w:div>
    <w:div w:id="494876687">
      <w:bodyDiv w:val="1"/>
      <w:marLeft w:val="0"/>
      <w:marRight w:val="0"/>
      <w:marTop w:val="0"/>
      <w:marBottom w:val="0"/>
      <w:divBdr>
        <w:top w:val="none" w:sz="0" w:space="0" w:color="auto"/>
        <w:left w:val="none" w:sz="0" w:space="0" w:color="auto"/>
        <w:bottom w:val="none" w:sz="0" w:space="0" w:color="auto"/>
        <w:right w:val="none" w:sz="0" w:space="0" w:color="auto"/>
      </w:divBdr>
    </w:div>
    <w:div w:id="503395288">
      <w:bodyDiv w:val="1"/>
      <w:marLeft w:val="0"/>
      <w:marRight w:val="0"/>
      <w:marTop w:val="0"/>
      <w:marBottom w:val="0"/>
      <w:divBdr>
        <w:top w:val="none" w:sz="0" w:space="0" w:color="auto"/>
        <w:left w:val="none" w:sz="0" w:space="0" w:color="auto"/>
        <w:bottom w:val="none" w:sz="0" w:space="0" w:color="auto"/>
        <w:right w:val="none" w:sz="0" w:space="0" w:color="auto"/>
      </w:divBdr>
    </w:div>
    <w:div w:id="1176767671">
      <w:bodyDiv w:val="1"/>
      <w:marLeft w:val="0"/>
      <w:marRight w:val="0"/>
      <w:marTop w:val="0"/>
      <w:marBottom w:val="0"/>
      <w:divBdr>
        <w:top w:val="none" w:sz="0" w:space="0" w:color="auto"/>
        <w:left w:val="none" w:sz="0" w:space="0" w:color="auto"/>
        <w:bottom w:val="none" w:sz="0" w:space="0" w:color="auto"/>
        <w:right w:val="none" w:sz="0" w:space="0" w:color="auto"/>
      </w:divBdr>
    </w:div>
    <w:div w:id="1386295718">
      <w:bodyDiv w:val="1"/>
      <w:marLeft w:val="0"/>
      <w:marRight w:val="0"/>
      <w:marTop w:val="0"/>
      <w:marBottom w:val="0"/>
      <w:divBdr>
        <w:top w:val="none" w:sz="0" w:space="0" w:color="auto"/>
        <w:left w:val="none" w:sz="0" w:space="0" w:color="auto"/>
        <w:bottom w:val="none" w:sz="0" w:space="0" w:color="auto"/>
        <w:right w:val="none" w:sz="0" w:space="0" w:color="auto"/>
      </w:divBdr>
    </w:div>
    <w:div w:id="1736078292">
      <w:bodyDiv w:val="1"/>
      <w:marLeft w:val="0"/>
      <w:marRight w:val="0"/>
      <w:marTop w:val="0"/>
      <w:marBottom w:val="0"/>
      <w:divBdr>
        <w:top w:val="none" w:sz="0" w:space="0" w:color="auto"/>
        <w:left w:val="none" w:sz="0" w:space="0" w:color="auto"/>
        <w:bottom w:val="none" w:sz="0" w:space="0" w:color="auto"/>
        <w:right w:val="none" w:sz="0" w:space="0" w:color="auto"/>
      </w:divBdr>
    </w:div>
    <w:div w:id="1758551985">
      <w:bodyDiv w:val="1"/>
      <w:marLeft w:val="0"/>
      <w:marRight w:val="0"/>
      <w:marTop w:val="0"/>
      <w:marBottom w:val="0"/>
      <w:divBdr>
        <w:top w:val="none" w:sz="0" w:space="0" w:color="auto"/>
        <w:left w:val="none" w:sz="0" w:space="0" w:color="auto"/>
        <w:bottom w:val="none" w:sz="0" w:space="0" w:color="auto"/>
        <w:right w:val="none" w:sz="0" w:space="0" w:color="auto"/>
      </w:divBdr>
    </w:div>
    <w:div w:id="1867524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2048</Words>
  <Characters>11675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Nurul Subhan (2307239)</dc:creator>
  <cp:keywords/>
  <dc:description/>
  <cp:lastModifiedBy>Nurul Subhan (2307239)</cp:lastModifiedBy>
  <cp:revision>3</cp:revision>
  <dcterms:created xsi:type="dcterms:W3CDTF">2025-03-30T10:15:00Z</dcterms:created>
  <dcterms:modified xsi:type="dcterms:W3CDTF">2025-03-30T10:15:00Z</dcterms:modified>
</cp:coreProperties>
</file>