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336A" w:rsidRDefault="00E700C2">
      <w:r>
        <w:t>Dementi</w:t>
      </w:r>
      <w:r w:rsidR="00CB3159">
        <w:t xml:space="preserve">a can be described as a progressive deterioration of intellectual brain functions. It is an umbrella term used to describe various diseases that contribute to the permanent deterioration of the brain (Andrews, 2016). </w:t>
      </w:r>
      <w:r w:rsidR="00270530">
        <w:t xml:space="preserve">Due to the increasing literature on dementia evidence for the prevalence of the disease is expanding rapidly (Prince et al, 2013). </w:t>
      </w:r>
      <w:r w:rsidR="00D0336A">
        <w:t xml:space="preserve">What is known of dementia is limited, but as a generation of people that live longer more studies are being carried out to gain further insight. </w:t>
      </w:r>
      <w:r w:rsidR="007C43A6">
        <w:t xml:space="preserve">According to the Alzheimer’s Society (2019), </w:t>
      </w:r>
      <w:r w:rsidR="00D0336A">
        <w:t>Alzheimer’s disease is the most commonly known disease affecting approximately 520,000 people living in the United Kingdom (UK)</w:t>
      </w:r>
      <w:r w:rsidR="007C43A6">
        <w:t xml:space="preserve">, </w:t>
      </w:r>
      <w:r w:rsidR="00D0336A">
        <w:t xml:space="preserve">Vascular dementia is the second most common type of dementia and affects approximately 150,000 people in the UK. Dementia with Lewy bodies (DLB) shares symptoms with both Alzheimer’s disease and Parkinson’s disease. Lesser known types include Frontotemporal dementia (FTD), Mixed dementia, Creutzfeldt-Jakob disease and Alcohol related brain damage (ARBD). </w:t>
      </w:r>
    </w:p>
    <w:p w:rsidR="007C43A6" w:rsidRDefault="007C43A6">
      <w:r>
        <w:t>Dementia is subject to stigma</w:t>
      </w:r>
      <w:r w:rsidR="00D87700">
        <w:t xml:space="preserve"> with perceptions of the disease being devastating, debilitating, frustrating and aggressive (Reynolds et al, 2017). Whilst this is an element of the disease, it also highlights the lack of understanding and awareness people</w:t>
      </w:r>
      <w:r w:rsidR="0022327F">
        <w:t xml:space="preserve"> still</w:t>
      </w:r>
      <w:r w:rsidR="00D87700">
        <w:t xml:space="preserve"> have on the subject. </w:t>
      </w:r>
      <w:r w:rsidR="005B77EA">
        <w:t>(James, 2011) explains why challenging behaviour is now being referred to as behaviours that challenge</w:t>
      </w:r>
      <w:r w:rsidR="0022327F">
        <w:t xml:space="preserve">, </w:t>
      </w:r>
      <w:r w:rsidR="005B77EA">
        <w:t>introduced to move focus away from the pathology and towards understanding the reasons behind the challenges</w:t>
      </w:r>
      <w:r w:rsidR="00185FE6">
        <w:t>.</w:t>
      </w:r>
      <w:r w:rsidR="005B77EA">
        <w:t xml:space="preserve"> (James, 2011)</w:t>
      </w:r>
      <w:r w:rsidR="00185FE6">
        <w:t xml:space="preserve"> suggests </w:t>
      </w:r>
      <w:r w:rsidR="005B77EA">
        <w:t xml:space="preserve">increased understanding </w:t>
      </w:r>
      <w:r w:rsidR="00185FE6">
        <w:t>can</w:t>
      </w:r>
      <w:r w:rsidR="005B77EA">
        <w:t xml:space="preserve"> reduce the distress caused to the individual living with dementia and those who endeavour to care for them. </w:t>
      </w:r>
      <w:r w:rsidR="00F62595">
        <w:t>(</w:t>
      </w:r>
      <w:proofErr w:type="spellStart"/>
      <w:r w:rsidR="00F62595">
        <w:t>Zandi</w:t>
      </w:r>
      <w:proofErr w:type="spellEnd"/>
      <w:r w:rsidR="00F62595">
        <w:t xml:space="preserve"> and Ham, 2012) reiterate dementia to be a “major health care burden in the future in terms of personal and family stress and national health care costs, therefore there is an urgent need for understanding the disease in order to provide appropriate care and treatment”. (Brooker and Latham, 20</w:t>
      </w:r>
      <w:r w:rsidR="0067664C">
        <w:t>16</w:t>
      </w:r>
      <w:r w:rsidR="00F62595">
        <w:t>) discuss per</w:t>
      </w:r>
      <w:r w:rsidR="007400DD">
        <w:t xml:space="preserve">son centred care (PCC) in dementia patients and recognise the problems with it. These include the different context PCC means to different people that often leads to confusion and a PCC package that adheres to policy and procedure but in practice is ineffective for the individual. </w:t>
      </w:r>
      <w:r w:rsidR="005C7A5F">
        <w:t>(Brooker and Latham, 20</w:t>
      </w:r>
      <w:r w:rsidR="0022327F">
        <w:t>1</w:t>
      </w:r>
      <w:r w:rsidR="00892415">
        <w:t>6</w:t>
      </w:r>
      <w:r w:rsidR="0022327F">
        <w:t xml:space="preserve">) continue to explore the positive effect the Enriched Model has on care by recognising the various factors that affect those living with dementia that include deteriorating cognitive function and neurological impairment. </w:t>
      </w:r>
    </w:p>
    <w:p w:rsidR="0022327F" w:rsidRDefault="0022327F">
      <w:r>
        <w:t>One of the key elements affecting care provisions today is th</w:t>
      </w:r>
      <w:r w:rsidR="00E24F46">
        <w:t>ose</w:t>
      </w:r>
      <w:r>
        <w:t xml:space="preserve"> being provided by the </w:t>
      </w:r>
      <w:r w:rsidR="00FC175D">
        <w:t xml:space="preserve">primary </w:t>
      </w:r>
      <w:r>
        <w:t>health care workers themselves</w:t>
      </w:r>
      <w:r w:rsidR="00891D7D">
        <w:t xml:space="preserve"> (Baker et al, 2015) who explore the subject of</w:t>
      </w:r>
      <w:r>
        <w:t xml:space="preserve"> </w:t>
      </w:r>
      <w:r w:rsidR="00891D7D">
        <w:t>c</w:t>
      </w:r>
      <w:r w:rsidR="008F25DE">
        <w:t xml:space="preserve">aring for people with dementia </w:t>
      </w:r>
      <w:r w:rsidR="00891D7D">
        <w:t>a</w:t>
      </w:r>
      <w:r w:rsidR="008F25DE">
        <w:t>s complex and stressful, often affecting care provided.</w:t>
      </w:r>
      <w:r w:rsidR="00891D7D">
        <w:t xml:space="preserve"> (Baker et al, 2015)</w:t>
      </w:r>
      <w:r w:rsidR="0067664C">
        <w:t xml:space="preserve"> continue to discuss</w:t>
      </w:r>
      <w:r w:rsidR="008F25DE">
        <w:t xml:space="preserve"> </w:t>
      </w:r>
      <w:r w:rsidR="0067664C">
        <w:t>t</w:t>
      </w:r>
      <w:r w:rsidR="00A604C4">
        <w:t>he healthcare</w:t>
      </w:r>
      <w:r w:rsidR="00891D7D">
        <w:t xml:space="preserve"> profession’s</w:t>
      </w:r>
      <w:r w:rsidR="00A604C4">
        <w:t xml:space="preserve"> main </w:t>
      </w:r>
      <w:r w:rsidR="00891D7D">
        <w:t xml:space="preserve">cause of stress </w:t>
      </w:r>
      <w:r w:rsidR="0067664C">
        <w:t>to involve</w:t>
      </w:r>
      <w:r w:rsidR="00891D7D">
        <w:t xml:space="preserve"> lack of support</w:t>
      </w:r>
      <w:r w:rsidR="005B6BDB">
        <w:t xml:space="preserve"> </w:t>
      </w:r>
      <w:r w:rsidR="00891D7D">
        <w:t>and recognition, insufficient resources, role uncertainty, heavy workload, dealing with aggression and poor pay</w:t>
      </w:r>
      <w:r w:rsidR="0067664C">
        <w:t>; as m</w:t>
      </w:r>
      <w:r w:rsidR="00891D7D">
        <w:t>any health care assistants are subject to zero-hour contracts, and minimum wage.</w:t>
      </w:r>
      <w:r w:rsidR="0067664C">
        <w:t xml:space="preserve"> </w:t>
      </w:r>
      <w:r w:rsidR="00892415">
        <w:t>A view shared by (Traynor et al, 2015) who highlight the perception of healthcare workers as ‘non-qualified’ workers by managers and government. With this in</w:t>
      </w:r>
      <w:r w:rsidR="005437CD">
        <w:t>trospective</w:t>
      </w:r>
      <w:r w:rsidR="00892415">
        <w:t xml:space="preserve">, the </w:t>
      </w:r>
      <w:r w:rsidR="005437CD">
        <w:t>complexity of the subject</w:t>
      </w:r>
      <w:r w:rsidR="00892415">
        <w:t xml:space="preserve"> progressing forward in providing adequate care for people living</w:t>
      </w:r>
      <w:r w:rsidR="005437CD">
        <w:t xml:space="preserve"> with dementia can be appreciated. </w:t>
      </w:r>
      <w:r w:rsidR="00B769A7">
        <w:t>However</w:t>
      </w:r>
      <w:r w:rsidR="005C4296">
        <w:t xml:space="preserve">, this is not a new concept as acknowledged by (McKenna, Hasson and Keeney, 2004) who describe the original role of a care assistant as to provide support to the Nurse and undertake non-nursing </w:t>
      </w:r>
      <w:r w:rsidR="0093117C">
        <w:t xml:space="preserve">chores under the supervision of qualified professionals. Furthermore the increase in health care needs has led to the expansion of the role of a health care assistant and </w:t>
      </w:r>
      <w:r w:rsidR="00C7594E">
        <w:t>therefore</w:t>
      </w:r>
      <w:r w:rsidR="0093117C">
        <w:t xml:space="preserve"> taken place </w:t>
      </w:r>
      <w:r w:rsidR="00C7594E">
        <w:t>without</w:t>
      </w:r>
      <w:r w:rsidR="0093117C">
        <w:t xml:space="preserve"> clear boundaries, or proficient education and guidance</w:t>
      </w:r>
      <w:r w:rsidR="00C7594E">
        <w:t xml:space="preserve">, which (McKenna, Hannon and Keeney, 2004) highlighted </w:t>
      </w:r>
      <w:r w:rsidR="00FC175D">
        <w:t>as</w:t>
      </w:r>
      <w:r w:rsidR="00C7594E">
        <w:t xml:space="preserve"> concern for patient safety. </w:t>
      </w:r>
      <w:r w:rsidR="00EF721F">
        <w:t>Likewise</w:t>
      </w:r>
      <w:r w:rsidR="00FC175D">
        <w:t>,</w:t>
      </w:r>
      <w:r w:rsidR="00EF721F">
        <w:t xml:space="preserve"> insight into the effects of dementia can give meaning to the experience for individuals living with the disease and the provisions for appropriate care required reducing frustration, fear and negative experiences associated with dementia</w:t>
      </w:r>
      <w:r w:rsidR="00242D86">
        <w:t xml:space="preserve"> (Newell and </w:t>
      </w:r>
      <w:proofErr w:type="spellStart"/>
      <w:r w:rsidR="00242D86">
        <w:t>Gournay</w:t>
      </w:r>
      <w:proofErr w:type="spellEnd"/>
      <w:r w:rsidR="00242D86">
        <w:t>, 2009).</w:t>
      </w:r>
      <w:r w:rsidR="00FC175D">
        <w:t xml:space="preserve"> Providing education and training to primary health care assistants is part of the answer but access to these services are </w:t>
      </w:r>
      <w:r w:rsidR="00242D86">
        <w:t>pivotal</w:t>
      </w:r>
      <w:r w:rsidR="00FC175D">
        <w:t xml:space="preserve"> in the development of good practice</w:t>
      </w:r>
      <w:r w:rsidR="00242D86">
        <w:t xml:space="preserve"> (Ibrahim et al, 2017)</w:t>
      </w:r>
      <w:r w:rsidR="00FC175D">
        <w:t xml:space="preserve">. </w:t>
      </w:r>
      <w:r w:rsidR="00CB6638">
        <w:t xml:space="preserve">On the other hand, while the National Health </w:t>
      </w:r>
      <w:r w:rsidR="00CB6638">
        <w:lastRenderedPageBreak/>
        <w:t>Service (NHS) is at a point where it can no longer sustain itself it is difficult to apprehend where resources to provide the education needed is going to come from</w:t>
      </w:r>
      <w:r w:rsidR="002D7BFE">
        <w:t>. (Comas-Herrera et al, 2017) suggests</w:t>
      </w:r>
      <w:r w:rsidR="00CB6638">
        <w:t xml:space="preserve"> </w:t>
      </w:r>
      <w:r w:rsidR="002D7BFE">
        <w:t>there are</w:t>
      </w:r>
      <w:r w:rsidR="003320C7">
        <w:t xml:space="preserve"> 835,000 people in the UK </w:t>
      </w:r>
      <w:r w:rsidR="002D7BFE">
        <w:t>living with</w:t>
      </w:r>
      <w:r w:rsidR="003320C7">
        <w:t xml:space="preserve"> dementia</w:t>
      </w:r>
      <w:r w:rsidR="002D7BFE">
        <w:t xml:space="preserve"> and an estimated</w:t>
      </w:r>
      <w:r w:rsidR="003320C7">
        <w:t xml:space="preserve"> 670,000 unpaid carers. This means without intervention unpaid carers will be subject to ill health as a result of the financial, physical and emotional burden of caring for </w:t>
      </w:r>
      <w:r w:rsidR="00E24F46">
        <w:t>those</w:t>
      </w:r>
      <w:r w:rsidR="003320C7">
        <w:t xml:space="preserve"> living with dementia adding further strain on the NHS. Individuals living with the disease will be subject to neglect of needs and risk of abuse.</w:t>
      </w:r>
      <w:r w:rsidR="002D7BFE">
        <w:t xml:space="preserve"> (Livingston et al, 2017) argues there are provisions that reduce or eliminate the risk of developing dementia such as </w:t>
      </w:r>
      <w:r w:rsidR="004E6FCA">
        <w:t>encouraging social engagement and highlighting the efficiency of reducing the risk of developing dementia by stopping smoking and reducing alcohol consumption. However, this requires immediate action to raise awareness.</w:t>
      </w:r>
    </w:p>
    <w:p w:rsidR="004E6FCA" w:rsidRDefault="004E6FCA">
      <w:r>
        <w:t>It is evident the prevalence of dementia is a growing concern. The stigma attached to the disease as</w:t>
      </w:r>
      <w:r w:rsidR="00BE1DE9">
        <w:t xml:space="preserve"> </w:t>
      </w:r>
      <w:r>
        <w:t xml:space="preserve">being one of despair, frustration, burden and aggression needs addressing urgently if there is to be hope of providing appropriate support to those living with the disease and those caring for them. </w:t>
      </w:r>
      <w:r w:rsidR="00BE1DE9">
        <w:t xml:space="preserve">Providing education of the condition will ultimately result in a less stressful environment for all concerned with a prospect of relinquishing some of the existing burden on health service providers and a better quality of life for those experiencing the disease. </w:t>
      </w:r>
    </w:p>
    <w:p w:rsidR="00EF67D3" w:rsidRDefault="00EF67D3"/>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CB3159" w:rsidRDefault="00CB3159"/>
    <w:p w:rsidR="00207B1D" w:rsidRDefault="00207B1D">
      <w:pPr>
        <w:rPr>
          <w:rFonts w:ascii="Arial" w:hAnsi="Arial" w:cs="Arial"/>
          <w:color w:val="222222"/>
          <w:sz w:val="20"/>
          <w:szCs w:val="20"/>
        </w:rPr>
      </w:pPr>
    </w:p>
    <w:p w:rsidR="00207B1D" w:rsidRDefault="00207B1D">
      <w:pPr>
        <w:rPr>
          <w:rFonts w:ascii="Arial" w:hAnsi="Arial" w:cs="Arial"/>
          <w:color w:val="222222"/>
          <w:sz w:val="20"/>
          <w:szCs w:val="20"/>
        </w:rPr>
      </w:pPr>
    </w:p>
    <w:p w:rsidR="00207B1D" w:rsidRDefault="00207B1D">
      <w:pPr>
        <w:rPr>
          <w:rFonts w:ascii="Arial" w:hAnsi="Arial" w:cs="Arial"/>
          <w:color w:val="222222"/>
          <w:sz w:val="20"/>
          <w:szCs w:val="20"/>
        </w:rPr>
      </w:pPr>
    </w:p>
    <w:p w:rsidR="00207B1D" w:rsidRDefault="00207B1D">
      <w:pPr>
        <w:rPr>
          <w:rFonts w:ascii="Arial" w:hAnsi="Arial" w:cs="Arial"/>
          <w:color w:val="222222"/>
          <w:sz w:val="20"/>
          <w:szCs w:val="20"/>
        </w:rPr>
      </w:pPr>
    </w:p>
    <w:p w:rsidR="00207B1D" w:rsidRDefault="00207B1D">
      <w:pPr>
        <w:rPr>
          <w:rFonts w:ascii="Arial" w:hAnsi="Arial" w:cs="Arial"/>
          <w:color w:val="222222"/>
          <w:sz w:val="20"/>
          <w:szCs w:val="20"/>
        </w:rPr>
      </w:pPr>
    </w:p>
    <w:p w:rsidR="00207B1D" w:rsidRDefault="00207B1D">
      <w:pPr>
        <w:rPr>
          <w:rFonts w:ascii="Arial" w:hAnsi="Arial" w:cs="Arial"/>
          <w:color w:val="222222"/>
          <w:sz w:val="20"/>
          <w:szCs w:val="20"/>
        </w:rPr>
      </w:pPr>
    </w:p>
    <w:p w:rsidR="001331FC" w:rsidRDefault="001331FC" w:rsidP="001331FC">
      <w:pPr>
        <w:rPr>
          <w:rFonts w:ascii="Arial" w:hAnsi="Arial" w:cs="Arial"/>
          <w:color w:val="222222"/>
          <w:sz w:val="20"/>
          <w:szCs w:val="20"/>
        </w:rPr>
      </w:pPr>
    </w:p>
    <w:p w:rsidR="001331FC" w:rsidRDefault="001331FC" w:rsidP="001331FC">
      <w:pPr>
        <w:rPr>
          <w:rFonts w:ascii="Arial" w:hAnsi="Arial" w:cs="Arial"/>
          <w:color w:val="222222"/>
          <w:sz w:val="20"/>
          <w:szCs w:val="20"/>
        </w:rPr>
      </w:pPr>
      <w:r>
        <w:rPr>
          <w:rFonts w:ascii="Arial" w:hAnsi="Arial" w:cs="Arial"/>
          <w:color w:val="222222"/>
          <w:sz w:val="20"/>
          <w:szCs w:val="20"/>
        </w:rPr>
        <w:lastRenderedPageBreak/>
        <w:t>Reference List.</w:t>
      </w:r>
    </w:p>
    <w:p w:rsidR="001331FC" w:rsidRDefault="001331FC" w:rsidP="001331FC">
      <w:r>
        <w:rPr>
          <w:rFonts w:ascii="Arial" w:hAnsi="Arial" w:cs="Arial"/>
          <w:color w:val="222222"/>
          <w:sz w:val="20"/>
          <w:szCs w:val="20"/>
        </w:rPr>
        <w:t xml:space="preserve">Baker, C., Huxley, P., Dennis, M., Islam, S. and Russell, I., 2015. Alleviating staff stress in care homes for people with dementia: protocol for stepped-wedge cluster randomised trial to evaluate a web-based Mindfulness-Stress Reduction course. </w:t>
      </w:r>
      <w:r>
        <w:rPr>
          <w:rFonts w:ascii="Arial" w:hAnsi="Arial" w:cs="Arial"/>
          <w:i/>
          <w:iCs/>
          <w:color w:val="222222"/>
          <w:sz w:val="20"/>
          <w:szCs w:val="20"/>
        </w:rPr>
        <w:t>BMC psychiatry</w:t>
      </w:r>
      <w:r>
        <w:rPr>
          <w:rFonts w:ascii="Arial" w:hAnsi="Arial" w:cs="Arial"/>
          <w:color w:val="222222"/>
          <w:sz w:val="20"/>
          <w:szCs w:val="20"/>
        </w:rPr>
        <w:t xml:space="preserve">, </w:t>
      </w:r>
      <w:r>
        <w:rPr>
          <w:rFonts w:ascii="Arial" w:hAnsi="Arial" w:cs="Arial"/>
          <w:i/>
          <w:iCs/>
          <w:color w:val="222222"/>
          <w:sz w:val="20"/>
          <w:szCs w:val="20"/>
        </w:rPr>
        <w:t>15</w:t>
      </w:r>
      <w:r>
        <w:rPr>
          <w:rFonts w:ascii="Arial" w:hAnsi="Arial" w:cs="Arial"/>
          <w:color w:val="222222"/>
          <w:sz w:val="20"/>
          <w:szCs w:val="20"/>
        </w:rPr>
        <w:t>(1), p.317.</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Comas-Herrera, A., Knapp, M., Wittenberg, R., Banerjee, S., Bowling, A., Grundy, E., Jagger, C., Farina, N., Lombard, D., Lorenz, K. and McDaid, D., 2017. MODEM: A comprehensive approach to modelling outcome and costs impacts of interventions for dementia. Protocol paper. </w:t>
      </w:r>
      <w:r>
        <w:rPr>
          <w:rFonts w:ascii="Arial" w:hAnsi="Arial" w:cs="Arial"/>
          <w:i/>
          <w:iCs/>
          <w:color w:val="222222"/>
          <w:sz w:val="20"/>
          <w:szCs w:val="20"/>
        </w:rPr>
        <w:t>BMC health services research</w:t>
      </w:r>
      <w:r>
        <w:rPr>
          <w:rFonts w:ascii="Arial" w:hAnsi="Arial" w:cs="Arial"/>
          <w:color w:val="222222"/>
          <w:sz w:val="20"/>
          <w:szCs w:val="20"/>
        </w:rPr>
        <w:t xml:space="preserve">, </w:t>
      </w:r>
      <w:r>
        <w:rPr>
          <w:rFonts w:ascii="Arial" w:hAnsi="Arial" w:cs="Arial"/>
          <w:i/>
          <w:iCs/>
          <w:color w:val="222222"/>
          <w:sz w:val="20"/>
          <w:szCs w:val="20"/>
        </w:rPr>
        <w:t>17</w:t>
      </w:r>
      <w:r>
        <w:rPr>
          <w:rFonts w:ascii="Arial" w:hAnsi="Arial" w:cs="Arial"/>
          <w:color w:val="222222"/>
          <w:sz w:val="20"/>
          <w:szCs w:val="20"/>
        </w:rPr>
        <w:t>(1), p.25.</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Ibrahim, J.E., Anderson, L.J., MacPhail, A., Lovell, J.J., Davis, M.C. and </w:t>
      </w:r>
      <w:proofErr w:type="spellStart"/>
      <w:r>
        <w:rPr>
          <w:rFonts w:ascii="Arial" w:hAnsi="Arial" w:cs="Arial"/>
          <w:color w:val="222222"/>
          <w:sz w:val="20"/>
          <w:szCs w:val="20"/>
        </w:rPr>
        <w:t>Winbolt</w:t>
      </w:r>
      <w:proofErr w:type="spellEnd"/>
      <w:r>
        <w:rPr>
          <w:rFonts w:ascii="Arial" w:hAnsi="Arial" w:cs="Arial"/>
          <w:color w:val="222222"/>
          <w:sz w:val="20"/>
          <w:szCs w:val="20"/>
        </w:rPr>
        <w:t xml:space="preserve">, M., 2017. Chronic disease self-management support for persons with dementia, in a clinical setting. </w:t>
      </w:r>
      <w:r>
        <w:rPr>
          <w:rFonts w:ascii="Arial" w:hAnsi="Arial" w:cs="Arial"/>
          <w:i/>
          <w:iCs/>
          <w:color w:val="222222"/>
          <w:sz w:val="20"/>
          <w:szCs w:val="20"/>
        </w:rPr>
        <w:t>Journal of multidisciplinary healthcare</w:t>
      </w:r>
      <w:r>
        <w:rPr>
          <w:rFonts w:ascii="Arial" w:hAnsi="Arial" w:cs="Arial"/>
          <w:color w:val="222222"/>
          <w:sz w:val="20"/>
          <w:szCs w:val="20"/>
        </w:rPr>
        <w:t xml:space="preserve">, </w:t>
      </w:r>
      <w:r>
        <w:rPr>
          <w:rFonts w:ascii="Arial" w:hAnsi="Arial" w:cs="Arial"/>
          <w:i/>
          <w:iCs/>
          <w:color w:val="222222"/>
          <w:sz w:val="20"/>
          <w:szCs w:val="20"/>
        </w:rPr>
        <w:t>10</w:t>
      </w:r>
      <w:r>
        <w:rPr>
          <w:rFonts w:ascii="Arial" w:hAnsi="Arial" w:cs="Arial"/>
          <w:color w:val="222222"/>
          <w:sz w:val="20"/>
          <w:szCs w:val="20"/>
        </w:rPr>
        <w:t>, p.49.</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Livingston, G., </w:t>
      </w:r>
      <w:proofErr w:type="spellStart"/>
      <w:r>
        <w:rPr>
          <w:rFonts w:ascii="Arial" w:hAnsi="Arial" w:cs="Arial"/>
          <w:color w:val="222222"/>
          <w:sz w:val="20"/>
          <w:szCs w:val="20"/>
        </w:rPr>
        <w:t>Sommerlad</w:t>
      </w:r>
      <w:proofErr w:type="spellEnd"/>
      <w:r>
        <w:rPr>
          <w:rFonts w:ascii="Arial" w:hAnsi="Arial" w:cs="Arial"/>
          <w:color w:val="222222"/>
          <w:sz w:val="20"/>
          <w:szCs w:val="20"/>
        </w:rPr>
        <w:t xml:space="preserve">, A., </w:t>
      </w:r>
      <w:proofErr w:type="spellStart"/>
      <w:r>
        <w:rPr>
          <w:rFonts w:ascii="Arial" w:hAnsi="Arial" w:cs="Arial"/>
          <w:color w:val="222222"/>
          <w:sz w:val="20"/>
          <w:szCs w:val="20"/>
        </w:rPr>
        <w:t>Orgeta</w:t>
      </w:r>
      <w:proofErr w:type="spellEnd"/>
      <w:r>
        <w:rPr>
          <w:rFonts w:ascii="Arial" w:hAnsi="Arial" w:cs="Arial"/>
          <w:color w:val="222222"/>
          <w:sz w:val="20"/>
          <w:szCs w:val="20"/>
        </w:rPr>
        <w:t xml:space="preserve">, V., </w:t>
      </w:r>
      <w:proofErr w:type="spellStart"/>
      <w:r>
        <w:rPr>
          <w:rFonts w:ascii="Arial" w:hAnsi="Arial" w:cs="Arial"/>
          <w:color w:val="222222"/>
          <w:sz w:val="20"/>
          <w:szCs w:val="20"/>
        </w:rPr>
        <w:t>Costafreda</w:t>
      </w:r>
      <w:proofErr w:type="spellEnd"/>
      <w:r>
        <w:rPr>
          <w:rFonts w:ascii="Arial" w:hAnsi="Arial" w:cs="Arial"/>
          <w:color w:val="222222"/>
          <w:sz w:val="20"/>
          <w:szCs w:val="20"/>
        </w:rPr>
        <w:t xml:space="preserve">, S.G., Huntley, J., Ames, D., Ballard, C., Banerjee, S., Burns, A., Cohen-Mansfield, J. and Cooper, C., 2017. Dementia prevention, intervention, and care. </w:t>
      </w:r>
      <w:r>
        <w:rPr>
          <w:rFonts w:ascii="Arial" w:hAnsi="Arial" w:cs="Arial"/>
          <w:i/>
          <w:iCs/>
          <w:color w:val="222222"/>
          <w:sz w:val="20"/>
          <w:szCs w:val="20"/>
        </w:rPr>
        <w:t>The Lancet</w:t>
      </w:r>
      <w:r>
        <w:rPr>
          <w:rFonts w:ascii="Arial" w:hAnsi="Arial" w:cs="Arial"/>
          <w:color w:val="222222"/>
          <w:sz w:val="20"/>
          <w:szCs w:val="20"/>
        </w:rPr>
        <w:t xml:space="preserve">, </w:t>
      </w:r>
      <w:r>
        <w:rPr>
          <w:rFonts w:ascii="Arial" w:hAnsi="Arial" w:cs="Arial"/>
          <w:i/>
          <w:iCs/>
          <w:color w:val="222222"/>
          <w:sz w:val="20"/>
          <w:szCs w:val="20"/>
        </w:rPr>
        <w:t>390</w:t>
      </w:r>
      <w:r>
        <w:rPr>
          <w:rFonts w:ascii="Arial" w:hAnsi="Arial" w:cs="Arial"/>
          <w:color w:val="222222"/>
          <w:sz w:val="20"/>
          <w:szCs w:val="20"/>
        </w:rPr>
        <w:t>(10113), pp.2673-2734.</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McKenna, H.P., Hasson, F. and Keeney, S., 2004. Patient safety and quality of care: the role of the health care assistant. </w:t>
      </w:r>
      <w:r>
        <w:rPr>
          <w:rFonts w:ascii="Arial" w:hAnsi="Arial" w:cs="Arial"/>
          <w:i/>
          <w:iCs/>
          <w:color w:val="222222"/>
          <w:sz w:val="20"/>
          <w:szCs w:val="20"/>
        </w:rPr>
        <w:t>Journal of Nursing Management</w:t>
      </w:r>
      <w:r>
        <w:rPr>
          <w:rFonts w:ascii="Arial" w:hAnsi="Arial" w:cs="Arial"/>
          <w:color w:val="222222"/>
          <w:sz w:val="20"/>
          <w:szCs w:val="20"/>
        </w:rPr>
        <w:t xml:space="preserve">, </w:t>
      </w:r>
      <w:r>
        <w:rPr>
          <w:rFonts w:ascii="Arial" w:hAnsi="Arial" w:cs="Arial"/>
          <w:i/>
          <w:iCs/>
          <w:color w:val="222222"/>
          <w:sz w:val="20"/>
          <w:szCs w:val="20"/>
        </w:rPr>
        <w:t>12</w:t>
      </w:r>
      <w:r>
        <w:rPr>
          <w:rFonts w:ascii="Arial" w:hAnsi="Arial" w:cs="Arial"/>
          <w:color w:val="222222"/>
          <w:sz w:val="20"/>
          <w:szCs w:val="20"/>
        </w:rPr>
        <w:t>(6), pp.452-459.</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Prince, M., Bryce, R., Albanese, E., </w:t>
      </w:r>
      <w:proofErr w:type="spellStart"/>
      <w:r>
        <w:rPr>
          <w:rFonts w:ascii="Arial" w:hAnsi="Arial" w:cs="Arial"/>
          <w:color w:val="222222"/>
          <w:sz w:val="20"/>
          <w:szCs w:val="20"/>
        </w:rPr>
        <w:t>Wimo</w:t>
      </w:r>
      <w:proofErr w:type="spellEnd"/>
      <w:r>
        <w:rPr>
          <w:rFonts w:ascii="Arial" w:hAnsi="Arial" w:cs="Arial"/>
          <w:color w:val="222222"/>
          <w:sz w:val="20"/>
          <w:szCs w:val="20"/>
        </w:rPr>
        <w:t xml:space="preserve">, A., Ribeiro, W. and </w:t>
      </w:r>
      <w:proofErr w:type="spellStart"/>
      <w:r>
        <w:rPr>
          <w:rFonts w:ascii="Arial" w:hAnsi="Arial" w:cs="Arial"/>
          <w:color w:val="222222"/>
          <w:sz w:val="20"/>
          <w:szCs w:val="20"/>
        </w:rPr>
        <w:t>Ferri</w:t>
      </w:r>
      <w:proofErr w:type="spellEnd"/>
      <w:r>
        <w:rPr>
          <w:rFonts w:ascii="Arial" w:hAnsi="Arial" w:cs="Arial"/>
          <w:color w:val="222222"/>
          <w:sz w:val="20"/>
          <w:szCs w:val="20"/>
        </w:rPr>
        <w:t xml:space="preserve">, C.P., 2013. The global prevalence of dementia: a systematic review and </w:t>
      </w:r>
      <w:proofErr w:type="spellStart"/>
      <w:r>
        <w:rPr>
          <w:rFonts w:ascii="Arial" w:hAnsi="Arial" w:cs="Arial"/>
          <w:color w:val="222222"/>
          <w:sz w:val="20"/>
          <w:szCs w:val="20"/>
        </w:rPr>
        <w:t>metaanalysis</w:t>
      </w:r>
      <w:proofErr w:type="spellEnd"/>
      <w:r>
        <w:rPr>
          <w:rFonts w:ascii="Arial" w:hAnsi="Arial" w:cs="Arial"/>
          <w:color w:val="222222"/>
          <w:sz w:val="20"/>
          <w:szCs w:val="20"/>
        </w:rPr>
        <w:t xml:space="preserve">. </w:t>
      </w:r>
      <w:r>
        <w:rPr>
          <w:rFonts w:ascii="Arial" w:hAnsi="Arial" w:cs="Arial"/>
          <w:i/>
          <w:iCs/>
          <w:color w:val="222222"/>
          <w:sz w:val="20"/>
          <w:szCs w:val="20"/>
        </w:rPr>
        <w:t>Alzheimer's &amp; dementia</w:t>
      </w:r>
      <w:r>
        <w:rPr>
          <w:rFonts w:ascii="Arial" w:hAnsi="Arial" w:cs="Arial"/>
          <w:color w:val="222222"/>
          <w:sz w:val="20"/>
          <w:szCs w:val="20"/>
        </w:rPr>
        <w:t xml:space="preserve">, </w:t>
      </w:r>
      <w:r>
        <w:rPr>
          <w:rFonts w:ascii="Arial" w:hAnsi="Arial" w:cs="Arial"/>
          <w:i/>
          <w:iCs/>
          <w:color w:val="222222"/>
          <w:sz w:val="20"/>
          <w:szCs w:val="20"/>
        </w:rPr>
        <w:t>9</w:t>
      </w:r>
      <w:r>
        <w:rPr>
          <w:rFonts w:ascii="Arial" w:hAnsi="Arial" w:cs="Arial"/>
          <w:color w:val="222222"/>
          <w:sz w:val="20"/>
          <w:szCs w:val="20"/>
        </w:rPr>
        <w:t>(1), pp.63-75.</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Reynolds, L., Innes, A., </w:t>
      </w:r>
      <w:proofErr w:type="spellStart"/>
      <w:r>
        <w:rPr>
          <w:rFonts w:ascii="Arial" w:hAnsi="Arial" w:cs="Arial"/>
          <w:color w:val="222222"/>
          <w:sz w:val="20"/>
          <w:szCs w:val="20"/>
        </w:rPr>
        <w:t>Poyner</w:t>
      </w:r>
      <w:proofErr w:type="spellEnd"/>
      <w:r>
        <w:rPr>
          <w:rFonts w:ascii="Arial" w:hAnsi="Arial" w:cs="Arial"/>
          <w:color w:val="222222"/>
          <w:sz w:val="20"/>
          <w:szCs w:val="20"/>
        </w:rPr>
        <w:t xml:space="preserve">, C. and </w:t>
      </w:r>
      <w:proofErr w:type="spellStart"/>
      <w:r>
        <w:rPr>
          <w:rFonts w:ascii="Arial" w:hAnsi="Arial" w:cs="Arial"/>
          <w:color w:val="222222"/>
          <w:sz w:val="20"/>
          <w:szCs w:val="20"/>
        </w:rPr>
        <w:t>Hambidge</w:t>
      </w:r>
      <w:proofErr w:type="spellEnd"/>
      <w:r>
        <w:rPr>
          <w:rFonts w:ascii="Arial" w:hAnsi="Arial" w:cs="Arial"/>
          <w:color w:val="222222"/>
          <w:sz w:val="20"/>
          <w:szCs w:val="20"/>
        </w:rPr>
        <w:t xml:space="preserve">, S., 2017. ‘The stigma attached isn’t true of real life’: Challenging public perception of dementia through a participatory approach involving people with dementia (Innovative Practice). </w:t>
      </w:r>
      <w:r>
        <w:rPr>
          <w:rFonts w:ascii="Arial" w:hAnsi="Arial" w:cs="Arial"/>
          <w:i/>
          <w:iCs/>
          <w:color w:val="222222"/>
          <w:sz w:val="20"/>
          <w:szCs w:val="20"/>
        </w:rPr>
        <w:t>Dementia</w:t>
      </w:r>
      <w:r>
        <w:rPr>
          <w:rFonts w:ascii="Arial" w:hAnsi="Arial" w:cs="Arial"/>
          <w:color w:val="222222"/>
          <w:sz w:val="20"/>
          <w:szCs w:val="20"/>
        </w:rPr>
        <w:t xml:space="preserve">, </w:t>
      </w:r>
      <w:r>
        <w:rPr>
          <w:rFonts w:ascii="Arial" w:hAnsi="Arial" w:cs="Arial"/>
          <w:i/>
          <w:iCs/>
          <w:color w:val="222222"/>
          <w:sz w:val="20"/>
          <w:szCs w:val="20"/>
        </w:rPr>
        <w:t>16</w:t>
      </w:r>
      <w:r>
        <w:rPr>
          <w:rFonts w:ascii="Arial" w:hAnsi="Arial" w:cs="Arial"/>
          <w:color w:val="222222"/>
          <w:sz w:val="20"/>
          <w:szCs w:val="20"/>
        </w:rPr>
        <w:t>(2), pp.219-225.</w:t>
      </w:r>
    </w:p>
    <w:p w:rsidR="001331FC" w:rsidRDefault="001331FC" w:rsidP="001331FC">
      <w:pPr>
        <w:rPr>
          <w:rFonts w:ascii="Arial" w:hAnsi="Arial" w:cs="Arial"/>
          <w:color w:val="222222"/>
          <w:sz w:val="20"/>
          <w:szCs w:val="20"/>
        </w:rPr>
      </w:pPr>
      <w:r>
        <w:rPr>
          <w:rFonts w:ascii="Arial" w:hAnsi="Arial" w:cs="Arial"/>
          <w:color w:val="222222"/>
          <w:sz w:val="20"/>
          <w:szCs w:val="20"/>
        </w:rPr>
        <w:t xml:space="preserve">Traynor, M., Nissen, N., Lincoln, C. and </w:t>
      </w:r>
      <w:proofErr w:type="spellStart"/>
      <w:r>
        <w:rPr>
          <w:rFonts w:ascii="Arial" w:hAnsi="Arial" w:cs="Arial"/>
          <w:color w:val="222222"/>
          <w:sz w:val="20"/>
          <w:szCs w:val="20"/>
        </w:rPr>
        <w:t>Buus</w:t>
      </w:r>
      <w:proofErr w:type="spellEnd"/>
      <w:r>
        <w:rPr>
          <w:rFonts w:ascii="Arial" w:hAnsi="Arial" w:cs="Arial"/>
          <w:color w:val="222222"/>
          <w:sz w:val="20"/>
          <w:szCs w:val="20"/>
        </w:rPr>
        <w:t xml:space="preserve">, N., 2015. Occupational closure in nursing work reconsidered: UK health care support workers and assistant practitioners: a focus group study. </w:t>
      </w:r>
      <w:r>
        <w:rPr>
          <w:rFonts w:ascii="Arial" w:hAnsi="Arial" w:cs="Arial"/>
          <w:i/>
          <w:iCs/>
          <w:color w:val="222222"/>
          <w:sz w:val="20"/>
          <w:szCs w:val="20"/>
        </w:rPr>
        <w:t>Social science &amp; medicine</w:t>
      </w:r>
      <w:r>
        <w:rPr>
          <w:rFonts w:ascii="Arial" w:hAnsi="Arial" w:cs="Arial"/>
          <w:color w:val="222222"/>
          <w:sz w:val="20"/>
          <w:szCs w:val="20"/>
        </w:rPr>
        <w:t xml:space="preserve">, </w:t>
      </w:r>
      <w:r>
        <w:rPr>
          <w:rFonts w:ascii="Arial" w:hAnsi="Arial" w:cs="Arial"/>
          <w:i/>
          <w:iCs/>
          <w:color w:val="222222"/>
          <w:sz w:val="20"/>
          <w:szCs w:val="20"/>
        </w:rPr>
        <w:t>136</w:t>
      </w:r>
      <w:r>
        <w:rPr>
          <w:rFonts w:ascii="Arial" w:hAnsi="Arial" w:cs="Arial"/>
          <w:color w:val="222222"/>
          <w:sz w:val="20"/>
          <w:szCs w:val="20"/>
        </w:rPr>
        <w:t>, pp.81-88.</w:t>
      </w:r>
    </w:p>
    <w:p w:rsidR="00C47A7F" w:rsidRPr="007C4009" w:rsidRDefault="00C47A7F" w:rsidP="00C47A7F">
      <w:pPr>
        <w:rPr>
          <w:rFonts w:ascii="Arial" w:hAnsi="Arial" w:cs="Arial"/>
          <w:color w:val="222222"/>
          <w:sz w:val="20"/>
          <w:szCs w:val="20"/>
        </w:rPr>
      </w:pPr>
      <w:r>
        <w:rPr>
          <w:rFonts w:ascii="Arial" w:hAnsi="Arial" w:cs="Arial"/>
          <w:color w:val="222222"/>
          <w:sz w:val="20"/>
          <w:szCs w:val="20"/>
        </w:rPr>
        <w:t xml:space="preserve">Andrews, J. (2016) </w:t>
      </w:r>
      <w:r>
        <w:rPr>
          <w:rFonts w:ascii="Arial" w:hAnsi="Arial" w:cs="Arial"/>
          <w:i/>
          <w:color w:val="222222"/>
          <w:sz w:val="20"/>
          <w:szCs w:val="20"/>
        </w:rPr>
        <w:t xml:space="preserve">Dementia: What you need to know. Practical advice for families, professionals and people living with dementia and Alzheimer’s disease around the world. </w:t>
      </w:r>
      <w:r>
        <w:rPr>
          <w:rFonts w:ascii="Arial" w:hAnsi="Arial" w:cs="Arial"/>
          <w:color w:val="222222"/>
          <w:sz w:val="20"/>
          <w:szCs w:val="20"/>
        </w:rPr>
        <w:t>Profile Books ltd: London.</w:t>
      </w:r>
    </w:p>
    <w:p w:rsidR="00C47A7F" w:rsidRDefault="00C47A7F" w:rsidP="00C47A7F">
      <w:pPr>
        <w:rPr>
          <w:rFonts w:ascii="Arial" w:hAnsi="Arial" w:cs="Arial"/>
          <w:color w:val="222222"/>
          <w:sz w:val="20"/>
          <w:szCs w:val="20"/>
        </w:rPr>
      </w:pPr>
      <w:r>
        <w:rPr>
          <w:rFonts w:ascii="Arial" w:hAnsi="Arial" w:cs="Arial"/>
          <w:color w:val="222222"/>
          <w:sz w:val="20"/>
          <w:szCs w:val="20"/>
        </w:rPr>
        <w:t>Brooker, D. and Latham, I. (2016)</w:t>
      </w:r>
      <w:r>
        <w:rPr>
          <w:rFonts w:ascii="Arial" w:hAnsi="Arial" w:cs="Arial"/>
          <w:i/>
          <w:color w:val="222222"/>
          <w:sz w:val="20"/>
          <w:szCs w:val="20"/>
        </w:rPr>
        <w:t xml:space="preserve"> Person-Centred dementia care. Making services better with the VIPS Framework. </w:t>
      </w:r>
      <w:r>
        <w:rPr>
          <w:rFonts w:ascii="Arial" w:hAnsi="Arial" w:cs="Arial"/>
          <w:color w:val="222222"/>
          <w:sz w:val="20"/>
          <w:szCs w:val="20"/>
        </w:rPr>
        <w:t>2</w:t>
      </w:r>
      <w:r w:rsidRPr="007C4009">
        <w:rPr>
          <w:rFonts w:ascii="Arial" w:hAnsi="Arial" w:cs="Arial"/>
          <w:color w:val="222222"/>
          <w:sz w:val="20"/>
          <w:szCs w:val="20"/>
          <w:vertAlign w:val="superscript"/>
        </w:rPr>
        <w:t>nd</w:t>
      </w:r>
      <w:r>
        <w:rPr>
          <w:rFonts w:ascii="Arial" w:hAnsi="Arial" w:cs="Arial"/>
          <w:color w:val="222222"/>
          <w:sz w:val="20"/>
          <w:szCs w:val="20"/>
        </w:rPr>
        <w:t xml:space="preserve"> </w:t>
      </w:r>
      <w:proofErr w:type="spellStart"/>
      <w:r>
        <w:rPr>
          <w:rFonts w:ascii="Arial" w:hAnsi="Arial" w:cs="Arial"/>
          <w:color w:val="222222"/>
          <w:sz w:val="20"/>
          <w:szCs w:val="20"/>
        </w:rPr>
        <w:t>edn</w:t>
      </w:r>
      <w:proofErr w:type="spellEnd"/>
      <w:r>
        <w:rPr>
          <w:rFonts w:ascii="Arial" w:hAnsi="Arial" w:cs="Arial"/>
          <w:color w:val="222222"/>
          <w:sz w:val="20"/>
          <w:szCs w:val="20"/>
        </w:rPr>
        <w:t>. Jessica Kingsley Publishers: London.</w:t>
      </w:r>
    </w:p>
    <w:p w:rsidR="00C47A7F" w:rsidRDefault="00C47A7F" w:rsidP="00C47A7F">
      <w:pPr>
        <w:rPr>
          <w:rFonts w:ascii="Arial" w:hAnsi="Arial" w:cs="Arial"/>
          <w:color w:val="222222"/>
          <w:sz w:val="20"/>
          <w:szCs w:val="20"/>
        </w:rPr>
      </w:pPr>
      <w:r>
        <w:rPr>
          <w:rFonts w:ascii="Arial" w:hAnsi="Arial" w:cs="Arial"/>
          <w:color w:val="222222"/>
          <w:sz w:val="20"/>
          <w:szCs w:val="20"/>
        </w:rPr>
        <w:t xml:space="preserve">James, I. (2011) </w:t>
      </w:r>
      <w:r>
        <w:rPr>
          <w:rFonts w:ascii="Arial" w:hAnsi="Arial" w:cs="Arial"/>
          <w:i/>
          <w:color w:val="222222"/>
          <w:sz w:val="20"/>
          <w:szCs w:val="20"/>
        </w:rPr>
        <w:t xml:space="preserve">Understanding behaviour in dementia that challenges: A guide to assessment and treatment.  </w:t>
      </w:r>
      <w:r>
        <w:rPr>
          <w:rFonts w:ascii="Arial" w:hAnsi="Arial" w:cs="Arial"/>
          <w:color w:val="222222"/>
          <w:sz w:val="20"/>
          <w:szCs w:val="20"/>
        </w:rPr>
        <w:t>Jessica Kingsley Publishers: London</w:t>
      </w:r>
      <w:r>
        <w:rPr>
          <w:rFonts w:ascii="Arial" w:hAnsi="Arial" w:cs="Arial"/>
          <w:color w:val="222222"/>
          <w:sz w:val="20"/>
          <w:szCs w:val="20"/>
        </w:rPr>
        <w:t>.</w:t>
      </w:r>
    </w:p>
    <w:p w:rsidR="00C47A7F" w:rsidRDefault="00C47A7F" w:rsidP="00C47A7F">
      <w:pPr>
        <w:rPr>
          <w:rFonts w:ascii="Arial" w:hAnsi="Arial" w:cs="Arial"/>
          <w:color w:val="222222"/>
          <w:sz w:val="20"/>
          <w:szCs w:val="20"/>
        </w:rPr>
      </w:pPr>
      <w:r>
        <w:rPr>
          <w:rFonts w:ascii="Arial" w:hAnsi="Arial" w:cs="Arial"/>
          <w:color w:val="222222"/>
          <w:sz w:val="20"/>
          <w:szCs w:val="20"/>
        </w:rPr>
        <w:t xml:space="preserve">Newell, R. and </w:t>
      </w:r>
      <w:proofErr w:type="spellStart"/>
      <w:r>
        <w:rPr>
          <w:rFonts w:ascii="Arial" w:hAnsi="Arial" w:cs="Arial"/>
          <w:color w:val="222222"/>
          <w:sz w:val="20"/>
          <w:szCs w:val="20"/>
        </w:rPr>
        <w:t>Gournay</w:t>
      </w:r>
      <w:proofErr w:type="spellEnd"/>
      <w:r>
        <w:rPr>
          <w:rFonts w:ascii="Arial" w:hAnsi="Arial" w:cs="Arial"/>
          <w:color w:val="222222"/>
          <w:sz w:val="20"/>
          <w:szCs w:val="20"/>
        </w:rPr>
        <w:t xml:space="preserve">, K. (2009) </w:t>
      </w:r>
      <w:r>
        <w:rPr>
          <w:rFonts w:ascii="Arial" w:hAnsi="Arial" w:cs="Arial"/>
          <w:i/>
          <w:color w:val="222222"/>
          <w:sz w:val="20"/>
          <w:szCs w:val="20"/>
        </w:rPr>
        <w:t xml:space="preserve">Mental health nursing: An evidence-based approach. </w:t>
      </w:r>
      <w:r>
        <w:rPr>
          <w:rFonts w:ascii="Arial" w:hAnsi="Arial" w:cs="Arial"/>
          <w:color w:val="222222"/>
          <w:sz w:val="20"/>
          <w:szCs w:val="20"/>
        </w:rPr>
        <w:t>Elsevier: London.</w:t>
      </w:r>
    </w:p>
    <w:p w:rsidR="001331FC" w:rsidRDefault="00C47A7F" w:rsidP="00C47A7F">
      <w:pPr>
        <w:rPr>
          <w:rFonts w:ascii="Arial" w:hAnsi="Arial" w:cs="Arial"/>
          <w:color w:val="222222"/>
          <w:sz w:val="20"/>
          <w:szCs w:val="20"/>
        </w:rPr>
      </w:pPr>
      <w:proofErr w:type="spellStart"/>
      <w:r>
        <w:rPr>
          <w:rFonts w:ascii="Arial" w:hAnsi="Arial" w:cs="Arial"/>
          <w:color w:val="222222"/>
          <w:sz w:val="20"/>
          <w:szCs w:val="20"/>
        </w:rPr>
        <w:t>Zandi</w:t>
      </w:r>
      <w:proofErr w:type="spellEnd"/>
      <w:r>
        <w:rPr>
          <w:rFonts w:ascii="Arial" w:hAnsi="Arial" w:cs="Arial"/>
          <w:color w:val="222222"/>
          <w:sz w:val="20"/>
          <w:szCs w:val="20"/>
        </w:rPr>
        <w:t>, T. and Ham, R. (2012) New</w:t>
      </w:r>
      <w:r>
        <w:rPr>
          <w:rFonts w:ascii="Arial" w:hAnsi="Arial" w:cs="Arial"/>
          <w:i/>
          <w:color w:val="222222"/>
          <w:sz w:val="20"/>
          <w:szCs w:val="20"/>
        </w:rPr>
        <w:t xml:space="preserve"> directions in understanding dementia and Alzheimer’s disease.</w:t>
      </w:r>
      <w:r>
        <w:rPr>
          <w:rFonts w:ascii="Arial" w:hAnsi="Arial" w:cs="Arial"/>
          <w:color w:val="222222"/>
          <w:sz w:val="20"/>
          <w:szCs w:val="20"/>
        </w:rPr>
        <w:t xml:space="preserve"> Plenum Press: Londo</w:t>
      </w:r>
      <w:r>
        <w:rPr>
          <w:rFonts w:ascii="Arial" w:hAnsi="Arial" w:cs="Arial"/>
          <w:color w:val="222222"/>
          <w:sz w:val="20"/>
          <w:szCs w:val="20"/>
        </w:rPr>
        <w:t>n.</w:t>
      </w:r>
    </w:p>
    <w:p w:rsidR="001331FC" w:rsidRDefault="00C47A7F">
      <w:r>
        <w:t xml:space="preserve">The Alzheimer’s Society (2019) Available at: </w:t>
      </w:r>
      <w:hyperlink r:id="rId4" w:history="1">
        <w:r w:rsidRPr="00503515">
          <w:rPr>
            <w:rStyle w:val="Hyperlink"/>
          </w:rPr>
          <w:t>https://www.alzheimers.org.uk/about-dementia/types-dementia</w:t>
        </w:r>
      </w:hyperlink>
      <w:r>
        <w:t xml:space="preserve"> (Accessed: 29 March 2019). </w:t>
      </w:r>
      <w:bookmarkStart w:id="0" w:name="_GoBack"/>
      <w:bookmarkEnd w:id="0"/>
    </w:p>
    <w:sectPr w:rsidR="00133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0C2"/>
    <w:rsid w:val="001331FC"/>
    <w:rsid w:val="00185FE6"/>
    <w:rsid w:val="00207B1D"/>
    <w:rsid w:val="0022327F"/>
    <w:rsid w:val="00242D86"/>
    <w:rsid w:val="00270530"/>
    <w:rsid w:val="002D7BFE"/>
    <w:rsid w:val="003320C7"/>
    <w:rsid w:val="004E6FCA"/>
    <w:rsid w:val="005437CD"/>
    <w:rsid w:val="005B6BDB"/>
    <w:rsid w:val="005B77EA"/>
    <w:rsid w:val="005C4296"/>
    <w:rsid w:val="005C7A5F"/>
    <w:rsid w:val="0067664C"/>
    <w:rsid w:val="007400DD"/>
    <w:rsid w:val="007C43A6"/>
    <w:rsid w:val="00891D7D"/>
    <w:rsid w:val="00892415"/>
    <w:rsid w:val="008F25DE"/>
    <w:rsid w:val="0093117C"/>
    <w:rsid w:val="00A604C4"/>
    <w:rsid w:val="00B769A7"/>
    <w:rsid w:val="00BE1DE9"/>
    <w:rsid w:val="00C47A7F"/>
    <w:rsid w:val="00C7594E"/>
    <w:rsid w:val="00CB3159"/>
    <w:rsid w:val="00CB6638"/>
    <w:rsid w:val="00CE206D"/>
    <w:rsid w:val="00D0336A"/>
    <w:rsid w:val="00D87700"/>
    <w:rsid w:val="00E24F46"/>
    <w:rsid w:val="00E700C2"/>
    <w:rsid w:val="00EF67D3"/>
    <w:rsid w:val="00EF721F"/>
    <w:rsid w:val="00F62595"/>
    <w:rsid w:val="00FC1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30E63"/>
  <w15:chartTrackingRefBased/>
  <w15:docId w15:val="{21C8E514-F409-4623-A43D-3B3142242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A7F"/>
    <w:rPr>
      <w:color w:val="0563C1" w:themeColor="hyperlink"/>
      <w:u w:val="single"/>
    </w:rPr>
  </w:style>
  <w:style w:type="character" w:styleId="UnresolvedMention">
    <w:name w:val="Unresolved Mention"/>
    <w:basedOn w:val="DefaultParagraphFont"/>
    <w:uiPriority w:val="99"/>
    <w:semiHidden/>
    <w:unhideWhenUsed/>
    <w:rsid w:val="00C47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lzheimers.org.uk/about-dementia/types-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1323</Words>
  <Characters>7544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Griffiths (1704505)</dc:creator>
  <cp:keywords/>
  <dc:description/>
  <cp:lastModifiedBy>Alexandra Griffiths (1704505)</cp:lastModifiedBy>
  <cp:revision>2</cp:revision>
  <dcterms:created xsi:type="dcterms:W3CDTF">2019-03-29T22:27:00Z</dcterms:created>
  <dcterms:modified xsi:type="dcterms:W3CDTF">2019-03-29T22:27:00Z</dcterms:modified>
</cp:coreProperties>
</file>