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48C576" w14:textId="71CF83B3" w:rsidR="00F7540D" w:rsidRPr="00F7540D" w:rsidRDefault="00F7540D" w:rsidP="00F7540D">
      <w:pPr>
        <w:spacing w:line="480" w:lineRule="auto"/>
        <w:jc w:val="center"/>
        <w:rPr>
          <w:rFonts w:asciiTheme="majorBidi" w:hAnsiTheme="majorBidi" w:cstheme="majorBidi"/>
          <w:sz w:val="24"/>
          <w:szCs w:val="24"/>
          <w:lang w:bidi="ar-KW"/>
        </w:rPr>
      </w:pPr>
      <w:bookmarkStart w:id="0" w:name="_Hlk509860975"/>
      <w:r w:rsidRPr="00F7540D">
        <w:rPr>
          <w:rFonts w:asciiTheme="majorBidi" w:hAnsiTheme="majorBidi" w:cstheme="majorBidi"/>
          <w:sz w:val="24"/>
          <w:szCs w:val="24"/>
          <w:lang w:bidi="ar-KW"/>
        </w:rPr>
        <w:t>Reflective Journal</w:t>
      </w:r>
    </w:p>
    <w:p w14:paraId="34F0F082" w14:textId="37C7254D" w:rsidR="008F1AAF" w:rsidRDefault="008F1AAF" w:rsidP="00F7540D">
      <w:pPr>
        <w:spacing w:line="480" w:lineRule="auto"/>
        <w:rPr>
          <w:rFonts w:asciiTheme="majorBidi" w:hAnsiTheme="majorBidi" w:cstheme="majorBidi"/>
          <w:b/>
          <w:bCs/>
          <w:sz w:val="24"/>
          <w:szCs w:val="24"/>
          <w:lang w:bidi="ar-KW"/>
        </w:rPr>
      </w:pPr>
      <w:r>
        <w:rPr>
          <w:rFonts w:asciiTheme="majorBidi" w:hAnsiTheme="majorBidi" w:cstheme="majorBidi"/>
          <w:b/>
          <w:bCs/>
          <w:sz w:val="24"/>
          <w:szCs w:val="24"/>
          <w:lang w:bidi="ar-KW"/>
        </w:rPr>
        <w:t>Introduction.</w:t>
      </w:r>
    </w:p>
    <w:p w14:paraId="6DEED87B" w14:textId="77777777" w:rsidR="008F1AAF" w:rsidRPr="008F1AAF" w:rsidRDefault="008F1AAF" w:rsidP="00F7540D">
      <w:pPr>
        <w:spacing w:line="480" w:lineRule="auto"/>
        <w:rPr>
          <w:rFonts w:asciiTheme="majorBidi" w:hAnsiTheme="majorBidi" w:cstheme="majorBidi"/>
          <w:sz w:val="24"/>
          <w:szCs w:val="24"/>
          <w:lang w:bidi="ar-KW"/>
        </w:rPr>
      </w:pPr>
    </w:p>
    <w:p w14:paraId="24CBE7F5" w14:textId="57E630F4" w:rsidR="00F7540D" w:rsidRPr="00F7540D" w:rsidRDefault="00F7540D" w:rsidP="00F7540D">
      <w:pPr>
        <w:spacing w:line="480" w:lineRule="auto"/>
        <w:rPr>
          <w:rFonts w:asciiTheme="majorBidi" w:hAnsiTheme="majorBidi" w:cstheme="majorBidi"/>
          <w:b/>
          <w:bCs/>
          <w:sz w:val="24"/>
          <w:szCs w:val="24"/>
          <w:lang w:bidi="ar-KW"/>
        </w:rPr>
      </w:pPr>
      <w:r w:rsidRPr="00F7540D">
        <w:rPr>
          <w:rFonts w:asciiTheme="majorBidi" w:hAnsiTheme="majorBidi" w:cstheme="majorBidi"/>
          <w:b/>
          <w:bCs/>
          <w:sz w:val="24"/>
          <w:szCs w:val="24"/>
          <w:lang w:bidi="ar-KW"/>
        </w:rPr>
        <w:t>Day 1- 8</w:t>
      </w:r>
      <w:r w:rsidRPr="00A84774">
        <w:rPr>
          <w:rFonts w:asciiTheme="majorBidi" w:hAnsiTheme="majorBidi" w:cstheme="majorBidi"/>
          <w:b/>
          <w:bCs/>
          <w:sz w:val="24"/>
          <w:szCs w:val="24"/>
          <w:vertAlign w:val="superscript"/>
          <w:lang w:bidi="ar-KW"/>
        </w:rPr>
        <w:t>th</w:t>
      </w:r>
      <w:r w:rsidRPr="00F7540D">
        <w:rPr>
          <w:rFonts w:asciiTheme="majorBidi" w:hAnsiTheme="majorBidi" w:cstheme="majorBidi"/>
          <w:b/>
          <w:bCs/>
          <w:sz w:val="24"/>
          <w:szCs w:val="24"/>
          <w:lang w:bidi="ar-KW"/>
        </w:rPr>
        <w:t>/February/2018: First lecture (indoors).</w:t>
      </w:r>
    </w:p>
    <w:p w14:paraId="3D8E5C4C" w14:textId="2204C1C3" w:rsidR="00F7540D" w:rsidRPr="00F7540D" w:rsidRDefault="00F7540D" w:rsidP="00F7540D">
      <w:pPr>
        <w:spacing w:line="480" w:lineRule="auto"/>
        <w:rPr>
          <w:rFonts w:asciiTheme="majorBidi" w:hAnsiTheme="majorBidi" w:cstheme="majorBidi"/>
          <w:sz w:val="24"/>
          <w:szCs w:val="24"/>
          <w:lang w:bidi="ar-KW"/>
        </w:rPr>
      </w:pPr>
      <w:r w:rsidRPr="00F7540D">
        <w:rPr>
          <w:rFonts w:asciiTheme="majorBidi" w:hAnsiTheme="majorBidi" w:cstheme="majorBidi"/>
          <w:sz w:val="24"/>
          <w:szCs w:val="24"/>
          <w:lang w:bidi="ar-KW"/>
        </w:rPr>
        <w:t xml:space="preserve">At 2:05 pm, Dr Martin Bates have started the lecture. He began by demonstrating and explaining the types of maps. The maps’ types were as the following: Ordnance Survey maps, Geological maps, Hydrological maps and Soil maps. An Ordnance Survey map shows the topography of a certain place, meaning that it provides the details of roads, buildings etc. A Geological map provides rock types and sediments. The Geological map is important for archaeologists, as it tells us what could have been preserved in the site (Rapp and Hill 2006). However, Hydrological maps and Soil maps are less significant to archaeology (Grant et al. 2005). Also, I have learnt that the maps’ scales can vary between 1:50000, 1:25000 and so on, where each 1 distance on the map represents a 50000 or 25000 distance in reality (Grant et al. 2005). Later, Dr Martin said that the 1:50000 are much likely to be used in archaeology because it includes more details than the </w:t>
      </w:r>
      <w:r w:rsidR="00326DCC">
        <w:rPr>
          <w:rFonts w:asciiTheme="majorBidi" w:hAnsiTheme="majorBidi" w:cstheme="majorBidi"/>
          <w:sz w:val="24"/>
          <w:szCs w:val="24"/>
          <w:lang w:bidi="ar-KW"/>
        </w:rPr>
        <w:t>others</w:t>
      </w:r>
      <w:r w:rsidRPr="00F7540D">
        <w:rPr>
          <w:rFonts w:asciiTheme="majorBidi" w:hAnsiTheme="majorBidi" w:cstheme="majorBidi"/>
          <w:sz w:val="24"/>
          <w:szCs w:val="24"/>
          <w:lang w:bidi="ar-KW"/>
        </w:rPr>
        <w:t xml:space="preserve">. After that, I had the chance to look at </w:t>
      </w:r>
      <w:r w:rsidR="00662C60" w:rsidRPr="00F7540D">
        <w:rPr>
          <w:rFonts w:asciiTheme="majorBidi" w:hAnsiTheme="majorBidi" w:cstheme="majorBidi"/>
          <w:sz w:val="24"/>
          <w:szCs w:val="24"/>
          <w:lang w:bidi="ar-KW"/>
        </w:rPr>
        <w:t>several types</w:t>
      </w:r>
      <w:r w:rsidRPr="00F7540D">
        <w:rPr>
          <w:rFonts w:asciiTheme="majorBidi" w:hAnsiTheme="majorBidi" w:cstheme="majorBidi"/>
          <w:sz w:val="24"/>
          <w:szCs w:val="24"/>
          <w:lang w:bidi="ar-KW"/>
        </w:rPr>
        <w:t xml:space="preserve"> of maps including historical maps. </w:t>
      </w:r>
    </w:p>
    <w:p w14:paraId="207E1D80" w14:textId="75F601C3" w:rsidR="00F7540D" w:rsidRDefault="00F7540D" w:rsidP="00F7540D">
      <w:pPr>
        <w:spacing w:line="480" w:lineRule="auto"/>
        <w:rPr>
          <w:rFonts w:asciiTheme="majorBidi" w:hAnsiTheme="majorBidi" w:cstheme="majorBidi"/>
          <w:sz w:val="24"/>
          <w:szCs w:val="24"/>
          <w:lang w:bidi="ar-KW"/>
        </w:rPr>
      </w:pPr>
      <w:r w:rsidRPr="00F7540D">
        <w:rPr>
          <w:rFonts w:asciiTheme="majorBidi" w:hAnsiTheme="majorBidi" w:cstheme="majorBidi"/>
          <w:sz w:val="24"/>
          <w:szCs w:val="24"/>
          <w:lang w:bidi="ar-KW"/>
        </w:rPr>
        <w:t xml:space="preserve">Around 2:40 pm, Dr Martin started explaining the grid references and the national grid on the maps. I was extremely interested in learning the grid references’ system because I have only used coordinates in Kuwait. I have learnt that the grid reference pinpoints where something is within a space, while the coordinates show where is it exactly. Also, the grid is read and set by easting first and then the northing, and whenever we read further in the directions; the numbers increase. As Paul Wilkinson said that ‘the southern edge of the site grid is usually the site baseline and the southern-west corner of the site grid is the point of origin for numbering the squares of the grid’ (2007: 49). The points are usually read by four figures, but </w:t>
      </w:r>
      <w:r w:rsidRPr="00F7540D">
        <w:rPr>
          <w:rFonts w:asciiTheme="majorBidi" w:hAnsiTheme="majorBidi" w:cstheme="majorBidi"/>
          <w:sz w:val="24"/>
          <w:szCs w:val="24"/>
          <w:lang w:bidi="ar-KW"/>
        </w:rPr>
        <w:lastRenderedPageBreak/>
        <w:t>when two points or more fall into the same grid; getting a six figures reading is a must. The six figures reading help locate the points that are in one grid with better accuracy.  I have tried to practice that during the lecture and luckily, I have got my graph paper notebook.  At the end of the lecture, we had the opportunity to do a</w:t>
      </w:r>
      <w:r w:rsidR="009A24AD">
        <w:rPr>
          <w:rFonts w:asciiTheme="majorBidi" w:hAnsiTheme="majorBidi" w:cstheme="majorBidi"/>
          <w:sz w:val="24"/>
          <w:szCs w:val="24"/>
          <w:lang w:bidi="ar-KW"/>
        </w:rPr>
        <w:t xml:space="preserve"> map</w:t>
      </w:r>
      <w:r w:rsidRPr="00F7540D">
        <w:rPr>
          <w:rFonts w:asciiTheme="majorBidi" w:hAnsiTheme="majorBidi" w:cstheme="majorBidi"/>
          <w:sz w:val="24"/>
          <w:szCs w:val="24"/>
          <w:lang w:bidi="ar-KW"/>
        </w:rPr>
        <w:t xml:space="preserve"> exercise as well.  </w:t>
      </w:r>
    </w:p>
    <w:p w14:paraId="1D3E3CA0" w14:textId="77777777" w:rsidR="00F7540D" w:rsidRDefault="00F7540D" w:rsidP="00F7540D">
      <w:pPr>
        <w:keepNext/>
        <w:spacing w:line="480" w:lineRule="auto"/>
      </w:pPr>
      <w:r>
        <w:rPr>
          <w:rFonts w:asciiTheme="majorBidi" w:hAnsiTheme="majorBidi" w:cstheme="majorBidi"/>
          <w:noProof/>
          <w:sz w:val="24"/>
          <w:szCs w:val="24"/>
          <w:lang w:bidi="ar-KW"/>
        </w:rPr>
        <w:drawing>
          <wp:inline distT="0" distB="0" distL="0" distR="0" wp14:anchorId="33B1B74E" wp14:editId="2BCE67FA">
            <wp:extent cx="1818232" cy="2622550"/>
            <wp:effectExtent l="0" t="2222" r="8572" b="8573"/>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if 1.jpg"/>
                    <pic:cNvPicPr/>
                  </pic:nvPicPr>
                  <pic:blipFill rotWithShape="1">
                    <a:blip r:embed="rId7" cstate="print">
                      <a:extLst>
                        <a:ext uri="{BEBA8EAE-BF5A-486C-A8C5-ECC9F3942E4B}">
                          <a14:imgProps xmlns:a14="http://schemas.microsoft.com/office/drawing/2010/main">
                            <a14:imgLayer r:embed="rId8">
                              <a14:imgEffect>
                                <a14:brightnessContrast bright="20000" contrast="40000"/>
                              </a14:imgEffect>
                            </a14:imgLayer>
                          </a14:imgProps>
                        </a:ext>
                        <a:ext uri="{28A0092B-C50C-407E-A947-70E740481C1C}">
                          <a14:useLocalDpi xmlns:a14="http://schemas.microsoft.com/office/drawing/2010/main" val="0"/>
                        </a:ext>
                      </a:extLst>
                    </a:blip>
                    <a:srcRect l="58386" r="9860" b="18625"/>
                    <a:stretch/>
                  </pic:blipFill>
                  <pic:spPr bwMode="auto">
                    <a:xfrm rot="5400000">
                      <a:off x="0" y="0"/>
                      <a:ext cx="1818841" cy="2623428"/>
                    </a:xfrm>
                    <a:prstGeom prst="rect">
                      <a:avLst/>
                    </a:prstGeom>
                    <a:ln>
                      <a:noFill/>
                    </a:ln>
                    <a:extLst>
                      <a:ext uri="{53640926-AAD7-44D8-BBD7-CCE9431645EC}">
                        <a14:shadowObscured xmlns:a14="http://schemas.microsoft.com/office/drawing/2010/main"/>
                      </a:ext>
                    </a:extLst>
                  </pic:spPr>
                </pic:pic>
              </a:graphicData>
            </a:graphic>
          </wp:inline>
        </w:drawing>
      </w:r>
    </w:p>
    <w:p w14:paraId="05A6F129" w14:textId="31544B35" w:rsidR="00F7540D" w:rsidRPr="00F7540D" w:rsidRDefault="00F7540D" w:rsidP="00F7540D">
      <w:pPr>
        <w:pStyle w:val="Caption"/>
        <w:rPr>
          <w:rFonts w:asciiTheme="majorBidi" w:hAnsiTheme="majorBidi" w:cstheme="majorBidi"/>
          <w:sz w:val="24"/>
          <w:szCs w:val="24"/>
          <w:lang w:bidi="ar-KW"/>
        </w:rPr>
      </w:pPr>
      <w:r>
        <w:t xml:space="preserve">Figure </w:t>
      </w:r>
      <w:r>
        <w:fldChar w:fldCharType="begin"/>
      </w:r>
      <w:r>
        <w:instrText xml:space="preserve"> SEQ Figure \* ARABIC </w:instrText>
      </w:r>
      <w:r>
        <w:fldChar w:fldCharType="separate"/>
      </w:r>
      <w:r>
        <w:rPr>
          <w:noProof/>
        </w:rPr>
        <w:t>1</w:t>
      </w:r>
      <w:r>
        <w:fldChar w:fldCharType="end"/>
      </w:r>
      <w:r>
        <w:t xml:space="preserve">- </w:t>
      </w:r>
      <w:r w:rsidRPr="00771159">
        <w:t>The grids exercise of my notebook.</w:t>
      </w:r>
    </w:p>
    <w:p w14:paraId="213E8175" w14:textId="4E15838E" w:rsidR="00F7540D" w:rsidRPr="00F7540D" w:rsidRDefault="00F7540D" w:rsidP="00F7540D">
      <w:pPr>
        <w:spacing w:line="480" w:lineRule="auto"/>
        <w:rPr>
          <w:rFonts w:asciiTheme="majorBidi" w:hAnsiTheme="majorBidi" w:cstheme="majorBidi"/>
          <w:b/>
          <w:bCs/>
          <w:sz w:val="24"/>
          <w:szCs w:val="24"/>
          <w:lang w:bidi="ar-KW"/>
        </w:rPr>
      </w:pPr>
      <w:r w:rsidRPr="00F7540D">
        <w:rPr>
          <w:rFonts w:asciiTheme="majorBidi" w:hAnsiTheme="majorBidi" w:cstheme="majorBidi"/>
          <w:b/>
          <w:bCs/>
          <w:sz w:val="24"/>
          <w:szCs w:val="24"/>
          <w:lang w:bidi="ar-KW"/>
        </w:rPr>
        <w:t>Day 2- 15</w:t>
      </w:r>
      <w:r w:rsidRPr="00A84774">
        <w:rPr>
          <w:rFonts w:asciiTheme="majorBidi" w:hAnsiTheme="majorBidi" w:cstheme="majorBidi"/>
          <w:b/>
          <w:bCs/>
          <w:sz w:val="24"/>
          <w:szCs w:val="24"/>
          <w:vertAlign w:val="superscript"/>
          <w:lang w:bidi="ar-KW"/>
        </w:rPr>
        <w:t>th</w:t>
      </w:r>
      <w:r w:rsidRPr="00F7540D">
        <w:rPr>
          <w:rFonts w:asciiTheme="majorBidi" w:hAnsiTheme="majorBidi" w:cstheme="majorBidi"/>
          <w:b/>
          <w:bCs/>
          <w:sz w:val="24"/>
          <w:szCs w:val="24"/>
          <w:lang w:bidi="ar-KW"/>
        </w:rPr>
        <w:t>/February/2018: Second lecture (indoors &amp; outdoors activities).</w:t>
      </w:r>
    </w:p>
    <w:p w14:paraId="4CAF5074" w14:textId="209DB4F0" w:rsidR="00F7540D" w:rsidRDefault="00F7540D" w:rsidP="000E750C">
      <w:pPr>
        <w:spacing w:line="480" w:lineRule="auto"/>
        <w:rPr>
          <w:rFonts w:asciiTheme="majorBidi" w:hAnsiTheme="majorBidi" w:cstheme="majorBidi"/>
          <w:sz w:val="24"/>
          <w:szCs w:val="24"/>
          <w:lang w:bidi="ar-KW"/>
        </w:rPr>
      </w:pPr>
      <w:r w:rsidRPr="00F7540D">
        <w:rPr>
          <w:rFonts w:asciiTheme="majorBidi" w:hAnsiTheme="majorBidi" w:cstheme="majorBidi"/>
          <w:sz w:val="24"/>
          <w:szCs w:val="24"/>
          <w:lang w:bidi="ar-KW"/>
        </w:rPr>
        <w:t xml:space="preserve">The lecture has begun at 2:03 pm with Dr Martin </w:t>
      </w:r>
      <w:r>
        <w:rPr>
          <w:rFonts w:asciiTheme="majorBidi" w:hAnsiTheme="majorBidi" w:cstheme="majorBidi"/>
          <w:sz w:val="24"/>
          <w:szCs w:val="24"/>
          <w:lang w:bidi="ar-KW"/>
        </w:rPr>
        <w:t>speaking about</w:t>
      </w:r>
      <w:r w:rsidRPr="00F7540D">
        <w:rPr>
          <w:rFonts w:asciiTheme="majorBidi" w:hAnsiTheme="majorBidi" w:cstheme="majorBidi"/>
          <w:sz w:val="24"/>
          <w:szCs w:val="24"/>
          <w:lang w:bidi="ar-KW"/>
        </w:rPr>
        <w:t xml:space="preserve"> elevation. I remember being excited for this lecture as it includes two </w:t>
      </w:r>
      <w:r>
        <w:rPr>
          <w:rFonts w:asciiTheme="majorBidi" w:hAnsiTheme="majorBidi" w:cstheme="majorBidi"/>
          <w:sz w:val="24"/>
          <w:szCs w:val="24"/>
          <w:lang w:bidi="ar-KW"/>
        </w:rPr>
        <w:t xml:space="preserve">of my favourite </w:t>
      </w:r>
      <w:r w:rsidRPr="00F7540D">
        <w:rPr>
          <w:rFonts w:asciiTheme="majorBidi" w:hAnsiTheme="majorBidi" w:cstheme="majorBidi"/>
          <w:sz w:val="24"/>
          <w:szCs w:val="24"/>
          <w:lang w:bidi="ar-KW"/>
        </w:rPr>
        <w:t>subjects; geometry and geography.</w:t>
      </w:r>
      <w:r>
        <w:rPr>
          <w:rFonts w:asciiTheme="majorBidi" w:hAnsiTheme="majorBidi" w:cstheme="majorBidi"/>
          <w:sz w:val="24"/>
          <w:szCs w:val="24"/>
          <w:lang w:bidi="ar-KW"/>
        </w:rPr>
        <w:t xml:space="preserve"> When Dr Martin started explaining,</w:t>
      </w:r>
      <w:r w:rsidRPr="00F7540D">
        <w:rPr>
          <w:rFonts w:asciiTheme="majorBidi" w:hAnsiTheme="majorBidi" w:cstheme="majorBidi"/>
          <w:sz w:val="24"/>
          <w:szCs w:val="24"/>
          <w:lang w:bidi="ar-KW"/>
        </w:rPr>
        <w:t xml:space="preserve"> </w:t>
      </w:r>
      <w:r w:rsidR="00E85738">
        <w:rPr>
          <w:rFonts w:asciiTheme="majorBidi" w:hAnsiTheme="majorBidi" w:cstheme="majorBidi"/>
          <w:sz w:val="24"/>
          <w:szCs w:val="24"/>
          <w:lang w:bidi="ar-KW"/>
        </w:rPr>
        <w:t>he</w:t>
      </w:r>
      <w:r w:rsidRPr="00F7540D">
        <w:rPr>
          <w:rFonts w:asciiTheme="majorBidi" w:hAnsiTheme="majorBidi" w:cstheme="majorBidi"/>
          <w:sz w:val="24"/>
          <w:szCs w:val="24"/>
          <w:lang w:bidi="ar-KW"/>
        </w:rPr>
        <w:t xml:space="preserve"> repeat</w:t>
      </w:r>
      <w:r w:rsidR="00E85738">
        <w:rPr>
          <w:rFonts w:asciiTheme="majorBidi" w:hAnsiTheme="majorBidi" w:cstheme="majorBidi"/>
          <w:sz w:val="24"/>
          <w:szCs w:val="24"/>
          <w:lang w:bidi="ar-KW"/>
        </w:rPr>
        <w:t>ed</w:t>
      </w:r>
      <w:r w:rsidRPr="00F7540D">
        <w:rPr>
          <w:rFonts w:asciiTheme="majorBidi" w:hAnsiTheme="majorBidi" w:cstheme="majorBidi"/>
          <w:sz w:val="24"/>
          <w:szCs w:val="24"/>
          <w:lang w:bidi="ar-KW"/>
        </w:rPr>
        <w:t xml:space="preserve"> ‘we need to know how high things are’ and I thought to myself ‘how </w:t>
      </w:r>
      <w:r w:rsidR="00DF7E46">
        <w:rPr>
          <w:rFonts w:asciiTheme="majorBidi" w:hAnsiTheme="majorBidi" w:cstheme="majorBidi"/>
          <w:sz w:val="24"/>
          <w:szCs w:val="24"/>
          <w:lang w:bidi="ar-KW"/>
        </w:rPr>
        <w:t>w</w:t>
      </w:r>
      <w:r w:rsidR="008139C5">
        <w:rPr>
          <w:rFonts w:asciiTheme="majorBidi" w:hAnsiTheme="majorBidi" w:cstheme="majorBidi"/>
          <w:sz w:val="24"/>
          <w:szCs w:val="24"/>
          <w:lang w:bidi="ar-KW"/>
        </w:rPr>
        <w:t>ill</w:t>
      </w:r>
      <w:r w:rsidRPr="00F7540D">
        <w:rPr>
          <w:rFonts w:asciiTheme="majorBidi" w:hAnsiTheme="majorBidi" w:cstheme="majorBidi"/>
          <w:sz w:val="24"/>
          <w:szCs w:val="24"/>
          <w:lang w:bidi="ar-KW"/>
        </w:rPr>
        <w:t xml:space="preserve"> an acrophobic desert creature like me climb</w:t>
      </w:r>
      <w:r w:rsidR="007B304F">
        <w:rPr>
          <w:rFonts w:asciiTheme="majorBidi" w:hAnsiTheme="majorBidi" w:cstheme="majorBidi"/>
          <w:sz w:val="24"/>
          <w:szCs w:val="24"/>
          <w:lang w:bidi="ar-KW"/>
        </w:rPr>
        <w:t xml:space="preserve"> up</w:t>
      </w:r>
      <w:r w:rsidRPr="00F7540D">
        <w:rPr>
          <w:rFonts w:asciiTheme="majorBidi" w:hAnsiTheme="majorBidi" w:cstheme="majorBidi"/>
          <w:sz w:val="24"/>
          <w:szCs w:val="24"/>
          <w:lang w:bidi="ar-KW"/>
        </w:rPr>
        <w:t xml:space="preserve"> and measure high points?’. I was relieved to kno</w:t>
      </w:r>
      <w:r w:rsidR="00E85738">
        <w:rPr>
          <w:rFonts w:asciiTheme="majorBidi" w:hAnsiTheme="majorBidi" w:cstheme="majorBidi"/>
          <w:sz w:val="24"/>
          <w:szCs w:val="24"/>
          <w:lang w:bidi="ar-KW"/>
        </w:rPr>
        <w:t>w</w:t>
      </w:r>
      <w:r w:rsidR="00145BDE">
        <w:rPr>
          <w:rFonts w:asciiTheme="majorBidi" w:hAnsiTheme="majorBidi" w:cstheme="majorBidi"/>
          <w:sz w:val="24"/>
          <w:szCs w:val="24"/>
          <w:lang w:bidi="ar-KW"/>
        </w:rPr>
        <w:t xml:space="preserve"> then</w:t>
      </w:r>
      <w:r w:rsidRPr="00F7540D">
        <w:rPr>
          <w:rFonts w:asciiTheme="majorBidi" w:hAnsiTheme="majorBidi" w:cstheme="majorBidi"/>
          <w:sz w:val="24"/>
          <w:szCs w:val="24"/>
          <w:lang w:bidi="ar-KW"/>
        </w:rPr>
        <w:t xml:space="preserve"> that it </w:t>
      </w:r>
      <w:r w:rsidR="000D2DAD">
        <w:rPr>
          <w:rFonts w:asciiTheme="majorBidi" w:hAnsiTheme="majorBidi" w:cstheme="majorBidi"/>
          <w:sz w:val="24"/>
          <w:szCs w:val="24"/>
          <w:lang w:bidi="ar-KW"/>
        </w:rPr>
        <w:t>ha</w:t>
      </w:r>
      <w:r w:rsidRPr="00F7540D">
        <w:rPr>
          <w:rFonts w:asciiTheme="majorBidi" w:hAnsiTheme="majorBidi" w:cstheme="majorBidi"/>
          <w:sz w:val="24"/>
          <w:szCs w:val="24"/>
          <w:lang w:bidi="ar-KW"/>
        </w:rPr>
        <w:t>s already been set on OS maps</w:t>
      </w:r>
      <w:r w:rsidR="00630E40">
        <w:rPr>
          <w:rFonts w:asciiTheme="majorBidi" w:hAnsiTheme="majorBidi" w:cstheme="majorBidi"/>
          <w:sz w:val="24"/>
          <w:szCs w:val="24"/>
          <w:lang w:bidi="ar-KW"/>
        </w:rPr>
        <w:t xml:space="preserve"> using contour lines and spot heights</w:t>
      </w:r>
      <w:r w:rsidR="00241EC0">
        <w:rPr>
          <w:rFonts w:asciiTheme="majorBidi" w:hAnsiTheme="majorBidi" w:cstheme="majorBidi"/>
          <w:noProof/>
          <w:sz w:val="24"/>
          <w:szCs w:val="24"/>
          <w:lang w:bidi="ar-KW"/>
        </w:rPr>
        <w:t xml:space="preserve"> </w:t>
      </w:r>
      <w:r w:rsidR="00241EC0" w:rsidRPr="00241EC0">
        <w:rPr>
          <w:rFonts w:asciiTheme="majorBidi" w:hAnsiTheme="majorBidi" w:cstheme="majorBidi"/>
          <w:noProof/>
          <w:sz w:val="24"/>
          <w:szCs w:val="24"/>
          <w:lang w:bidi="ar-KW"/>
        </w:rPr>
        <w:t xml:space="preserve">(Bowen </w:t>
      </w:r>
      <w:r w:rsidR="00241EC0">
        <w:rPr>
          <w:rFonts w:asciiTheme="majorBidi" w:hAnsiTheme="majorBidi" w:cstheme="majorBidi"/>
          <w:noProof/>
          <w:sz w:val="24"/>
          <w:szCs w:val="24"/>
          <w:lang w:bidi="ar-KW"/>
        </w:rPr>
        <w:t>and</w:t>
      </w:r>
      <w:r w:rsidR="00241EC0" w:rsidRPr="00241EC0">
        <w:rPr>
          <w:rFonts w:asciiTheme="majorBidi" w:hAnsiTheme="majorBidi" w:cstheme="majorBidi"/>
          <w:noProof/>
          <w:sz w:val="24"/>
          <w:szCs w:val="24"/>
          <w:lang w:bidi="ar-KW"/>
        </w:rPr>
        <w:t xml:space="preserve"> Pallister 2004)</w:t>
      </w:r>
      <w:r w:rsidRPr="00F7540D">
        <w:rPr>
          <w:rFonts w:asciiTheme="majorBidi" w:hAnsiTheme="majorBidi" w:cstheme="majorBidi"/>
          <w:sz w:val="24"/>
          <w:szCs w:val="24"/>
          <w:lang w:bidi="ar-KW"/>
        </w:rPr>
        <w:t>.</w:t>
      </w:r>
      <w:r w:rsidR="00DF7E46">
        <w:rPr>
          <w:rFonts w:asciiTheme="majorBidi" w:hAnsiTheme="majorBidi" w:cstheme="majorBidi"/>
          <w:sz w:val="24"/>
          <w:szCs w:val="24"/>
          <w:lang w:bidi="ar-KW"/>
        </w:rPr>
        <w:t xml:space="preserve"> Another key point to remember is learning about </w:t>
      </w:r>
      <w:r w:rsidR="00A12183">
        <w:rPr>
          <w:rFonts w:asciiTheme="majorBidi" w:hAnsiTheme="majorBidi" w:cstheme="majorBidi"/>
          <w:sz w:val="24"/>
          <w:szCs w:val="24"/>
          <w:lang w:bidi="ar-KW"/>
        </w:rPr>
        <w:t>B</w:t>
      </w:r>
      <w:r w:rsidR="008E250D">
        <w:rPr>
          <w:rFonts w:asciiTheme="majorBidi" w:hAnsiTheme="majorBidi" w:cstheme="majorBidi"/>
          <w:sz w:val="24"/>
          <w:szCs w:val="24"/>
          <w:lang w:bidi="ar-KW"/>
        </w:rPr>
        <w:t xml:space="preserve">ench </w:t>
      </w:r>
      <w:r w:rsidR="00A12183">
        <w:rPr>
          <w:rFonts w:asciiTheme="majorBidi" w:hAnsiTheme="majorBidi" w:cstheme="majorBidi"/>
          <w:sz w:val="24"/>
          <w:szCs w:val="24"/>
          <w:lang w:bidi="ar-KW"/>
        </w:rPr>
        <w:t>M</w:t>
      </w:r>
      <w:r w:rsidR="008E250D">
        <w:rPr>
          <w:rFonts w:asciiTheme="majorBidi" w:hAnsiTheme="majorBidi" w:cstheme="majorBidi"/>
          <w:sz w:val="24"/>
          <w:szCs w:val="24"/>
          <w:lang w:bidi="ar-KW"/>
        </w:rPr>
        <w:t>arks and their importance in archaeology</w:t>
      </w:r>
      <w:r w:rsidR="00DF7E46">
        <w:rPr>
          <w:rFonts w:asciiTheme="majorBidi" w:hAnsiTheme="majorBidi" w:cstheme="majorBidi"/>
          <w:sz w:val="24"/>
          <w:szCs w:val="24"/>
          <w:lang w:bidi="ar-KW"/>
        </w:rPr>
        <w:t>.</w:t>
      </w:r>
      <w:r w:rsidR="00F406BF">
        <w:rPr>
          <w:rFonts w:asciiTheme="majorBidi" w:hAnsiTheme="majorBidi" w:cstheme="majorBidi"/>
          <w:sz w:val="24"/>
          <w:szCs w:val="24"/>
          <w:lang w:bidi="ar-KW"/>
        </w:rPr>
        <w:t xml:space="preserve"> I have never heard </w:t>
      </w:r>
      <w:r w:rsidR="00EB2695">
        <w:rPr>
          <w:rFonts w:asciiTheme="majorBidi" w:hAnsiTheme="majorBidi" w:cstheme="majorBidi"/>
          <w:sz w:val="24"/>
          <w:szCs w:val="24"/>
          <w:lang w:bidi="ar-KW"/>
        </w:rPr>
        <w:t xml:space="preserve">of </w:t>
      </w:r>
      <w:r w:rsidR="00F406BF">
        <w:rPr>
          <w:rFonts w:asciiTheme="majorBidi" w:hAnsiTheme="majorBidi" w:cstheme="majorBidi"/>
          <w:sz w:val="24"/>
          <w:szCs w:val="24"/>
          <w:lang w:bidi="ar-KW"/>
        </w:rPr>
        <w:t>that term before in my life</w:t>
      </w:r>
      <w:r w:rsidR="00C16191">
        <w:rPr>
          <w:rFonts w:asciiTheme="majorBidi" w:hAnsiTheme="majorBidi" w:cstheme="majorBidi"/>
          <w:sz w:val="24"/>
          <w:szCs w:val="24"/>
          <w:lang w:bidi="ar-KW"/>
        </w:rPr>
        <w:t>,</w:t>
      </w:r>
      <w:r w:rsidR="00F406BF">
        <w:rPr>
          <w:rFonts w:asciiTheme="majorBidi" w:hAnsiTheme="majorBidi" w:cstheme="majorBidi"/>
          <w:sz w:val="24"/>
          <w:szCs w:val="24"/>
          <w:lang w:bidi="ar-KW"/>
        </w:rPr>
        <w:t xml:space="preserve"> </w:t>
      </w:r>
      <w:r w:rsidR="00550A9B">
        <w:rPr>
          <w:rFonts w:asciiTheme="majorBidi" w:hAnsiTheme="majorBidi" w:cstheme="majorBidi"/>
          <w:sz w:val="24"/>
          <w:szCs w:val="24"/>
          <w:lang w:bidi="ar-KW"/>
        </w:rPr>
        <w:t xml:space="preserve">and it </w:t>
      </w:r>
      <w:r w:rsidR="008B0F64">
        <w:rPr>
          <w:rFonts w:asciiTheme="majorBidi" w:hAnsiTheme="majorBidi" w:cstheme="majorBidi"/>
          <w:sz w:val="24"/>
          <w:szCs w:val="24"/>
          <w:lang w:bidi="ar-KW"/>
        </w:rPr>
        <w:t xml:space="preserve">was </w:t>
      </w:r>
      <w:r w:rsidR="00550A9B">
        <w:rPr>
          <w:rFonts w:asciiTheme="majorBidi" w:hAnsiTheme="majorBidi" w:cstheme="majorBidi"/>
          <w:sz w:val="24"/>
          <w:szCs w:val="24"/>
          <w:lang w:bidi="ar-KW"/>
        </w:rPr>
        <w:t>interesting</w:t>
      </w:r>
      <w:r w:rsidR="008B0F64">
        <w:rPr>
          <w:rFonts w:asciiTheme="majorBidi" w:hAnsiTheme="majorBidi" w:cstheme="majorBidi"/>
          <w:sz w:val="24"/>
          <w:szCs w:val="24"/>
          <w:lang w:bidi="ar-KW"/>
        </w:rPr>
        <w:t xml:space="preserve"> to </w:t>
      </w:r>
      <w:r w:rsidR="002D2E60">
        <w:rPr>
          <w:rFonts w:asciiTheme="majorBidi" w:hAnsiTheme="majorBidi" w:cstheme="majorBidi"/>
          <w:sz w:val="24"/>
          <w:szCs w:val="24"/>
          <w:lang w:bidi="ar-KW"/>
        </w:rPr>
        <w:t>know</w:t>
      </w:r>
      <w:r w:rsidR="00A12183">
        <w:rPr>
          <w:rFonts w:asciiTheme="majorBidi" w:hAnsiTheme="majorBidi" w:cstheme="majorBidi"/>
          <w:sz w:val="24"/>
          <w:szCs w:val="24"/>
          <w:lang w:bidi="ar-KW"/>
        </w:rPr>
        <w:t xml:space="preserve"> that Bench Marks must be carved </w:t>
      </w:r>
      <w:r w:rsidR="00E93CA7">
        <w:rPr>
          <w:rFonts w:asciiTheme="majorBidi" w:hAnsiTheme="majorBidi" w:cstheme="majorBidi"/>
          <w:sz w:val="24"/>
          <w:szCs w:val="24"/>
          <w:lang w:bidi="ar-KW"/>
        </w:rPr>
        <w:t xml:space="preserve">or marked </w:t>
      </w:r>
      <w:r w:rsidR="00A12183">
        <w:rPr>
          <w:rFonts w:asciiTheme="majorBidi" w:hAnsiTheme="majorBidi" w:cstheme="majorBidi"/>
          <w:sz w:val="24"/>
          <w:szCs w:val="24"/>
          <w:lang w:bidi="ar-KW"/>
        </w:rPr>
        <w:t>on permanent features</w:t>
      </w:r>
      <w:r w:rsidR="00EF5F50">
        <w:rPr>
          <w:rFonts w:asciiTheme="majorBidi" w:hAnsiTheme="majorBidi" w:cstheme="majorBidi"/>
          <w:sz w:val="24"/>
          <w:szCs w:val="24"/>
          <w:lang w:bidi="ar-KW"/>
        </w:rPr>
        <w:t>.</w:t>
      </w:r>
      <w:r w:rsidR="00A12183">
        <w:rPr>
          <w:rFonts w:asciiTheme="majorBidi" w:hAnsiTheme="majorBidi" w:cstheme="majorBidi"/>
          <w:sz w:val="24"/>
          <w:szCs w:val="24"/>
          <w:lang w:bidi="ar-KW"/>
        </w:rPr>
        <w:t xml:space="preserve"> </w:t>
      </w:r>
      <w:r w:rsidR="000E750C">
        <w:rPr>
          <w:rFonts w:asciiTheme="majorBidi" w:hAnsiTheme="majorBidi" w:cstheme="majorBidi"/>
          <w:sz w:val="24"/>
          <w:szCs w:val="24"/>
          <w:lang w:bidi="ar-KW"/>
        </w:rPr>
        <w:t>According to</w:t>
      </w:r>
      <w:r w:rsidR="00EB2695">
        <w:rPr>
          <w:rFonts w:asciiTheme="majorBidi" w:hAnsiTheme="majorBidi" w:cstheme="majorBidi"/>
          <w:sz w:val="24"/>
          <w:szCs w:val="24"/>
          <w:lang w:bidi="ar-KW"/>
        </w:rPr>
        <w:t xml:space="preserve"> </w:t>
      </w:r>
      <w:r w:rsidR="00EB2695" w:rsidRPr="00EB2695">
        <w:rPr>
          <w:rFonts w:asciiTheme="majorBidi" w:hAnsiTheme="majorBidi" w:cstheme="majorBidi"/>
          <w:sz w:val="24"/>
          <w:szCs w:val="24"/>
          <w:lang w:bidi="ar-KW"/>
        </w:rPr>
        <w:t>John Coles</w:t>
      </w:r>
      <w:r w:rsidR="000E750C">
        <w:rPr>
          <w:rFonts w:asciiTheme="majorBidi" w:hAnsiTheme="majorBidi" w:cstheme="majorBidi"/>
          <w:sz w:val="24"/>
          <w:szCs w:val="24"/>
          <w:lang w:bidi="ar-KW"/>
        </w:rPr>
        <w:t xml:space="preserve"> ‘</w:t>
      </w:r>
      <w:r w:rsidR="000E750C" w:rsidRPr="000E750C">
        <w:rPr>
          <w:rFonts w:asciiTheme="majorBidi" w:hAnsiTheme="majorBidi" w:cstheme="majorBidi"/>
          <w:sz w:val="24"/>
          <w:szCs w:val="24"/>
          <w:lang w:bidi="ar-KW"/>
        </w:rPr>
        <w:t>A</w:t>
      </w:r>
      <w:r w:rsidR="000E750C">
        <w:rPr>
          <w:rFonts w:asciiTheme="majorBidi" w:hAnsiTheme="majorBidi" w:cstheme="majorBidi"/>
          <w:sz w:val="24"/>
          <w:szCs w:val="24"/>
          <w:lang w:bidi="ar-KW"/>
        </w:rPr>
        <w:t xml:space="preserve"> </w:t>
      </w:r>
      <w:r w:rsidR="000E750C" w:rsidRPr="000E750C">
        <w:rPr>
          <w:rFonts w:asciiTheme="majorBidi" w:hAnsiTheme="majorBidi" w:cstheme="majorBidi"/>
          <w:sz w:val="24"/>
          <w:szCs w:val="24"/>
          <w:lang w:bidi="ar-KW"/>
        </w:rPr>
        <w:t>Bench Mark is a fixed point of reference, and its usual form is a triple arrow pointing upwards to a horizontal groove, the centre is the known level above Ordnance Survey</w:t>
      </w:r>
      <w:r w:rsidR="00EB2695">
        <w:rPr>
          <w:rFonts w:asciiTheme="majorBidi" w:hAnsiTheme="majorBidi" w:cstheme="majorBidi"/>
          <w:sz w:val="24"/>
          <w:szCs w:val="24"/>
          <w:lang w:bidi="ar-KW"/>
        </w:rPr>
        <w:t xml:space="preserve"> </w:t>
      </w:r>
      <w:r w:rsidR="000E750C" w:rsidRPr="000E750C">
        <w:rPr>
          <w:rFonts w:asciiTheme="majorBidi" w:hAnsiTheme="majorBidi" w:cstheme="majorBidi"/>
          <w:sz w:val="24"/>
          <w:szCs w:val="24"/>
          <w:lang w:bidi="ar-KW"/>
        </w:rPr>
        <w:t>Datum</w:t>
      </w:r>
      <w:r w:rsidR="00A12183">
        <w:rPr>
          <w:rFonts w:asciiTheme="majorBidi" w:hAnsiTheme="majorBidi" w:cstheme="majorBidi"/>
          <w:sz w:val="24"/>
          <w:szCs w:val="24"/>
          <w:lang w:bidi="ar-KW"/>
        </w:rPr>
        <w:t xml:space="preserve"> or sea level</w:t>
      </w:r>
      <w:r w:rsidR="00EB2695">
        <w:rPr>
          <w:rFonts w:asciiTheme="majorBidi" w:hAnsiTheme="majorBidi" w:cstheme="majorBidi"/>
          <w:sz w:val="24"/>
          <w:szCs w:val="24"/>
          <w:lang w:bidi="ar-KW"/>
        </w:rPr>
        <w:t xml:space="preserve">’ </w:t>
      </w:r>
      <w:r w:rsidR="00EB2695" w:rsidRPr="00EB2695">
        <w:rPr>
          <w:rFonts w:asciiTheme="majorBidi" w:hAnsiTheme="majorBidi" w:cstheme="majorBidi"/>
          <w:noProof/>
          <w:sz w:val="24"/>
          <w:szCs w:val="24"/>
          <w:lang w:bidi="ar-KW"/>
        </w:rPr>
        <w:t>(2014</w:t>
      </w:r>
      <w:r w:rsidR="00EB2695">
        <w:rPr>
          <w:rFonts w:asciiTheme="majorBidi" w:hAnsiTheme="majorBidi" w:cstheme="majorBidi"/>
          <w:noProof/>
          <w:sz w:val="24"/>
          <w:szCs w:val="24"/>
          <w:lang w:bidi="ar-KW"/>
        </w:rPr>
        <w:t>: 97</w:t>
      </w:r>
      <w:r w:rsidR="00EB2695" w:rsidRPr="00EB2695">
        <w:rPr>
          <w:rFonts w:asciiTheme="majorBidi" w:hAnsiTheme="majorBidi" w:cstheme="majorBidi"/>
          <w:noProof/>
          <w:sz w:val="24"/>
          <w:szCs w:val="24"/>
          <w:lang w:bidi="ar-KW"/>
        </w:rPr>
        <w:t>)</w:t>
      </w:r>
      <w:r w:rsidR="00EB2695">
        <w:rPr>
          <w:rFonts w:asciiTheme="majorBidi" w:hAnsiTheme="majorBidi" w:cstheme="majorBidi"/>
          <w:noProof/>
          <w:sz w:val="24"/>
          <w:szCs w:val="24"/>
          <w:lang w:bidi="ar-KW"/>
        </w:rPr>
        <w:t xml:space="preserve">. </w:t>
      </w:r>
      <w:r w:rsidR="007D07E5">
        <w:rPr>
          <w:rFonts w:asciiTheme="majorBidi" w:hAnsiTheme="majorBidi" w:cstheme="majorBidi"/>
          <w:noProof/>
          <w:sz w:val="24"/>
          <w:szCs w:val="24"/>
          <w:lang w:bidi="ar-KW"/>
        </w:rPr>
        <w:t xml:space="preserve">Also, before </w:t>
      </w:r>
      <w:r w:rsidR="002D2E60">
        <w:rPr>
          <w:rFonts w:asciiTheme="majorBidi" w:hAnsiTheme="majorBidi" w:cstheme="majorBidi"/>
          <w:noProof/>
          <w:sz w:val="24"/>
          <w:szCs w:val="24"/>
          <w:lang w:bidi="ar-KW"/>
        </w:rPr>
        <w:t xml:space="preserve">starting a survey or setting </w:t>
      </w:r>
      <w:r w:rsidR="00BA5647">
        <w:rPr>
          <w:rFonts w:asciiTheme="majorBidi" w:hAnsiTheme="majorBidi" w:cstheme="majorBidi"/>
          <w:noProof/>
          <w:sz w:val="24"/>
          <w:szCs w:val="24"/>
          <w:lang w:bidi="ar-KW"/>
        </w:rPr>
        <w:t>out</w:t>
      </w:r>
      <w:r w:rsidR="00F205D4">
        <w:rPr>
          <w:rFonts w:asciiTheme="majorBidi" w:hAnsiTheme="majorBidi" w:cstheme="majorBidi"/>
          <w:noProof/>
          <w:sz w:val="24"/>
          <w:szCs w:val="24"/>
          <w:lang w:bidi="ar-KW"/>
        </w:rPr>
        <w:t xml:space="preserve"> </w:t>
      </w:r>
      <w:r w:rsidR="002D2E60">
        <w:rPr>
          <w:rFonts w:asciiTheme="majorBidi" w:hAnsiTheme="majorBidi" w:cstheme="majorBidi"/>
          <w:noProof/>
          <w:sz w:val="24"/>
          <w:szCs w:val="24"/>
          <w:lang w:bidi="ar-KW"/>
        </w:rPr>
        <w:t xml:space="preserve">a grid, it is </w:t>
      </w:r>
      <w:r w:rsidR="002D2E60">
        <w:rPr>
          <w:rFonts w:asciiTheme="majorBidi" w:hAnsiTheme="majorBidi" w:cstheme="majorBidi"/>
          <w:sz w:val="24"/>
          <w:szCs w:val="24"/>
          <w:lang w:bidi="ar-KW"/>
        </w:rPr>
        <w:t>important</w:t>
      </w:r>
      <w:r w:rsidR="002D2E60">
        <w:rPr>
          <w:rFonts w:asciiTheme="majorBidi" w:hAnsiTheme="majorBidi" w:cstheme="majorBidi"/>
          <w:noProof/>
          <w:sz w:val="24"/>
          <w:szCs w:val="24"/>
          <w:lang w:bidi="ar-KW"/>
        </w:rPr>
        <w:t xml:space="preserve"> to locate</w:t>
      </w:r>
      <w:r w:rsidR="00BA5647">
        <w:rPr>
          <w:rFonts w:asciiTheme="majorBidi" w:hAnsiTheme="majorBidi" w:cstheme="majorBidi"/>
          <w:noProof/>
          <w:sz w:val="24"/>
          <w:szCs w:val="24"/>
          <w:lang w:bidi="ar-KW"/>
        </w:rPr>
        <w:t xml:space="preserve"> a</w:t>
      </w:r>
      <w:r w:rsidR="002D2E60">
        <w:rPr>
          <w:rFonts w:asciiTheme="majorBidi" w:hAnsiTheme="majorBidi" w:cstheme="majorBidi"/>
          <w:noProof/>
          <w:sz w:val="24"/>
          <w:szCs w:val="24"/>
          <w:lang w:bidi="ar-KW"/>
        </w:rPr>
        <w:t xml:space="preserve"> Bench Mark</w:t>
      </w:r>
      <w:r w:rsidR="00DE3B88">
        <w:rPr>
          <w:rFonts w:asciiTheme="majorBidi" w:hAnsiTheme="majorBidi" w:cstheme="majorBidi"/>
          <w:noProof/>
          <w:sz w:val="24"/>
          <w:szCs w:val="24"/>
          <w:lang w:bidi="ar-KW"/>
        </w:rPr>
        <w:t xml:space="preserve"> or to know </w:t>
      </w:r>
      <w:r w:rsidR="00CD5B5F">
        <w:rPr>
          <w:rFonts w:asciiTheme="majorBidi" w:hAnsiTheme="majorBidi" w:cstheme="majorBidi"/>
          <w:noProof/>
          <w:sz w:val="24"/>
          <w:szCs w:val="24"/>
          <w:lang w:bidi="ar-KW"/>
        </w:rPr>
        <w:t>a</w:t>
      </w:r>
      <w:r w:rsidR="00DE3B88">
        <w:rPr>
          <w:rFonts w:asciiTheme="majorBidi" w:hAnsiTheme="majorBidi" w:cstheme="majorBidi"/>
          <w:noProof/>
          <w:sz w:val="24"/>
          <w:szCs w:val="24"/>
          <w:lang w:bidi="ar-KW"/>
        </w:rPr>
        <w:t xml:space="preserve"> </w:t>
      </w:r>
      <w:r w:rsidR="00BA5647">
        <w:rPr>
          <w:rFonts w:asciiTheme="majorBidi" w:hAnsiTheme="majorBidi" w:cstheme="majorBidi"/>
          <w:noProof/>
          <w:sz w:val="24"/>
          <w:szCs w:val="24"/>
          <w:lang w:bidi="ar-KW"/>
        </w:rPr>
        <w:t>point</w:t>
      </w:r>
      <w:r w:rsidR="00DE3B88">
        <w:rPr>
          <w:rFonts w:asciiTheme="majorBidi" w:hAnsiTheme="majorBidi" w:cstheme="majorBidi"/>
          <w:noProof/>
          <w:sz w:val="24"/>
          <w:szCs w:val="24"/>
          <w:lang w:bidi="ar-KW"/>
        </w:rPr>
        <w:t xml:space="preserve">’s height </w:t>
      </w:r>
      <w:r w:rsidR="00DE3B88">
        <w:rPr>
          <w:rFonts w:asciiTheme="majorBidi" w:hAnsiTheme="majorBidi" w:cstheme="majorBidi"/>
          <w:noProof/>
          <w:sz w:val="24"/>
          <w:szCs w:val="24"/>
          <w:lang w:bidi="ar-KW"/>
        </w:rPr>
        <w:lastRenderedPageBreak/>
        <w:t xml:space="preserve">comparing </w:t>
      </w:r>
      <w:r w:rsidR="00FB261B">
        <w:rPr>
          <w:rFonts w:asciiTheme="majorBidi" w:hAnsiTheme="majorBidi" w:cstheme="majorBidi"/>
          <w:noProof/>
          <w:sz w:val="24"/>
          <w:szCs w:val="24"/>
          <w:lang w:bidi="ar-KW"/>
        </w:rPr>
        <w:t>to</w:t>
      </w:r>
      <w:r w:rsidR="00DE3B88">
        <w:rPr>
          <w:rFonts w:asciiTheme="majorBidi" w:hAnsiTheme="majorBidi" w:cstheme="majorBidi"/>
          <w:noProof/>
          <w:sz w:val="24"/>
          <w:szCs w:val="24"/>
          <w:lang w:bidi="ar-KW"/>
        </w:rPr>
        <w:t xml:space="preserve"> sea level</w:t>
      </w:r>
      <w:r w:rsidR="002D2E60">
        <w:rPr>
          <w:rFonts w:asciiTheme="majorBidi" w:hAnsiTheme="majorBidi" w:cstheme="majorBidi"/>
          <w:noProof/>
          <w:sz w:val="24"/>
          <w:szCs w:val="24"/>
          <w:lang w:bidi="ar-KW"/>
        </w:rPr>
        <w:t>.</w:t>
      </w:r>
      <w:r w:rsidR="00A71A84">
        <w:rPr>
          <w:rFonts w:asciiTheme="majorBidi" w:hAnsiTheme="majorBidi" w:cstheme="majorBidi"/>
          <w:noProof/>
          <w:sz w:val="24"/>
          <w:szCs w:val="24"/>
          <w:lang w:bidi="ar-KW"/>
        </w:rPr>
        <w:t xml:space="preserve"> </w:t>
      </w:r>
      <w:r w:rsidR="00CC75C3">
        <w:rPr>
          <w:rFonts w:asciiTheme="majorBidi" w:hAnsiTheme="majorBidi" w:cstheme="majorBidi"/>
          <w:noProof/>
          <w:sz w:val="24"/>
          <w:szCs w:val="24"/>
          <w:lang w:bidi="ar-KW"/>
        </w:rPr>
        <w:t>Furthermore, Dr Martin have explained how to set out a grid using geomety</w:t>
      </w:r>
      <w:bookmarkStart w:id="1" w:name="_GoBack"/>
      <w:bookmarkEnd w:id="1"/>
    </w:p>
    <w:p w14:paraId="6F502CB1" w14:textId="77777777" w:rsidR="00F7540D" w:rsidRPr="00F7540D" w:rsidRDefault="00F7540D" w:rsidP="00F7540D">
      <w:pPr>
        <w:spacing w:line="480" w:lineRule="auto"/>
        <w:rPr>
          <w:rFonts w:asciiTheme="majorBidi" w:hAnsiTheme="majorBidi" w:cstheme="majorBidi"/>
          <w:sz w:val="24"/>
          <w:szCs w:val="24"/>
          <w:lang w:bidi="ar-KW"/>
        </w:rPr>
      </w:pPr>
    </w:p>
    <w:sdt>
      <w:sdtPr>
        <w:rPr>
          <w:rFonts w:asciiTheme="minorHAnsi" w:eastAsiaTheme="minorHAnsi" w:hAnsiTheme="minorHAnsi" w:cstheme="minorBidi"/>
          <w:color w:val="auto"/>
          <w:sz w:val="22"/>
          <w:szCs w:val="22"/>
          <w:lang w:val="en-GB"/>
        </w:rPr>
        <w:id w:val="618106158"/>
        <w:docPartObj>
          <w:docPartGallery w:val="Bibliographies"/>
          <w:docPartUnique/>
        </w:docPartObj>
      </w:sdtPr>
      <w:sdtEndPr/>
      <w:sdtContent>
        <w:p w14:paraId="7CAE563E" w14:textId="1955FA2F" w:rsidR="00F7540D" w:rsidRDefault="00F7540D">
          <w:pPr>
            <w:pStyle w:val="Heading1"/>
          </w:pPr>
          <w:r>
            <w:t>References</w:t>
          </w:r>
        </w:p>
        <w:sdt>
          <w:sdtPr>
            <w:id w:val="-573587230"/>
            <w:bibliography/>
          </w:sdtPr>
          <w:sdtEndPr/>
          <w:sdtContent>
            <w:p w14:paraId="7E4813F8" w14:textId="77777777" w:rsidR="002D2E60" w:rsidRDefault="00F7540D" w:rsidP="002D2E60">
              <w:pPr>
                <w:pStyle w:val="Bibliography"/>
                <w:rPr>
                  <w:noProof/>
                  <w:sz w:val="24"/>
                  <w:szCs w:val="24"/>
                  <w:lang w:val="en-US"/>
                </w:rPr>
              </w:pPr>
              <w:r>
                <w:fldChar w:fldCharType="begin"/>
              </w:r>
              <w:r>
                <w:instrText xml:space="preserve"> BIBLIOGRAPHY </w:instrText>
              </w:r>
              <w:r>
                <w:fldChar w:fldCharType="separate"/>
              </w:r>
              <w:r w:rsidR="002D2E60">
                <w:rPr>
                  <w:noProof/>
                  <w:lang w:val="en-US"/>
                </w:rPr>
                <w:t xml:space="preserve">Bowen, A. &amp; Pallister, J., 2004. </w:t>
              </w:r>
              <w:r w:rsidR="002D2E60">
                <w:rPr>
                  <w:i/>
                  <w:iCs/>
                  <w:noProof/>
                  <w:lang w:val="en-US"/>
                </w:rPr>
                <w:t xml:space="preserve">Geography 360°. </w:t>
              </w:r>
              <w:r w:rsidR="002D2E60">
                <w:rPr>
                  <w:noProof/>
                  <w:lang w:val="en-US"/>
                </w:rPr>
                <w:t>1st ed. Oxford: Heinemann.</w:t>
              </w:r>
            </w:p>
            <w:p w14:paraId="2E330097" w14:textId="77777777" w:rsidR="002D2E60" w:rsidRDefault="002D2E60" w:rsidP="002D2E60">
              <w:pPr>
                <w:pStyle w:val="Bibliography"/>
                <w:rPr>
                  <w:noProof/>
                  <w:lang w:val="en-US"/>
                </w:rPr>
              </w:pPr>
              <w:r>
                <w:rPr>
                  <w:noProof/>
                  <w:lang w:val="en-US"/>
                </w:rPr>
                <w:t xml:space="preserve">Coles, J., 2014. </w:t>
              </w:r>
              <w:r>
                <w:rPr>
                  <w:i/>
                  <w:iCs/>
                  <w:noProof/>
                  <w:lang w:val="en-US"/>
                </w:rPr>
                <w:t xml:space="preserve">Field Archaeology in Britain. </w:t>
              </w:r>
              <w:r>
                <w:rPr>
                  <w:noProof/>
                  <w:lang w:val="en-US"/>
                </w:rPr>
                <w:t>1st ed. London: Routledge.</w:t>
              </w:r>
            </w:p>
            <w:p w14:paraId="75AA5F1E" w14:textId="77777777" w:rsidR="002D2E60" w:rsidRDefault="002D2E60" w:rsidP="002D2E60">
              <w:pPr>
                <w:pStyle w:val="Bibliography"/>
                <w:rPr>
                  <w:noProof/>
                  <w:lang w:val="en-US"/>
                </w:rPr>
              </w:pPr>
              <w:r>
                <w:rPr>
                  <w:noProof/>
                  <w:lang w:val="en-US"/>
                </w:rPr>
                <w:t xml:space="preserve">Grant, J., Gorin, S. &amp; Fleming, N., 2005. </w:t>
              </w:r>
              <w:r>
                <w:rPr>
                  <w:i/>
                  <w:iCs/>
                  <w:noProof/>
                  <w:lang w:val="en-US"/>
                </w:rPr>
                <w:t xml:space="preserve">The Archaeology Coursebook: An Introduction to Study Skills, Topics and Methods. </w:t>
              </w:r>
              <w:r>
                <w:rPr>
                  <w:noProof/>
                  <w:lang w:val="en-US"/>
                </w:rPr>
                <w:t>1st ed. London: Routledge.</w:t>
              </w:r>
            </w:p>
            <w:p w14:paraId="240FFFEE" w14:textId="77777777" w:rsidR="002D2E60" w:rsidRDefault="002D2E60" w:rsidP="002D2E60">
              <w:pPr>
                <w:pStyle w:val="Bibliography"/>
                <w:rPr>
                  <w:noProof/>
                  <w:lang w:val="en-US"/>
                </w:rPr>
              </w:pPr>
              <w:r>
                <w:rPr>
                  <w:noProof/>
                  <w:lang w:val="en-US"/>
                </w:rPr>
                <w:t xml:space="preserve">Greene, K., 1999. </w:t>
              </w:r>
              <w:r>
                <w:rPr>
                  <w:i/>
                  <w:iCs/>
                  <w:noProof/>
                  <w:lang w:val="en-US"/>
                </w:rPr>
                <w:t xml:space="preserve">Archaeology; An Intoduction. </w:t>
              </w:r>
              <w:r>
                <w:rPr>
                  <w:noProof/>
                  <w:lang w:val="en-US"/>
                </w:rPr>
                <w:t>3rd ed. United States: University of Pennsylvaia Press.</w:t>
              </w:r>
            </w:p>
            <w:p w14:paraId="14DA1505" w14:textId="77777777" w:rsidR="002D2E60" w:rsidRDefault="002D2E60" w:rsidP="002D2E60">
              <w:pPr>
                <w:pStyle w:val="Bibliography"/>
                <w:rPr>
                  <w:noProof/>
                  <w:lang w:val="en-US"/>
                </w:rPr>
              </w:pPr>
              <w:r>
                <w:rPr>
                  <w:noProof/>
                  <w:lang w:val="en-US"/>
                </w:rPr>
                <w:t xml:space="preserve">Rapp, G. R. &amp; Hill, C. L., 2006. </w:t>
              </w:r>
              <w:r>
                <w:rPr>
                  <w:i/>
                  <w:iCs/>
                  <w:noProof/>
                  <w:lang w:val="en-US"/>
                </w:rPr>
                <w:t xml:space="preserve">Geoarchaeology: The Earth-science Approach to Archaeological Interpretation. </w:t>
              </w:r>
              <w:r>
                <w:rPr>
                  <w:noProof/>
                  <w:lang w:val="en-US"/>
                </w:rPr>
                <w:t>2nd ed. Yale: Yale University Press.</w:t>
              </w:r>
            </w:p>
            <w:p w14:paraId="0D652634" w14:textId="77777777" w:rsidR="002D2E60" w:rsidRDefault="002D2E60" w:rsidP="002D2E60">
              <w:pPr>
                <w:pStyle w:val="Bibliography"/>
                <w:rPr>
                  <w:noProof/>
                  <w:lang w:val="en-US"/>
                </w:rPr>
              </w:pPr>
              <w:r>
                <w:rPr>
                  <w:noProof/>
                  <w:lang w:val="en-US"/>
                </w:rPr>
                <w:t xml:space="preserve">Wilkinson, P., 2007. </w:t>
              </w:r>
              <w:r>
                <w:rPr>
                  <w:i/>
                  <w:iCs/>
                  <w:noProof/>
                  <w:lang w:val="en-US"/>
                </w:rPr>
                <w:t xml:space="preserve">Archaeology: What it Is, where it Is, and how to Do it?. </w:t>
              </w:r>
              <w:r>
                <w:rPr>
                  <w:noProof/>
                  <w:lang w:val="en-US"/>
                </w:rPr>
                <w:t>1st ed. Oxford: Archaeopress.</w:t>
              </w:r>
            </w:p>
            <w:p w14:paraId="472F7C23" w14:textId="3BD5EF9C" w:rsidR="00F7540D" w:rsidRDefault="00F7540D" w:rsidP="002D2E60">
              <w:r>
                <w:rPr>
                  <w:b/>
                  <w:bCs/>
                  <w:noProof/>
                </w:rPr>
                <w:fldChar w:fldCharType="end"/>
              </w:r>
            </w:p>
          </w:sdtContent>
        </w:sdt>
      </w:sdtContent>
    </w:sdt>
    <w:bookmarkEnd w:id="0"/>
    <w:p w14:paraId="564C198C" w14:textId="322B92E6" w:rsidR="00110A8F" w:rsidRPr="00F7540D" w:rsidRDefault="00110A8F" w:rsidP="00F7540D">
      <w:pPr>
        <w:spacing w:line="480" w:lineRule="auto"/>
        <w:rPr>
          <w:rFonts w:asciiTheme="majorBidi" w:hAnsiTheme="majorBidi" w:cstheme="majorBidi"/>
          <w:sz w:val="24"/>
          <w:szCs w:val="24"/>
          <w:lang w:bidi="ar-KW"/>
        </w:rPr>
      </w:pPr>
    </w:p>
    <w:sectPr w:rsidR="00110A8F" w:rsidRPr="00F7540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FA8D15" w14:textId="77777777" w:rsidR="0058209B" w:rsidRDefault="0058209B" w:rsidP="00CF7F75">
      <w:pPr>
        <w:spacing w:after="0" w:line="240" w:lineRule="auto"/>
      </w:pPr>
      <w:r>
        <w:separator/>
      </w:r>
    </w:p>
  </w:endnote>
  <w:endnote w:type="continuationSeparator" w:id="0">
    <w:p w14:paraId="28BA4660" w14:textId="77777777" w:rsidR="0058209B" w:rsidRDefault="0058209B" w:rsidP="00CF7F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43749251"/>
      <w:docPartObj>
        <w:docPartGallery w:val="Page Numbers (Bottom of Page)"/>
        <w:docPartUnique/>
      </w:docPartObj>
    </w:sdtPr>
    <w:sdtEndPr>
      <w:rPr>
        <w:noProof/>
      </w:rPr>
    </w:sdtEndPr>
    <w:sdtContent>
      <w:p w14:paraId="2FB88FA6" w14:textId="7A740668" w:rsidR="00CF7F75" w:rsidRDefault="00CF7F7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E2CF36" w14:textId="77777777" w:rsidR="00CF7F75" w:rsidRDefault="00CF7F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10FD00" w14:textId="77777777" w:rsidR="0058209B" w:rsidRDefault="0058209B" w:rsidP="00CF7F75">
      <w:pPr>
        <w:spacing w:after="0" w:line="240" w:lineRule="auto"/>
      </w:pPr>
      <w:r>
        <w:separator/>
      </w:r>
    </w:p>
  </w:footnote>
  <w:footnote w:type="continuationSeparator" w:id="0">
    <w:p w14:paraId="50422567" w14:textId="77777777" w:rsidR="0058209B" w:rsidRDefault="0058209B" w:rsidP="00CF7F7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73C"/>
    <w:rsid w:val="00003CAF"/>
    <w:rsid w:val="00052D3D"/>
    <w:rsid w:val="00075B82"/>
    <w:rsid w:val="00094EC6"/>
    <w:rsid w:val="000D2DAD"/>
    <w:rsid w:val="000E4B70"/>
    <w:rsid w:val="000E654C"/>
    <w:rsid w:val="000E750C"/>
    <w:rsid w:val="000F24B2"/>
    <w:rsid w:val="000F4774"/>
    <w:rsid w:val="000F4906"/>
    <w:rsid w:val="00110A8F"/>
    <w:rsid w:val="00115BA0"/>
    <w:rsid w:val="00136C80"/>
    <w:rsid w:val="00145BDE"/>
    <w:rsid w:val="00152753"/>
    <w:rsid w:val="0015762B"/>
    <w:rsid w:val="001A2912"/>
    <w:rsid w:val="001F3EE3"/>
    <w:rsid w:val="001F4D53"/>
    <w:rsid w:val="00241EC0"/>
    <w:rsid w:val="0026716E"/>
    <w:rsid w:val="002D2977"/>
    <w:rsid w:val="002D2E60"/>
    <w:rsid w:val="002D61D2"/>
    <w:rsid w:val="0032497E"/>
    <w:rsid w:val="00326DCC"/>
    <w:rsid w:val="003356EC"/>
    <w:rsid w:val="003577F0"/>
    <w:rsid w:val="00366D71"/>
    <w:rsid w:val="00385B76"/>
    <w:rsid w:val="003A6CFE"/>
    <w:rsid w:val="003C52DD"/>
    <w:rsid w:val="003D1F6A"/>
    <w:rsid w:val="003E18A8"/>
    <w:rsid w:val="003E5082"/>
    <w:rsid w:val="00441871"/>
    <w:rsid w:val="00443773"/>
    <w:rsid w:val="004A71B0"/>
    <w:rsid w:val="004F43FE"/>
    <w:rsid w:val="00504906"/>
    <w:rsid w:val="0051095E"/>
    <w:rsid w:val="00550A9B"/>
    <w:rsid w:val="0058209B"/>
    <w:rsid w:val="005F0C07"/>
    <w:rsid w:val="00630E40"/>
    <w:rsid w:val="00662C60"/>
    <w:rsid w:val="006777A9"/>
    <w:rsid w:val="0068780E"/>
    <w:rsid w:val="00713ECC"/>
    <w:rsid w:val="007403A1"/>
    <w:rsid w:val="00794D9D"/>
    <w:rsid w:val="007A1D64"/>
    <w:rsid w:val="007B304F"/>
    <w:rsid w:val="007B5200"/>
    <w:rsid w:val="007C1906"/>
    <w:rsid w:val="007D07E5"/>
    <w:rsid w:val="008139C5"/>
    <w:rsid w:val="00833269"/>
    <w:rsid w:val="00885809"/>
    <w:rsid w:val="00885AF2"/>
    <w:rsid w:val="008B0F64"/>
    <w:rsid w:val="008C64BE"/>
    <w:rsid w:val="008D044B"/>
    <w:rsid w:val="008D149F"/>
    <w:rsid w:val="008E250D"/>
    <w:rsid w:val="008F1AAF"/>
    <w:rsid w:val="00924551"/>
    <w:rsid w:val="009A24AD"/>
    <w:rsid w:val="009C13D2"/>
    <w:rsid w:val="009F7BB1"/>
    <w:rsid w:val="00A0521F"/>
    <w:rsid w:val="00A12183"/>
    <w:rsid w:val="00A16929"/>
    <w:rsid w:val="00A52740"/>
    <w:rsid w:val="00A71A84"/>
    <w:rsid w:val="00A84774"/>
    <w:rsid w:val="00A94810"/>
    <w:rsid w:val="00AA2F52"/>
    <w:rsid w:val="00B20A95"/>
    <w:rsid w:val="00B324B2"/>
    <w:rsid w:val="00B37458"/>
    <w:rsid w:val="00B461DF"/>
    <w:rsid w:val="00BA5647"/>
    <w:rsid w:val="00C1092F"/>
    <w:rsid w:val="00C16191"/>
    <w:rsid w:val="00C51D50"/>
    <w:rsid w:val="00C953AE"/>
    <w:rsid w:val="00CA473C"/>
    <w:rsid w:val="00CC75C3"/>
    <w:rsid w:val="00CD2ABB"/>
    <w:rsid w:val="00CD3AE8"/>
    <w:rsid w:val="00CD5B5F"/>
    <w:rsid w:val="00CF1E10"/>
    <w:rsid w:val="00CF7F75"/>
    <w:rsid w:val="00D22378"/>
    <w:rsid w:val="00D31709"/>
    <w:rsid w:val="00D90B62"/>
    <w:rsid w:val="00D97370"/>
    <w:rsid w:val="00DA664E"/>
    <w:rsid w:val="00DB2D14"/>
    <w:rsid w:val="00DE3B88"/>
    <w:rsid w:val="00DF7E46"/>
    <w:rsid w:val="00E0279D"/>
    <w:rsid w:val="00E265F5"/>
    <w:rsid w:val="00E64F32"/>
    <w:rsid w:val="00E7009B"/>
    <w:rsid w:val="00E85738"/>
    <w:rsid w:val="00E85AD0"/>
    <w:rsid w:val="00E86709"/>
    <w:rsid w:val="00E93CA7"/>
    <w:rsid w:val="00EB2695"/>
    <w:rsid w:val="00EC38FE"/>
    <w:rsid w:val="00ED0B9E"/>
    <w:rsid w:val="00EE7A0E"/>
    <w:rsid w:val="00EF5F50"/>
    <w:rsid w:val="00F205D4"/>
    <w:rsid w:val="00F20D98"/>
    <w:rsid w:val="00F406BF"/>
    <w:rsid w:val="00F57915"/>
    <w:rsid w:val="00F7540D"/>
    <w:rsid w:val="00FB261B"/>
    <w:rsid w:val="00FB34B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32649"/>
  <w15:chartTrackingRefBased/>
  <w15:docId w15:val="{6F86A7F5-5019-4089-A3D3-2C1C56266D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0D9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F7F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7F75"/>
  </w:style>
  <w:style w:type="paragraph" w:styleId="Footer">
    <w:name w:val="footer"/>
    <w:basedOn w:val="Normal"/>
    <w:link w:val="FooterChar"/>
    <w:uiPriority w:val="99"/>
    <w:unhideWhenUsed/>
    <w:rsid w:val="00CF7F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7F75"/>
  </w:style>
  <w:style w:type="character" w:customStyle="1" w:styleId="Heading1Char">
    <w:name w:val="Heading 1 Char"/>
    <w:basedOn w:val="DefaultParagraphFont"/>
    <w:link w:val="Heading1"/>
    <w:uiPriority w:val="9"/>
    <w:rsid w:val="00F20D9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20D98"/>
  </w:style>
  <w:style w:type="paragraph" w:styleId="Caption">
    <w:name w:val="caption"/>
    <w:basedOn w:val="Normal"/>
    <w:next w:val="Normal"/>
    <w:uiPriority w:val="35"/>
    <w:unhideWhenUsed/>
    <w:qFormat/>
    <w:rsid w:val="00885809"/>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527660">
      <w:bodyDiv w:val="1"/>
      <w:marLeft w:val="0"/>
      <w:marRight w:val="0"/>
      <w:marTop w:val="0"/>
      <w:marBottom w:val="0"/>
      <w:divBdr>
        <w:top w:val="none" w:sz="0" w:space="0" w:color="auto"/>
        <w:left w:val="none" w:sz="0" w:space="0" w:color="auto"/>
        <w:bottom w:val="none" w:sz="0" w:space="0" w:color="auto"/>
        <w:right w:val="none" w:sz="0" w:space="0" w:color="auto"/>
      </w:divBdr>
    </w:div>
    <w:div w:id="92096712">
      <w:bodyDiv w:val="1"/>
      <w:marLeft w:val="0"/>
      <w:marRight w:val="0"/>
      <w:marTop w:val="0"/>
      <w:marBottom w:val="0"/>
      <w:divBdr>
        <w:top w:val="none" w:sz="0" w:space="0" w:color="auto"/>
        <w:left w:val="none" w:sz="0" w:space="0" w:color="auto"/>
        <w:bottom w:val="none" w:sz="0" w:space="0" w:color="auto"/>
        <w:right w:val="none" w:sz="0" w:space="0" w:color="auto"/>
      </w:divBdr>
    </w:div>
    <w:div w:id="275794032">
      <w:bodyDiv w:val="1"/>
      <w:marLeft w:val="0"/>
      <w:marRight w:val="0"/>
      <w:marTop w:val="0"/>
      <w:marBottom w:val="0"/>
      <w:divBdr>
        <w:top w:val="none" w:sz="0" w:space="0" w:color="auto"/>
        <w:left w:val="none" w:sz="0" w:space="0" w:color="auto"/>
        <w:bottom w:val="none" w:sz="0" w:space="0" w:color="auto"/>
        <w:right w:val="none" w:sz="0" w:space="0" w:color="auto"/>
      </w:divBdr>
      <w:divsChild>
        <w:div w:id="1674142971">
          <w:marLeft w:val="547"/>
          <w:marRight w:val="0"/>
          <w:marTop w:val="154"/>
          <w:marBottom w:val="0"/>
          <w:divBdr>
            <w:top w:val="none" w:sz="0" w:space="0" w:color="auto"/>
            <w:left w:val="none" w:sz="0" w:space="0" w:color="auto"/>
            <w:bottom w:val="none" w:sz="0" w:space="0" w:color="auto"/>
            <w:right w:val="none" w:sz="0" w:space="0" w:color="auto"/>
          </w:divBdr>
        </w:div>
        <w:div w:id="131794716">
          <w:marLeft w:val="547"/>
          <w:marRight w:val="0"/>
          <w:marTop w:val="154"/>
          <w:marBottom w:val="0"/>
          <w:divBdr>
            <w:top w:val="none" w:sz="0" w:space="0" w:color="auto"/>
            <w:left w:val="none" w:sz="0" w:space="0" w:color="auto"/>
            <w:bottom w:val="none" w:sz="0" w:space="0" w:color="auto"/>
            <w:right w:val="none" w:sz="0" w:space="0" w:color="auto"/>
          </w:divBdr>
        </w:div>
        <w:div w:id="1754357615">
          <w:marLeft w:val="547"/>
          <w:marRight w:val="0"/>
          <w:marTop w:val="154"/>
          <w:marBottom w:val="0"/>
          <w:divBdr>
            <w:top w:val="none" w:sz="0" w:space="0" w:color="auto"/>
            <w:left w:val="none" w:sz="0" w:space="0" w:color="auto"/>
            <w:bottom w:val="none" w:sz="0" w:space="0" w:color="auto"/>
            <w:right w:val="none" w:sz="0" w:space="0" w:color="auto"/>
          </w:divBdr>
        </w:div>
        <w:div w:id="1077634419">
          <w:marLeft w:val="547"/>
          <w:marRight w:val="0"/>
          <w:marTop w:val="154"/>
          <w:marBottom w:val="0"/>
          <w:divBdr>
            <w:top w:val="none" w:sz="0" w:space="0" w:color="auto"/>
            <w:left w:val="none" w:sz="0" w:space="0" w:color="auto"/>
            <w:bottom w:val="none" w:sz="0" w:space="0" w:color="auto"/>
            <w:right w:val="none" w:sz="0" w:space="0" w:color="auto"/>
          </w:divBdr>
        </w:div>
      </w:divsChild>
    </w:div>
    <w:div w:id="355237099">
      <w:bodyDiv w:val="1"/>
      <w:marLeft w:val="0"/>
      <w:marRight w:val="0"/>
      <w:marTop w:val="0"/>
      <w:marBottom w:val="0"/>
      <w:divBdr>
        <w:top w:val="none" w:sz="0" w:space="0" w:color="auto"/>
        <w:left w:val="none" w:sz="0" w:space="0" w:color="auto"/>
        <w:bottom w:val="none" w:sz="0" w:space="0" w:color="auto"/>
        <w:right w:val="none" w:sz="0" w:space="0" w:color="auto"/>
      </w:divBdr>
    </w:div>
    <w:div w:id="660426034">
      <w:bodyDiv w:val="1"/>
      <w:marLeft w:val="0"/>
      <w:marRight w:val="0"/>
      <w:marTop w:val="0"/>
      <w:marBottom w:val="0"/>
      <w:divBdr>
        <w:top w:val="none" w:sz="0" w:space="0" w:color="auto"/>
        <w:left w:val="none" w:sz="0" w:space="0" w:color="auto"/>
        <w:bottom w:val="none" w:sz="0" w:space="0" w:color="auto"/>
        <w:right w:val="none" w:sz="0" w:space="0" w:color="auto"/>
      </w:divBdr>
    </w:div>
    <w:div w:id="663626054">
      <w:bodyDiv w:val="1"/>
      <w:marLeft w:val="0"/>
      <w:marRight w:val="0"/>
      <w:marTop w:val="0"/>
      <w:marBottom w:val="0"/>
      <w:divBdr>
        <w:top w:val="none" w:sz="0" w:space="0" w:color="auto"/>
        <w:left w:val="none" w:sz="0" w:space="0" w:color="auto"/>
        <w:bottom w:val="none" w:sz="0" w:space="0" w:color="auto"/>
        <w:right w:val="none" w:sz="0" w:space="0" w:color="auto"/>
      </w:divBdr>
    </w:div>
    <w:div w:id="892623180">
      <w:bodyDiv w:val="1"/>
      <w:marLeft w:val="0"/>
      <w:marRight w:val="0"/>
      <w:marTop w:val="0"/>
      <w:marBottom w:val="0"/>
      <w:divBdr>
        <w:top w:val="none" w:sz="0" w:space="0" w:color="auto"/>
        <w:left w:val="none" w:sz="0" w:space="0" w:color="auto"/>
        <w:bottom w:val="none" w:sz="0" w:space="0" w:color="auto"/>
        <w:right w:val="none" w:sz="0" w:space="0" w:color="auto"/>
      </w:divBdr>
    </w:div>
    <w:div w:id="943150050">
      <w:bodyDiv w:val="1"/>
      <w:marLeft w:val="0"/>
      <w:marRight w:val="0"/>
      <w:marTop w:val="0"/>
      <w:marBottom w:val="0"/>
      <w:divBdr>
        <w:top w:val="none" w:sz="0" w:space="0" w:color="auto"/>
        <w:left w:val="none" w:sz="0" w:space="0" w:color="auto"/>
        <w:bottom w:val="none" w:sz="0" w:space="0" w:color="auto"/>
        <w:right w:val="none" w:sz="0" w:space="0" w:color="auto"/>
      </w:divBdr>
    </w:div>
    <w:div w:id="1190794928">
      <w:bodyDiv w:val="1"/>
      <w:marLeft w:val="0"/>
      <w:marRight w:val="0"/>
      <w:marTop w:val="0"/>
      <w:marBottom w:val="0"/>
      <w:divBdr>
        <w:top w:val="none" w:sz="0" w:space="0" w:color="auto"/>
        <w:left w:val="none" w:sz="0" w:space="0" w:color="auto"/>
        <w:bottom w:val="none" w:sz="0" w:space="0" w:color="auto"/>
        <w:right w:val="none" w:sz="0" w:space="0" w:color="auto"/>
      </w:divBdr>
    </w:div>
    <w:div w:id="1279069715">
      <w:bodyDiv w:val="1"/>
      <w:marLeft w:val="0"/>
      <w:marRight w:val="0"/>
      <w:marTop w:val="0"/>
      <w:marBottom w:val="0"/>
      <w:divBdr>
        <w:top w:val="none" w:sz="0" w:space="0" w:color="auto"/>
        <w:left w:val="none" w:sz="0" w:space="0" w:color="auto"/>
        <w:bottom w:val="none" w:sz="0" w:space="0" w:color="auto"/>
        <w:right w:val="none" w:sz="0" w:space="0" w:color="auto"/>
      </w:divBdr>
    </w:div>
    <w:div w:id="1352222857">
      <w:bodyDiv w:val="1"/>
      <w:marLeft w:val="0"/>
      <w:marRight w:val="0"/>
      <w:marTop w:val="0"/>
      <w:marBottom w:val="0"/>
      <w:divBdr>
        <w:top w:val="none" w:sz="0" w:space="0" w:color="auto"/>
        <w:left w:val="none" w:sz="0" w:space="0" w:color="auto"/>
        <w:bottom w:val="none" w:sz="0" w:space="0" w:color="auto"/>
        <w:right w:val="none" w:sz="0" w:space="0" w:color="auto"/>
      </w:divBdr>
    </w:div>
    <w:div w:id="1382246870">
      <w:bodyDiv w:val="1"/>
      <w:marLeft w:val="0"/>
      <w:marRight w:val="0"/>
      <w:marTop w:val="0"/>
      <w:marBottom w:val="0"/>
      <w:divBdr>
        <w:top w:val="none" w:sz="0" w:space="0" w:color="auto"/>
        <w:left w:val="none" w:sz="0" w:space="0" w:color="auto"/>
        <w:bottom w:val="none" w:sz="0" w:space="0" w:color="auto"/>
        <w:right w:val="none" w:sz="0" w:space="0" w:color="auto"/>
      </w:divBdr>
    </w:div>
    <w:div w:id="1459300550">
      <w:bodyDiv w:val="1"/>
      <w:marLeft w:val="0"/>
      <w:marRight w:val="0"/>
      <w:marTop w:val="0"/>
      <w:marBottom w:val="0"/>
      <w:divBdr>
        <w:top w:val="none" w:sz="0" w:space="0" w:color="auto"/>
        <w:left w:val="none" w:sz="0" w:space="0" w:color="auto"/>
        <w:bottom w:val="none" w:sz="0" w:space="0" w:color="auto"/>
        <w:right w:val="none" w:sz="0" w:space="0" w:color="auto"/>
      </w:divBdr>
    </w:div>
    <w:div w:id="1480421864">
      <w:bodyDiv w:val="1"/>
      <w:marLeft w:val="0"/>
      <w:marRight w:val="0"/>
      <w:marTop w:val="0"/>
      <w:marBottom w:val="0"/>
      <w:divBdr>
        <w:top w:val="none" w:sz="0" w:space="0" w:color="auto"/>
        <w:left w:val="none" w:sz="0" w:space="0" w:color="auto"/>
        <w:bottom w:val="none" w:sz="0" w:space="0" w:color="auto"/>
        <w:right w:val="none" w:sz="0" w:space="0" w:color="auto"/>
      </w:divBdr>
    </w:div>
    <w:div w:id="1485508268">
      <w:bodyDiv w:val="1"/>
      <w:marLeft w:val="0"/>
      <w:marRight w:val="0"/>
      <w:marTop w:val="0"/>
      <w:marBottom w:val="0"/>
      <w:divBdr>
        <w:top w:val="none" w:sz="0" w:space="0" w:color="auto"/>
        <w:left w:val="none" w:sz="0" w:space="0" w:color="auto"/>
        <w:bottom w:val="none" w:sz="0" w:space="0" w:color="auto"/>
        <w:right w:val="none" w:sz="0" w:space="0" w:color="auto"/>
      </w:divBdr>
    </w:div>
    <w:div w:id="1648363125">
      <w:bodyDiv w:val="1"/>
      <w:marLeft w:val="0"/>
      <w:marRight w:val="0"/>
      <w:marTop w:val="0"/>
      <w:marBottom w:val="0"/>
      <w:divBdr>
        <w:top w:val="none" w:sz="0" w:space="0" w:color="auto"/>
        <w:left w:val="none" w:sz="0" w:space="0" w:color="auto"/>
        <w:bottom w:val="none" w:sz="0" w:space="0" w:color="auto"/>
        <w:right w:val="none" w:sz="0" w:space="0" w:color="auto"/>
      </w:divBdr>
    </w:div>
    <w:div w:id="1951735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Geo06</b:Tag>
    <b:SourceType>Book</b:SourceType>
    <b:Guid>{ABEC086E-6DF3-4839-965C-7070F4244A2C}</b:Guid>
    <b:Author>
      <b:Author>
        <b:NameList>
          <b:Person>
            <b:Last>Rapp</b:Last>
            <b:First>George</b:First>
            <b:Middle>Robert</b:Middle>
          </b:Person>
          <b:Person>
            <b:Last>Hill</b:Last>
            <b:First>Christopher</b:First>
            <b:Middle>L.</b:Middle>
          </b:Person>
        </b:NameList>
      </b:Author>
    </b:Author>
    <b:Title>Geoarchaeology: The Earth-science Approach to Archaeological Interpretation</b:Title>
    <b:Year>2006</b:Year>
    <b:City>Yale</b:City>
    <b:Publisher>Yale University Press</b:Publisher>
    <b:Edition>2nd</b:Edition>
    <b:RefOrder>1</b:RefOrder>
  </b:Source>
  <b:Source>
    <b:Tag>Jim05</b:Tag>
    <b:SourceType>Book</b:SourceType>
    <b:Guid>{117F1440-70FE-4884-9E16-B8C767FF1C32}</b:Guid>
    <b:Author>
      <b:Author>
        <b:NameList>
          <b:Person>
            <b:Last>Grant</b:Last>
            <b:First>Jim</b:First>
          </b:Person>
          <b:Person>
            <b:Last>Gorin</b:Last>
            <b:First>Sam</b:First>
          </b:Person>
          <b:Person>
            <b:Last>Fleming</b:Last>
            <b:First>Neil</b:First>
          </b:Person>
        </b:NameList>
      </b:Author>
    </b:Author>
    <b:Title>The Archaeology Coursebook: An Introduction to Study Skills, Topics and Methods</b:Title>
    <b:Year>2005</b:Year>
    <b:City>London</b:City>
    <b:Publisher>Routledge</b:Publisher>
    <b:Edition>1st</b:Edition>
    <b:RefOrder>2</b:RefOrder>
  </b:Source>
  <b:Source>
    <b:Tag>Pau07</b:Tag>
    <b:SourceType>Book</b:SourceType>
    <b:Guid>{FD8BC9F1-6460-40B6-A48B-238092A4FE2B}</b:Guid>
    <b:Author>
      <b:Author>
        <b:NameList>
          <b:Person>
            <b:Last>Wilkinson</b:Last>
            <b:First>Paul</b:First>
          </b:Person>
        </b:NameList>
      </b:Author>
    </b:Author>
    <b:Title>Archaeology: What it Is, where it Is, and how to Do it?</b:Title>
    <b:Year>2007</b:Year>
    <b:City>Oxford</b:City>
    <b:Publisher>Archaeopress</b:Publisher>
    <b:Edition>1st</b:Edition>
    <b:RefOrder>3</b:RefOrder>
  </b:Source>
  <b:Source>
    <b:Tag>Ann04</b:Tag>
    <b:SourceType>Book</b:SourceType>
    <b:Guid>{65EC87A5-E174-4201-AFCA-882EE7316A04}</b:Guid>
    <b:Author>
      <b:Author>
        <b:NameList>
          <b:Person>
            <b:Last>Bowen</b:Last>
            <b:First>Ann</b:First>
          </b:Person>
          <b:Person>
            <b:Last>Pallister</b:Last>
            <b:First>John</b:First>
          </b:Person>
        </b:NameList>
      </b:Author>
    </b:Author>
    <b:Title>Geography 360°</b:Title>
    <b:Year>2004</b:Year>
    <b:City>Oxford</b:City>
    <b:Publisher>Heinemann</b:Publisher>
    <b:Edition>1st</b:Edition>
    <b:RefOrder>4</b:RefOrder>
  </b:Source>
  <b:Source>
    <b:Tag>Joh14</b:Tag>
    <b:SourceType>Book</b:SourceType>
    <b:Guid>{B0CB6A63-788A-40A9-AEB5-532181AAA172}</b:Guid>
    <b:Author>
      <b:Author>
        <b:NameList>
          <b:Person>
            <b:Last>Coles</b:Last>
            <b:First>John</b:First>
          </b:Person>
        </b:NameList>
      </b:Author>
    </b:Author>
    <b:Title>Field Archaeology in Britain</b:Title>
    <b:Year>2014</b:Year>
    <b:City>London</b:City>
    <b:Publisher>Routledge</b:Publisher>
    <b:Edition>1st</b:Edition>
    <b:RefOrder>5</b:RefOrder>
  </b:Source>
  <b:Source>
    <b:Tag>Kev99</b:Tag>
    <b:SourceType>Book</b:SourceType>
    <b:Guid>{0AC33DE5-3271-446F-A430-07C16F01F9F7}</b:Guid>
    <b:Author>
      <b:Author>
        <b:NameList>
          <b:Person>
            <b:Last>Greene</b:Last>
            <b:First>Kevin</b:First>
          </b:Person>
        </b:NameList>
      </b:Author>
    </b:Author>
    <b:Title>Archaeology; An Intoduction</b:Title>
    <b:Year>1999</b:Year>
    <b:City>United States</b:City>
    <b:Publisher>University of Pennsylvaia Press</b:Publisher>
    <b:Edition>3rd</b:Edition>
    <b:RefOrder>6</b:RefOrder>
  </b:Source>
</b:Sources>
</file>

<file path=customXml/itemProps1.xml><?xml version="1.0" encoding="utf-8"?>
<ds:datastoreItem xmlns:ds="http://schemas.openxmlformats.org/officeDocument/2006/customXml" ds:itemID="{E2204A69-CBE9-400C-A329-4B205C087D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826</TotalTime>
  <Pages>3</Pages>
  <Words>639</Words>
  <Characters>3645</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Esraa Hussain</dc:creator>
  <cp:keywords/>
  <dc:description/>
  <cp:lastModifiedBy>Esraa Hussain</cp:lastModifiedBy>
  <cp:revision>85</cp:revision>
  <dcterms:created xsi:type="dcterms:W3CDTF">2018-03-25T11:59:00Z</dcterms:created>
  <dcterms:modified xsi:type="dcterms:W3CDTF">2018-03-26T20:33:00Z</dcterms:modified>
</cp:coreProperties>
</file>