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Open Sans;Helvetica Neue;Arial;" w:hAnsi="Open Sans;Helvetica Neue;Arial;"/>
          <w:b/>
          <w:color w:val="373A3C"/>
          <w:sz w:val="19"/>
        </w:rPr>
        <w:id w:val="2063287622"/>
        <w:docPartObj>
          <w:docPartGallery w:val="Cover Pages"/>
          <w:docPartUnique/>
        </w:docPartObj>
      </w:sdtPr>
      <w:sdtEndPr/>
      <w:sdtContent>
        <w:p w:rsidR="0081579B" w:rsidRDefault="001D4AEE">
          <w:pPr>
            <w:rPr>
              <w:rFonts w:ascii="Open Sans;Helvetica Neue;Arial;" w:hAnsi="Open Sans;Helvetica Neue;Arial;"/>
              <w:b/>
              <w:color w:val="373A3C"/>
              <w:sz w:val="19"/>
            </w:rPr>
          </w:pPr>
          <w:r>
            <w:rPr>
              <w:rFonts w:ascii="Open Sans;Helvetica Neue;Arial;" w:hAnsi="Open Sans;Helvetica Neue;Arial;"/>
              <w:b/>
              <w:noProof/>
              <w:color w:val="373A3C"/>
              <w:sz w:val="19"/>
            </w:rPr>
            <mc:AlternateContent>
              <mc:Choice Requires="wps">
                <w:drawing>
                  <wp:anchor distT="0" distB="0" distL="114300" distR="114300" simplePos="0" relativeHeight="251662848" behindDoc="0" locked="0" layoutInCell="1" allowOverlap="1">
                    <wp:simplePos x="0" y="0"/>
                    <wp:positionH relativeFrom="column">
                      <wp:posOffset>-121920</wp:posOffset>
                    </wp:positionH>
                    <wp:positionV relativeFrom="paragraph">
                      <wp:posOffset>4983480</wp:posOffset>
                    </wp:positionV>
                    <wp:extent cx="3230880" cy="266700"/>
                    <wp:effectExtent l="0" t="0" r="0" b="19050"/>
                    <wp:wrapNone/>
                    <wp:docPr id="6" name="Text Box 6"/>
                    <wp:cNvGraphicFramePr/>
                    <a:graphic xmlns:a="http://schemas.openxmlformats.org/drawingml/2006/main">
                      <a:graphicData uri="http://schemas.microsoft.com/office/word/2010/wordprocessingShape">
                        <wps:wsp>
                          <wps:cNvSpPr txBox="1"/>
                          <wps:spPr>
                            <a:xfrm>
                              <a:off x="0" y="0"/>
                              <a:ext cx="3230880" cy="266700"/>
                            </a:xfrm>
                            <a:prstGeom prst="rect">
                              <a:avLst/>
                            </a:prstGeom>
                            <a:solidFill>
                              <a:schemeClr val="lt1">
                                <a:alpha val="41000"/>
                              </a:schemeClr>
                            </a:solidFill>
                            <a:ln w="6350">
                              <a:solidFill>
                                <a:prstClr val="black"/>
                              </a:solidFill>
                            </a:ln>
                            <a:effectLst>
                              <a:softEdge rad="139700"/>
                            </a:effectLst>
                          </wps:spPr>
                          <wps:txbx>
                            <w:txbxContent>
                              <w:p w:rsidR="001D4AEE" w:rsidRDefault="001D4AEE">
                                <w:r w:rsidRPr="001D4AEE">
                                  <w:rPr>
                                    <w14:textFill>
                                      <w14:gradFill>
                                        <w14:gsLst>
                                          <w14:gs w14:pos="45000">
                                            <w14:schemeClr w14:val="accent1">
                                              <w14:lumMod w14:val="5000"/>
                                              <w14:lumOff w14:val="95000"/>
                                            </w14:schemeClr>
                                          </w14:gs>
                                          <w14:gs w14:pos="53000">
                                            <w14:schemeClr w14:val="bg1"/>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Gustav</w:t>
                                </w:r>
                                <w:r>
                                  <w:t xml:space="preserve"> </w:t>
                                </w:r>
                                <w:r w:rsidRPr="001D4AEE">
                                  <w:rPr>
                                    <w:color w:val="FFFFFF" w:themeColor="background1"/>
                                  </w:rPr>
                                  <w:t>Metzger</w:t>
                                </w:r>
                                <w:r w:rsidR="006A1640">
                                  <w:rPr>
                                    <w:color w:val="FFFFFF" w:themeColor="background1"/>
                                  </w:rPr>
                                  <w:t xml:space="preserve">     Source: </w:t>
                                </w:r>
                                <w:r w:rsidR="00C11EA5">
                                  <w:rPr>
                                    <w:color w:val="FFFFFF" w:themeColor="background1"/>
                                  </w:rPr>
                                  <w:t>Nation Portrait Gallery</w:t>
                                </w:r>
                                <w:r w:rsidRPr="001D4AEE">
                                  <w:rPr>
                                    <w:color w:val="FFFFFF" w:themeColor="background1"/>
                                  </w:rPr>
                                  <w:t xml:space="preserve"> </w:t>
                                </w:r>
                                <w:r w:rsidR="00C11EA5">
                                  <w:rPr>
                                    <w:rFonts w:ascii="Arial" w:hAnsi="Arial" w:cs="Arial"/>
                                    <w:color w:val="888888"/>
                                    <w:sz w:val="20"/>
                                    <w:szCs w:val="20"/>
                                    <w:shd w:val="clear" w:color="auto" w:fill="222222"/>
                                  </w:rPr>
                                  <w:t>Metzger practicing for a public demonstration of Auto-destructive art using acid on nylon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margin-left:-9.6pt;margin-top:392.4pt;width:254.4pt;height:21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" fillcolor="white [3201]" strokeweight=".5pt">
                    <v:fill opacity="26985f"/>
                    <v:textbox>
                      <w:txbxContent>
                        <w:p w:rsidR="001D4AEE" w:rsidRDefault="001D4AEE">
                          <w:r w:rsidRPr="001D4AEE">
                            <w:rPr>
                              <w14:textFill>
                                <w14:gradFill>
                                  <w14:gsLst>
                                    <w14:gs w14:pos="45000">
                                      <w14:schemeClr w14:val="accent1">
                                        <w14:lumMod w14:val="5000"/>
                                        <w14:lumOff w14:val="95000"/>
                                      </w14:schemeClr>
                                    </w14:gs>
                                    <w14:gs w14:pos="53000">
                                      <w14:schemeClr w14:val="bg1"/>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t>Gustav</w:t>
                          </w:r>
                          <w:r>
                            <w:t xml:space="preserve"> </w:t>
                          </w:r>
                          <w:r w:rsidRPr="001D4AEE">
                            <w:rPr>
                              <w:color w:val="FFFFFF" w:themeColor="background1"/>
                            </w:rPr>
                            <w:t>Metzger</w:t>
                          </w:r>
                          <w:r w:rsidR="006A1640">
                            <w:rPr>
                              <w:color w:val="FFFFFF" w:themeColor="background1"/>
                            </w:rPr>
                            <w:t xml:space="preserve">     Source: </w:t>
                          </w:r>
                          <w:r w:rsidR="00C11EA5">
                            <w:rPr>
                              <w:color w:val="FFFFFF" w:themeColor="background1"/>
                            </w:rPr>
                            <w:t>Nation Portrait Gallery</w:t>
                          </w:r>
                          <w:r w:rsidRPr="001D4AEE">
                            <w:rPr>
                              <w:color w:val="FFFFFF" w:themeColor="background1"/>
                            </w:rPr>
                            <w:t xml:space="preserve"> </w:t>
                          </w:r>
                          <w:r w:rsidR="00C11EA5">
                            <w:rPr>
                              <w:rFonts w:ascii="Arial" w:hAnsi="Arial" w:cs="Arial"/>
                              <w:color w:val="888888"/>
                              <w:sz w:val="20"/>
                              <w:szCs w:val="20"/>
                              <w:shd w:val="clear" w:color="auto" w:fill="222222"/>
                            </w:rPr>
                            <w:t>Metzger practicing for a public demonstration of Auto-destructive art using acid on nylon</w:t>
                          </w:r>
                        </w:p>
                      </w:txbxContent>
                    </v:textbox>
                  </v:shape>
                </w:pict>
              </mc:Fallback>
            </mc:AlternateContent>
          </w:r>
          <w:r w:rsidR="0081579B" w:rsidRPr="0081579B">
            <w:rPr>
              <w:rFonts w:ascii="Open Sans;Helvetica Neue;Arial;" w:hAnsi="Open Sans;Helvetica Neue;Arial;"/>
              <w:b/>
              <w:noProof/>
              <w:color w:val="373A3C"/>
              <w:sz w:val="19"/>
            </w:rPr>
            <mc:AlternateContent>
              <mc:Choice Requires="wps">
                <w:drawing>
                  <wp:anchor distT="0" distB="0" distL="114300" distR="114300" simplePos="0" relativeHeight="25166182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050"/>
                                  <w:gridCol w:w="4142"/>
                                </w:tblGrid>
                                <w:tr w:rsidR="0081579B">
                                  <w:trPr>
                                    <w:jc w:val="center"/>
                                  </w:trPr>
                                  <w:tc>
                                    <w:tcPr>
                                      <w:tcW w:w="2568" w:type="pct"/>
                                      <w:vAlign w:val="center"/>
                                    </w:tcPr>
                                    <w:p w:rsidR="0081579B" w:rsidRDefault="00865659">
                                      <w:pPr>
                                        <w:jc w:val="right"/>
                                      </w:pPr>
                                      <w:r>
                                        <w:rPr>
                                          <w:noProof/>
                                        </w:rPr>
                                        <w:drawing>
                                          <wp:inline distT="0" distB="0" distL="0" distR="0">
                                            <wp:extent cx="4015740" cy="4076700"/>
                                            <wp:effectExtent l="0" t="0" r="3810" b="0"/>
                                            <wp:docPr id="9" name="Picture 9" descr="Image result for gustav metz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ustav metzg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5740" cy="407670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81579B" w:rsidRDefault="0026538D">
                                          <w:pPr>
                                            <w:pStyle w:val="NoSpacing"/>
                                            <w:spacing w:line="312" w:lineRule="auto"/>
                                            <w:jc w:val="right"/>
                                            <w:rPr>
                                              <w:caps/>
                                              <w:color w:val="191919" w:themeColor="text1" w:themeTint="E6"/>
                                              <w:sz w:val="72"/>
                                              <w:szCs w:val="72"/>
                                            </w:rPr>
                                          </w:pPr>
                                          <w:r>
                                            <w:rPr>
                                              <w:caps/>
                                              <w:color w:val="191919" w:themeColor="text1" w:themeTint="E6"/>
                                              <w:sz w:val="72"/>
                                              <w:szCs w:val="72"/>
                                            </w:rPr>
                                            <w:t>research practices</w:t>
                                          </w:r>
                                        </w:p>
                                      </w:sdtContent>
                                    </w:sdt>
                                    <w:sdt>
                                      <w:sdtPr>
                                        <w:rPr>
                                          <w:rFonts w:cs="Arial"/>
                                          <w:b/>
                                          <w:sz w:val="20"/>
                                          <w:szCs w:val="20"/>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81579B" w:rsidRDefault="0081579B">
                                          <w:pPr>
                                            <w:jc w:val="right"/>
                                            <w:rPr>
                                              <w:sz w:val="24"/>
                                              <w:szCs w:val="24"/>
                                            </w:rPr>
                                          </w:pPr>
                                          <w:r w:rsidRPr="0081579B">
                                            <w:rPr>
                                              <w:rFonts w:cs="Arial"/>
                                              <w:b/>
                                              <w:sz w:val="20"/>
                                              <w:szCs w:val="20"/>
                                              <w:lang w:val="en-US"/>
                                            </w:rPr>
                                            <w:t>M5X01571</w:t>
                                          </w:r>
                                        </w:p>
                                      </w:sdtContent>
                                    </w:sdt>
                                  </w:tc>
                                  <w:tc>
                                    <w:tcPr>
                                      <w:tcW w:w="2432" w:type="pct"/>
                                      <w:vAlign w:val="center"/>
                                    </w:tcPr>
                                    <w:p w:rsidR="0081579B" w:rsidRDefault="0081579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81579B" w:rsidRDefault="00407D41">
                                          <w:pPr>
                                            <w:rPr>
                                              <w:color w:val="000000" w:themeColor="text1"/>
                                            </w:rPr>
                                          </w:pPr>
                                          <w:r>
                                            <w:rPr>
                                              <w:color w:val="000000" w:themeColor="text1"/>
                                            </w:rPr>
                                            <w:t>Using the keywords religiosity, revolution and revolution</w:t>
                                          </w:r>
                                          <w:r w:rsidR="001811C6">
                                            <w:rPr>
                                              <w:color w:val="000000" w:themeColor="text1"/>
                                            </w:rPr>
                                            <w:t>,</w:t>
                                          </w:r>
                                          <w:r>
                                            <w:rPr>
                                              <w:color w:val="000000" w:themeColor="text1"/>
                                            </w:rPr>
                                            <w:t xml:space="preserve"> the impact of his life on the practice of Gustav Metzger is explored.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81579B" w:rsidRDefault="0081579B">
                                          <w:pPr>
                                            <w:pStyle w:val="NoSpacing"/>
                                            <w:rPr>
                                              <w:color w:val="ED7D31" w:themeColor="accent2"/>
                                              <w:sz w:val="26"/>
                                              <w:szCs w:val="26"/>
                                            </w:rPr>
                                          </w:pPr>
                                          <w:r>
                                            <w:rPr>
                                              <w:color w:val="ED7D31" w:themeColor="accent2"/>
                                              <w:sz w:val="26"/>
                                              <w:szCs w:val="26"/>
                                            </w:rPr>
                                            <w:t>Jeremy Gluck (P151365)</w:t>
                                          </w:r>
                                        </w:p>
                                      </w:sdtContent>
                                    </w:sdt>
                                    <w:p w:rsidR="0081579B" w:rsidRDefault="00C0522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1579B">
                                            <w:rPr>
                                              <w:color w:val="44546A" w:themeColor="text2"/>
                                            </w:rPr>
                                            <w:t>Contextual Practices</w:t>
                                          </w:r>
                                        </w:sdtContent>
                                      </w:sdt>
                                    </w:p>
                                  </w:tc>
                                </w:tr>
                              </w:tbl>
                              <w:p w:rsidR="0081579B" w:rsidRDefault="0081579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7" type="#_x0000_t202" style="position:absolute;margin-left:0;margin-top:0;width:134.85pt;height:302.4pt;z-index:25166182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050"/>
                            <w:gridCol w:w="4142"/>
                          </w:tblGrid>
                          <w:tr w:rsidR="0081579B">
                            <w:trPr>
                              <w:jc w:val="center"/>
                            </w:trPr>
                            <w:tc>
                              <w:tcPr>
                                <w:tcW w:w="2568" w:type="pct"/>
                                <w:vAlign w:val="center"/>
                              </w:tcPr>
                              <w:p w:rsidR="0081579B" w:rsidRDefault="00865659">
                                <w:pPr>
                                  <w:jc w:val="right"/>
                                </w:pPr>
                                <w:r>
                                  <w:rPr>
                                    <w:noProof/>
                                  </w:rPr>
                                  <w:drawing>
                                    <wp:inline distT="0" distB="0" distL="0" distR="0">
                                      <wp:extent cx="4015740" cy="4076700"/>
                                      <wp:effectExtent l="0" t="0" r="3810" b="0"/>
                                      <wp:docPr id="9" name="Picture 9" descr="Image result for gustav metz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ustav metzg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5740" cy="407670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81579B" w:rsidRDefault="0026538D">
                                    <w:pPr>
                                      <w:pStyle w:val="NoSpacing"/>
                                      <w:spacing w:line="312" w:lineRule="auto"/>
                                      <w:jc w:val="right"/>
                                      <w:rPr>
                                        <w:caps/>
                                        <w:color w:val="191919" w:themeColor="text1" w:themeTint="E6"/>
                                        <w:sz w:val="72"/>
                                        <w:szCs w:val="72"/>
                                      </w:rPr>
                                    </w:pPr>
                                    <w:r>
                                      <w:rPr>
                                        <w:caps/>
                                        <w:color w:val="191919" w:themeColor="text1" w:themeTint="E6"/>
                                        <w:sz w:val="72"/>
                                        <w:szCs w:val="72"/>
                                      </w:rPr>
                                      <w:t>research practices</w:t>
                                    </w:r>
                                  </w:p>
                                </w:sdtContent>
                              </w:sdt>
                              <w:sdt>
                                <w:sdtPr>
                                  <w:rPr>
                                    <w:rFonts w:cs="Arial"/>
                                    <w:b/>
                                    <w:sz w:val="20"/>
                                    <w:szCs w:val="20"/>
                                    <w:lang w:val="en-US"/>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81579B" w:rsidRDefault="0081579B">
                                    <w:pPr>
                                      <w:jc w:val="right"/>
                                      <w:rPr>
                                        <w:sz w:val="24"/>
                                        <w:szCs w:val="24"/>
                                      </w:rPr>
                                    </w:pPr>
                                    <w:r w:rsidRPr="0081579B">
                                      <w:rPr>
                                        <w:rFonts w:cs="Arial"/>
                                        <w:b/>
                                        <w:sz w:val="20"/>
                                        <w:szCs w:val="20"/>
                                        <w:lang w:val="en-US"/>
                                      </w:rPr>
                                      <w:t>M5X01571</w:t>
                                    </w:r>
                                  </w:p>
                                </w:sdtContent>
                              </w:sdt>
                            </w:tc>
                            <w:tc>
                              <w:tcPr>
                                <w:tcW w:w="2432" w:type="pct"/>
                                <w:vAlign w:val="center"/>
                              </w:tcPr>
                              <w:p w:rsidR="0081579B" w:rsidRDefault="0081579B">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rsidR="0081579B" w:rsidRDefault="00407D41">
                                    <w:pPr>
                                      <w:rPr>
                                        <w:color w:val="000000" w:themeColor="text1"/>
                                      </w:rPr>
                                    </w:pPr>
                                    <w:r>
                                      <w:rPr>
                                        <w:color w:val="000000" w:themeColor="text1"/>
                                      </w:rPr>
                                      <w:t>Using the keywords religiosity, revolution and revolution</w:t>
                                    </w:r>
                                    <w:r w:rsidR="001811C6">
                                      <w:rPr>
                                        <w:color w:val="000000" w:themeColor="text1"/>
                                      </w:rPr>
                                      <w:t>,</w:t>
                                    </w:r>
                                    <w:r>
                                      <w:rPr>
                                        <w:color w:val="000000" w:themeColor="text1"/>
                                      </w:rPr>
                                      <w:t xml:space="preserve"> the impact of his life on the practice of Gustav Metzger is explored.</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81579B" w:rsidRDefault="0081579B">
                                    <w:pPr>
                                      <w:pStyle w:val="NoSpacing"/>
                                      <w:rPr>
                                        <w:color w:val="ED7D31" w:themeColor="accent2"/>
                                        <w:sz w:val="26"/>
                                        <w:szCs w:val="26"/>
                                      </w:rPr>
                                    </w:pPr>
                                    <w:r>
                                      <w:rPr>
                                        <w:color w:val="ED7D31" w:themeColor="accent2"/>
                                        <w:sz w:val="26"/>
                                        <w:szCs w:val="26"/>
                                      </w:rPr>
                                      <w:t>Jeremy Gluck (P151365)</w:t>
                                    </w:r>
                                  </w:p>
                                </w:sdtContent>
                              </w:sdt>
                              <w:p w:rsidR="0081579B" w:rsidRDefault="00C05223">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1579B">
                                      <w:rPr>
                                        <w:color w:val="44546A" w:themeColor="text2"/>
                                      </w:rPr>
                                      <w:t>Contextual Practices</w:t>
                                    </w:r>
                                  </w:sdtContent>
                                </w:sdt>
                              </w:p>
                            </w:tc>
                          </w:tr>
                        </w:tbl>
                        <w:p w:rsidR="0081579B" w:rsidRDefault="0081579B"/>
                      </w:txbxContent>
                    </v:textbox>
                    <w10:wrap anchorx="page" anchory="page"/>
                  </v:shape>
                </w:pict>
              </mc:Fallback>
            </mc:AlternateContent>
          </w:r>
          <w:r w:rsidR="0081579B">
            <w:rPr>
              <w:rFonts w:ascii="Open Sans;Helvetica Neue;Arial;" w:hAnsi="Open Sans;Helvetica Neue;Arial;"/>
              <w:b/>
              <w:color w:val="373A3C"/>
              <w:sz w:val="19"/>
            </w:rPr>
            <w:br w:type="page"/>
          </w:r>
        </w:p>
      </w:sdtContent>
    </w:sdt>
    <w:p w:rsidR="00770735" w:rsidRDefault="001E042E">
      <w:pPr>
        <w:pStyle w:val="BodyText"/>
        <w:jc w:val="both"/>
      </w:pPr>
      <w:r>
        <w:rPr>
          <w:rFonts w:ascii="Open Sans;Helvetica Neue;Arial;" w:hAnsi="Open Sans;Helvetica Neue;Arial;"/>
          <w:b/>
          <w:color w:val="373A3C"/>
          <w:sz w:val="19"/>
        </w:rPr>
        <w:lastRenderedPageBreak/>
        <w:t>2,0</w:t>
      </w:r>
      <w:r w:rsidR="00347A03">
        <w:rPr>
          <w:rFonts w:ascii="Open Sans;Helvetica Neue;Arial;" w:hAnsi="Open Sans;Helvetica Neue;Arial;"/>
          <w:b/>
          <w:color w:val="373A3C"/>
          <w:sz w:val="19"/>
        </w:rPr>
        <w:t>34</w:t>
      </w:r>
      <w:r>
        <w:rPr>
          <w:rFonts w:ascii="Open Sans;Helvetica Neue;Arial;" w:hAnsi="Open Sans;Helvetica Neue;Arial;"/>
          <w:b/>
          <w:color w:val="373A3C"/>
          <w:sz w:val="19"/>
        </w:rPr>
        <w:t xml:space="preserve"> words</w:t>
      </w:r>
    </w:p>
    <w:p w:rsidR="00770735" w:rsidRDefault="001E042E">
      <w:pPr>
        <w:pStyle w:val="BodyText"/>
        <w:jc w:val="both"/>
        <w:rPr>
          <w:rFonts w:ascii="Open Sans;Helvetica Neue;Arial;" w:hAnsi="Open Sans;Helvetica Neue;Arial;"/>
          <w:b/>
          <w:color w:val="373A3C"/>
          <w:sz w:val="19"/>
        </w:rPr>
      </w:pPr>
      <w:r>
        <w:rPr>
          <w:rFonts w:ascii="Times New Roman" w:hAnsi="Times New Roman"/>
          <w:noProof/>
          <w:sz w:val="24"/>
          <w:szCs w:val="24"/>
          <w:lang w:eastAsia="en-GB"/>
        </w:rPr>
        <w:drawing>
          <wp:anchor distT="0" distB="0" distL="0" distR="0" simplePos="0" relativeHeight="251655680" behindDoc="1" locked="0" layoutInCell="1" allowOverlap="1">
            <wp:simplePos x="0" y="0"/>
            <wp:positionH relativeFrom="margin">
              <wp:align>left</wp:align>
            </wp:positionH>
            <wp:positionV relativeFrom="page">
              <wp:posOffset>1248410</wp:posOffset>
            </wp:positionV>
            <wp:extent cx="5257800" cy="4114800"/>
            <wp:effectExtent l="0" t="0" r="0" b="0"/>
            <wp:wrapThrough wrapText="bothSides">
              <wp:wrapPolygon edited="0">
                <wp:start x="0" y="0"/>
                <wp:lineTo x="0" y="21500"/>
                <wp:lineTo x="21522" y="21500"/>
                <wp:lineTo x="21522" y="0"/>
                <wp:lineTo x="0" y="0"/>
              </wp:wrapPolygon>
            </wp:wrapThrough>
            <wp:docPr id="1"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pic:cNvPicPr>
                      <a:picLocks noChangeAspect="1" noChangeArrowheads="1"/>
                    </pic:cNvPicPr>
                  </pic:nvPicPr>
                  <pic:blipFill>
                    <a:blip r:embed="rId10"/>
                    <a:stretch>
                      <a:fillRect/>
                    </a:stretch>
                  </pic:blipFill>
                  <pic:spPr>
                    <a:xfrm>
                      <a:off x="0" y="0"/>
                      <a:ext cx="5257800" cy="4114800"/>
                    </a:xfrm>
                    <a:prstGeom prst="rect">
                      <a:avLst/>
                    </a:prstGeom>
                  </pic:spPr>
                </pic:pic>
              </a:graphicData>
            </a:graphic>
          </wp:anchor>
        </w:drawing>
      </w: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9"/>
        </w:rPr>
      </w:pPr>
    </w:p>
    <w:p w:rsidR="00770735" w:rsidRDefault="00770735">
      <w:pPr>
        <w:pStyle w:val="BodyText"/>
        <w:jc w:val="both"/>
        <w:rPr>
          <w:rFonts w:ascii="Open Sans;Helvetica Neue;Arial;" w:hAnsi="Open Sans;Helvetica Neue;Arial;"/>
          <w:b/>
          <w:color w:val="373A3C"/>
          <w:sz w:val="17"/>
        </w:rPr>
      </w:pPr>
    </w:p>
    <w:p w:rsidR="00770735" w:rsidRDefault="001E042E">
      <w:pPr>
        <w:pStyle w:val="BodyText"/>
        <w:jc w:val="both"/>
        <w:rPr>
          <w:rFonts w:ascii="Times New Roman" w:hAnsi="Times New Roman" w:cs="Times New Roman"/>
          <w:color w:val="373A3C"/>
          <w:sz w:val="20"/>
        </w:rPr>
      </w:pPr>
      <w:r>
        <w:rPr>
          <w:rFonts w:ascii="Times New Roman" w:hAnsi="Times New Roman" w:cs="Times New Roman"/>
          <w:color w:val="373A3C"/>
          <w:sz w:val="20"/>
        </w:rPr>
        <w:t xml:space="preserve">Figure </w:t>
      </w:r>
      <w:r>
        <w:rPr>
          <w:rFonts w:ascii="Times New Roman" w:hAnsi="Times New Roman" w:cs="Times New Roman"/>
          <w:color w:val="373A3C"/>
          <w:sz w:val="20"/>
        </w:rPr>
        <w:fldChar w:fldCharType="begin"/>
      </w:r>
      <w:r>
        <w:rPr>
          <w:sz w:val="20"/>
        </w:rPr>
        <w:instrText>SEQ Figure \* ARABIC</w:instrText>
      </w:r>
      <w:r>
        <w:rPr>
          <w:sz w:val="20"/>
        </w:rPr>
        <w:fldChar w:fldCharType="separate"/>
      </w:r>
      <w:r>
        <w:rPr>
          <w:sz w:val="20"/>
        </w:rPr>
        <w:t>1</w:t>
      </w:r>
      <w:r>
        <w:rPr>
          <w:sz w:val="20"/>
        </w:rPr>
        <w:fldChar w:fldCharType="end"/>
      </w:r>
      <w:r>
        <w:rPr>
          <w:sz w:val="20"/>
        </w:rPr>
        <w:t>.</w:t>
      </w:r>
      <w:r>
        <w:rPr>
          <w:rFonts w:ascii="Times New Roman" w:hAnsi="Times New Roman" w:cs="Times New Roman"/>
          <w:color w:val="373A3C"/>
          <w:sz w:val="20"/>
        </w:rPr>
        <w:t xml:space="preserve"> Gustav Metzger, London, 2016</w:t>
      </w:r>
    </w:p>
    <w:p w:rsidR="00770735" w:rsidRDefault="001E042E">
      <w:pPr>
        <w:pStyle w:val="BodyText"/>
        <w:jc w:val="both"/>
      </w:pPr>
      <w:r>
        <w:rPr>
          <w:rFonts w:ascii="Open Sans;Helvetica Neue;Arial;" w:hAnsi="Open Sans;Helvetica Neue;Arial;"/>
          <w:b/>
          <w:color w:val="373A3C"/>
          <w:sz w:val="19"/>
        </w:rPr>
        <w:t>Context</w:t>
      </w:r>
    </w:p>
    <w:p w:rsidR="00770735" w:rsidRDefault="001E042E">
      <w:pPr>
        <w:spacing w:line="480" w:lineRule="auto"/>
        <w:jc w:val="both"/>
        <w:rPr>
          <w:rFonts w:ascii="Times New Roman" w:hAnsi="Times New Roman"/>
          <w:sz w:val="24"/>
          <w:szCs w:val="24"/>
        </w:rPr>
      </w:pPr>
      <w:r>
        <w:rPr>
          <w:rFonts w:ascii="Times New Roman" w:hAnsi="Times New Roman"/>
          <w:color w:val="000000"/>
          <w:sz w:val="24"/>
          <w:szCs w:val="24"/>
        </w:rPr>
        <w:t>This disse</w:t>
      </w:r>
      <w:r>
        <w:rPr>
          <w:rFonts w:ascii="Times New Roman" w:hAnsi="Times New Roman" w:cs="Times New Roman"/>
          <w:color w:val="000000"/>
          <w:sz w:val="24"/>
          <w:szCs w:val="24"/>
        </w:rPr>
        <w:t xml:space="preserve">rtation will explore </w:t>
      </w:r>
      <w:r>
        <w:rPr>
          <w:rFonts w:ascii="Times New Roman" w:hAnsi="Times New Roman" w:cs="Times New Roman"/>
          <w:sz w:val="24"/>
          <w:szCs w:val="24"/>
        </w:rPr>
        <w:t>how through his life and art Gustav Metzger (</w:t>
      </w:r>
      <w:r>
        <w:rPr>
          <w:rFonts w:ascii="Times New Roman" w:eastAsia="SimSun" w:hAnsi="Times New Roman" w:cs="Times New Roman"/>
          <w:color w:val="545454"/>
          <w:sz w:val="24"/>
          <w:szCs w:val="24"/>
          <w:shd w:val="clear" w:color="auto" w:fill="FFFFFF"/>
        </w:rPr>
        <w:t xml:space="preserve">10 April 1926 – 1 March 2017) </w:t>
      </w:r>
      <w:r>
        <w:rPr>
          <w:rFonts w:ascii="Times New Roman" w:hAnsi="Times New Roman" w:cs="Times New Roman"/>
          <w:sz w:val="24"/>
          <w:szCs w:val="24"/>
        </w:rPr>
        <w:t>emb</w:t>
      </w:r>
      <w:r>
        <w:rPr>
          <w:rFonts w:ascii="Times New Roman" w:hAnsi="Times New Roman"/>
          <w:sz w:val="24"/>
          <w:szCs w:val="24"/>
        </w:rPr>
        <w:t xml:space="preserve">odied and expressed religiosity, revolution, and revelation. With a focus on three relevant works: </w:t>
      </w:r>
      <w:r>
        <w:rPr>
          <w:rFonts w:ascii="Times New Roman" w:hAnsi="Times New Roman"/>
          <w:i/>
          <w:iCs/>
          <w:sz w:val="24"/>
          <w:szCs w:val="24"/>
        </w:rPr>
        <w:t>Cardboards</w:t>
      </w:r>
      <w:r>
        <w:rPr>
          <w:rFonts w:ascii="Times New Roman" w:hAnsi="Times New Roman"/>
          <w:sz w:val="24"/>
          <w:szCs w:val="24"/>
        </w:rPr>
        <w:t xml:space="preserve"> (1959), </w:t>
      </w:r>
      <w:r>
        <w:rPr>
          <w:rFonts w:ascii="Times New Roman" w:hAnsi="Times New Roman"/>
          <w:i/>
          <w:iCs/>
          <w:sz w:val="24"/>
          <w:szCs w:val="24"/>
        </w:rPr>
        <w:t>Flailing Trees</w:t>
      </w:r>
      <w:r>
        <w:rPr>
          <w:rFonts w:ascii="Times New Roman" w:hAnsi="Times New Roman"/>
          <w:sz w:val="24"/>
          <w:szCs w:val="24"/>
        </w:rPr>
        <w:t xml:space="preserve"> (2003), and </w:t>
      </w:r>
      <w:r>
        <w:rPr>
          <w:rFonts w:ascii="Times New Roman" w:hAnsi="Times New Roman"/>
          <w:i/>
          <w:iCs/>
          <w:sz w:val="24"/>
          <w:szCs w:val="24"/>
        </w:rPr>
        <w:t>100,000 Newspapers</w:t>
      </w:r>
      <w:r>
        <w:rPr>
          <w:rFonts w:ascii="Times New Roman" w:hAnsi="Times New Roman"/>
          <w:sz w:val="24"/>
          <w:szCs w:val="24"/>
        </w:rPr>
        <w:t xml:space="preserve"> (2009), it will seek to disentangle – figuratively and, with </w:t>
      </w:r>
      <w:r>
        <w:rPr>
          <w:rFonts w:ascii="Times New Roman" w:hAnsi="Times New Roman"/>
          <w:i/>
          <w:iCs/>
          <w:sz w:val="24"/>
          <w:szCs w:val="24"/>
        </w:rPr>
        <w:t>Flailing Trees</w:t>
      </w:r>
      <w:r>
        <w:rPr>
          <w:rFonts w:ascii="Times New Roman" w:hAnsi="Times New Roman"/>
          <w:sz w:val="24"/>
          <w:szCs w:val="24"/>
        </w:rPr>
        <w:t xml:space="preserve">, literally – the roots of Metzger’s practice. Expressions of concern for the preservation of life based on his experience as a youth at the inception of Nazism (Rosenthal, 2009) will demonstrate how this created a body of work both prophetic and profound that has influenced my own practice, and is arguably deserving of greater academic scholarship, will be examined. </w:t>
      </w:r>
    </w:p>
    <w:p w:rsidR="00770735" w:rsidRDefault="00770735">
      <w:pPr>
        <w:spacing w:line="480" w:lineRule="auto"/>
        <w:jc w:val="both"/>
        <w:rPr>
          <w:rFonts w:ascii="Times New Roman" w:hAnsi="Times New Roman"/>
          <w:sz w:val="24"/>
          <w:szCs w:val="24"/>
        </w:rPr>
      </w:pPr>
    </w:p>
    <w:p w:rsidR="00770735" w:rsidRDefault="00770735">
      <w:pPr>
        <w:pStyle w:val="BodyText"/>
        <w:jc w:val="both"/>
        <w:rPr>
          <w:rFonts w:ascii="Open Sans;Helvetica Neue;Arial;" w:hAnsi="Open Sans;Helvetica Neue;Arial;"/>
          <w:b/>
          <w:color w:val="373A3C"/>
          <w:sz w:val="19"/>
        </w:rPr>
      </w:pPr>
    </w:p>
    <w:p w:rsidR="00770735" w:rsidRDefault="001E042E">
      <w:pPr>
        <w:pStyle w:val="BodyText"/>
        <w:jc w:val="both"/>
        <w:rPr>
          <w:rFonts w:ascii="Times New Roman" w:hAnsi="Times New Roman" w:cs="Times New Roman"/>
          <w:sz w:val="24"/>
          <w:szCs w:val="24"/>
        </w:rPr>
      </w:pPr>
      <w:r>
        <w:rPr>
          <w:rFonts w:ascii="Times New Roman" w:hAnsi="Times New Roman" w:cs="Times New Roman"/>
          <w:b/>
          <w:color w:val="373A3C"/>
          <w:sz w:val="24"/>
          <w:szCs w:val="24"/>
        </w:rPr>
        <w:t>First Keyword: Religiosity</w:t>
      </w:r>
    </w:p>
    <w:p w:rsidR="00770735" w:rsidRDefault="001E042E">
      <w:pPr>
        <w:pStyle w:val="BodyText"/>
        <w:jc w:val="both"/>
        <w:rPr>
          <w:rFonts w:ascii="Times New Roman" w:hAnsi="Times New Roman" w:cs="Times New Roman"/>
          <w:sz w:val="24"/>
          <w:szCs w:val="24"/>
        </w:rPr>
      </w:pPr>
      <w:r>
        <w:rPr>
          <w:rFonts w:ascii="Times New Roman" w:hAnsi="Times New Roman" w:cs="Times New Roman"/>
          <w:b/>
          <w:color w:val="373A3C"/>
          <w:sz w:val="24"/>
          <w:szCs w:val="24"/>
        </w:rPr>
        <w:t>Flailing Trees</w:t>
      </w:r>
    </w:p>
    <w:p w:rsidR="00770735" w:rsidRDefault="001E042E">
      <w:pPr>
        <w:pStyle w:val="BodyText"/>
        <w:spacing w:line="480" w:lineRule="auto"/>
        <w:jc w:val="both"/>
      </w:pPr>
      <w:r>
        <w:rPr>
          <w:noProof/>
          <w:sz w:val="20"/>
          <w:lang w:eastAsia="en-GB"/>
        </w:rPr>
        <w:drawing>
          <wp:anchor distT="0" distB="0" distL="0" distR="0" simplePos="0" relativeHeight="251656704" behindDoc="0" locked="0" layoutInCell="1" allowOverlap="1">
            <wp:simplePos x="0" y="0"/>
            <wp:positionH relativeFrom="column">
              <wp:align>center</wp:align>
            </wp:positionH>
            <wp:positionV relativeFrom="paragraph">
              <wp:posOffset>635</wp:posOffset>
            </wp:positionV>
            <wp:extent cx="5731510" cy="4298315"/>
            <wp:effectExtent l="0" t="0" r="0" b="0"/>
            <wp:wrapSquare wrapText="largest"/>
            <wp:docPr id="2"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3"/>
                    <pic:cNvPicPr>
                      <a:picLocks noChangeAspect="1" noChangeArrowheads="1"/>
                    </pic:cNvPicPr>
                  </pic:nvPicPr>
                  <pic:blipFill>
                    <a:blip r:embed="rId11"/>
                    <a:stretch>
                      <a:fillRect/>
                    </a:stretch>
                  </pic:blipFill>
                  <pic:spPr>
                    <a:xfrm>
                      <a:off x="0" y="0"/>
                      <a:ext cx="5731510" cy="4298315"/>
                    </a:xfrm>
                    <a:prstGeom prst="rect">
                      <a:avLst/>
                    </a:prstGeom>
                  </pic:spPr>
                </pic:pic>
              </a:graphicData>
            </a:graphic>
          </wp:anchor>
        </w:drawing>
      </w:r>
      <w:r>
        <w:rPr>
          <w:rFonts w:ascii="Times New Roman" w:hAnsi="Times New Roman" w:cs="Times New Roman"/>
          <w:color w:val="373A3C"/>
          <w:sz w:val="20"/>
        </w:rPr>
        <w:t xml:space="preserve">Figure </w:t>
      </w:r>
      <w:r>
        <w:rPr>
          <w:rFonts w:ascii="Times New Roman" w:hAnsi="Times New Roman" w:cs="Times New Roman"/>
          <w:color w:val="373A3C"/>
          <w:sz w:val="20"/>
        </w:rPr>
        <w:fldChar w:fldCharType="begin"/>
      </w:r>
      <w:r>
        <w:rPr>
          <w:sz w:val="20"/>
        </w:rPr>
        <w:instrText>SEQ Figure \* ARABIC</w:instrText>
      </w:r>
      <w:r>
        <w:rPr>
          <w:sz w:val="20"/>
        </w:rPr>
        <w:fldChar w:fldCharType="separate"/>
      </w:r>
      <w:r>
        <w:rPr>
          <w:sz w:val="20"/>
        </w:rPr>
        <w:t>2</w:t>
      </w:r>
      <w:r>
        <w:rPr>
          <w:sz w:val="20"/>
        </w:rPr>
        <w:fldChar w:fldCharType="end"/>
      </w:r>
      <w:r>
        <w:rPr>
          <w:sz w:val="20"/>
        </w:rPr>
        <w:t>.</w:t>
      </w:r>
      <w:r>
        <w:rPr>
          <w:rFonts w:ascii="Times New Roman" w:hAnsi="Times New Roman" w:cs="Times New Roman"/>
          <w:color w:val="373A3C"/>
          <w:sz w:val="20"/>
        </w:rPr>
        <w:t xml:space="preserve"> Flailing Trees, Manchester, 2011</w:t>
      </w:r>
    </w:p>
    <w:p w:rsidR="00770735" w:rsidRDefault="001E042E">
      <w:pPr>
        <w:pStyle w:val="BodyText"/>
        <w:spacing w:line="480" w:lineRule="auto"/>
        <w:jc w:val="both"/>
      </w:pPr>
      <w:r>
        <w:rPr>
          <w:rFonts w:ascii="Times New Roman" w:hAnsi="Times New Roman"/>
          <w:color w:val="373A3C"/>
          <w:sz w:val="24"/>
          <w:szCs w:val="24"/>
        </w:rPr>
        <w:t>Metzger was raised in an Orthodox Jewish household, subject to all the awareness of ritual devotion, familial duties, and reverence for an unseen but loving God that entails. Nurtured by this context, aged twelve he began to bear witness to the rise of the Nazis and their intention to destroy his people. The foundation of his life’s perspective, on the hazards of the human predilection to barbarism and selfishness</w:t>
      </w:r>
      <w:r w:rsidR="00350635">
        <w:rPr>
          <w:rFonts w:ascii="Times New Roman" w:hAnsi="Times New Roman"/>
          <w:color w:val="373A3C"/>
          <w:sz w:val="24"/>
          <w:szCs w:val="24"/>
        </w:rPr>
        <w:t xml:space="preserve">, </w:t>
      </w:r>
      <w:r>
        <w:rPr>
          <w:rFonts w:ascii="Times New Roman" w:hAnsi="Times New Roman"/>
          <w:color w:val="373A3C"/>
          <w:sz w:val="24"/>
          <w:szCs w:val="24"/>
        </w:rPr>
        <w:t>so eventually invested itself in work often deceptively destructive and nihilistic (Rosenthal, 2009; Carey-Kent, 2013).</w:t>
      </w:r>
    </w:p>
    <w:p w:rsidR="00770735" w:rsidRDefault="001E042E">
      <w:pPr>
        <w:pStyle w:val="BodyText"/>
        <w:spacing w:line="480" w:lineRule="auto"/>
        <w:jc w:val="both"/>
        <w:rPr>
          <w:rFonts w:ascii="Times New Roman" w:hAnsi="Times New Roman"/>
          <w:color w:val="373A3C"/>
          <w:sz w:val="24"/>
          <w:szCs w:val="24"/>
        </w:rPr>
      </w:pPr>
      <w:r>
        <w:rPr>
          <w:rFonts w:ascii="Times New Roman" w:hAnsi="Times New Roman"/>
          <w:color w:val="373A3C"/>
          <w:sz w:val="24"/>
          <w:szCs w:val="24"/>
        </w:rPr>
        <w:t>It can be no accident that in 2014 artist devotees of Metzger’s work, Bruce Gilchrist</w:t>
      </w:r>
      <w:r>
        <w:rPr>
          <w:rStyle w:val="CommentReference"/>
        </w:rPr>
        <w:t>,</w:t>
      </w:r>
      <w:r>
        <w:rPr>
          <w:rFonts w:ascii="Times New Roman" w:hAnsi="Times New Roman"/>
          <w:color w:val="373A3C"/>
          <w:sz w:val="24"/>
          <w:szCs w:val="24"/>
        </w:rPr>
        <w:t xml:space="preserve"> and Jo </w:t>
      </w:r>
      <w:proofErr w:type="spellStart"/>
      <w:r>
        <w:rPr>
          <w:rFonts w:ascii="Times New Roman" w:hAnsi="Times New Roman"/>
          <w:color w:val="373A3C"/>
          <w:sz w:val="24"/>
          <w:szCs w:val="24"/>
        </w:rPr>
        <w:t>Joelson</w:t>
      </w:r>
      <w:proofErr w:type="spellEnd"/>
      <w:r>
        <w:rPr>
          <w:rFonts w:ascii="Times New Roman" w:hAnsi="Times New Roman"/>
          <w:color w:val="373A3C"/>
          <w:sz w:val="24"/>
          <w:szCs w:val="24"/>
        </w:rPr>
        <w:t xml:space="preserve">, invited him to collaborate on their project, </w:t>
      </w:r>
      <w:r>
        <w:rPr>
          <w:rFonts w:ascii="Times New Roman" w:hAnsi="Times New Roman"/>
          <w:i/>
          <w:color w:val="373A3C"/>
          <w:sz w:val="24"/>
          <w:szCs w:val="24"/>
        </w:rPr>
        <w:t xml:space="preserve">Null Object: Gustav Metzger thinks about </w:t>
      </w:r>
      <w:r>
        <w:rPr>
          <w:rFonts w:ascii="Times New Roman" w:hAnsi="Times New Roman"/>
          <w:i/>
          <w:color w:val="373A3C"/>
          <w:sz w:val="24"/>
          <w:szCs w:val="24"/>
        </w:rPr>
        <w:lastRenderedPageBreak/>
        <w:t>nothing</w:t>
      </w:r>
      <w:r>
        <w:rPr>
          <w:rFonts w:ascii="Times New Roman" w:hAnsi="Times New Roman"/>
          <w:color w:val="373A3C"/>
          <w:sz w:val="24"/>
          <w:szCs w:val="24"/>
        </w:rPr>
        <w:t xml:space="preserve">. In the project’s catalogue, Gilchrist and </w:t>
      </w:r>
      <w:proofErr w:type="spellStart"/>
      <w:r>
        <w:rPr>
          <w:rFonts w:ascii="Times New Roman" w:hAnsi="Times New Roman"/>
          <w:color w:val="373A3C"/>
          <w:sz w:val="24"/>
          <w:szCs w:val="24"/>
        </w:rPr>
        <w:t>Joelson</w:t>
      </w:r>
      <w:proofErr w:type="spellEnd"/>
      <w:r>
        <w:rPr>
          <w:rFonts w:ascii="Times New Roman" w:hAnsi="Times New Roman"/>
          <w:color w:val="373A3C"/>
          <w:sz w:val="24"/>
          <w:szCs w:val="24"/>
        </w:rPr>
        <w:t xml:space="preserve"> comment on Metzger’s ardent committal to so-called ‘deep ecology’, where humankind’s entitlement to oversee the world to its liking is questioned, inducing him to suggest nature’s best hope would be the self-abolition of humanity (Carey-Kent, 2014). This preoccupation with humanity’s relationship with its host planet would indeed come to dominate aspects of Metzger’s work, through which this very human, fundamental interest and concern can be traced. Still, it is against the context of nothingness that Metzger’s work is most commonly framed and interpreted, and why the two artists hosting the project wanted so much for him to be involved. Compelled by the automatism at the heart of Metzger’s auto-destructive art, Gilchrist and </w:t>
      </w:r>
      <w:proofErr w:type="spellStart"/>
      <w:r>
        <w:rPr>
          <w:rFonts w:ascii="Times New Roman" w:hAnsi="Times New Roman"/>
          <w:color w:val="373A3C"/>
          <w:sz w:val="24"/>
          <w:szCs w:val="24"/>
        </w:rPr>
        <w:t>Joelson</w:t>
      </w:r>
      <w:proofErr w:type="spellEnd"/>
      <w:r>
        <w:rPr>
          <w:rFonts w:ascii="Times New Roman" w:hAnsi="Times New Roman"/>
          <w:color w:val="373A3C"/>
          <w:sz w:val="24"/>
          <w:szCs w:val="24"/>
        </w:rPr>
        <w:t xml:space="preserve"> pushed the model beyond the physical, merely having Metzger thinking on the work being created as a way of acknowledging his art strike from 1977 through 1980 when he stopped making work and spent some long time on the Continent researching and traveling (Carey-Kent, 2014). To equate these seemingly irreconcilable qualities of Metzger’s implicitly religious – at least, spiritual – work and the fact that he himself negated the spiritual in it </w:t>
      </w:r>
      <w:r>
        <w:rPr>
          <w:rFonts w:ascii="Times New Roman" w:hAnsi="Times New Roman"/>
          <w:color w:val="auto"/>
          <w:sz w:val="24"/>
          <w:szCs w:val="24"/>
        </w:rPr>
        <w:t xml:space="preserve">presents us with a genuine riddle. As early as 1958, in the catalogue for the </w:t>
      </w:r>
      <w:r>
        <w:rPr>
          <w:rStyle w:val="fontstyle01"/>
          <w:color w:val="auto"/>
          <w:sz w:val="24"/>
          <w:szCs w:val="24"/>
        </w:rPr>
        <w:t xml:space="preserve">retrospective exhibition of Kurt </w:t>
      </w:r>
      <w:proofErr w:type="spellStart"/>
      <w:r>
        <w:rPr>
          <w:rStyle w:val="fontstyle01"/>
          <w:color w:val="auto"/>
          <w:sz w:val="24"/>
          <w:szCs w:val="24"/>
        </w:rPr>
        <w:t>Schwitter’s</w:t>
      </w:r>
      <w:proofErr w:type="spellEnd"/>
      <w:r>
        <w:rPr>
          <w:rStyle w:val="fontstyle01"/>
          <w:color w:val="auto"/>
          <w:sz w:val="24"/>
          <w:szCs w:val="24"/>
        </w:rPr>
        <w:t xml:space="preserve"> the Lord’s Gallery in London had mounted, and Metzger had visited London specifically to see</w:t>
      </w:r>
      <w:r>
        <w:rPr>
          <w:rFonts w:ascii="Times New Roman" w:hAnsi="Times New Roman"/>
          <w:color w:val="auto"/>
          <w:sz w:val="24"/>
          <w:szCs w:val="24"/>
        </w:rPr>
        <w:t xml:space="preserve">, Alan Bowness commented that Metzger’s art “ […] one could interpret [...] as a protest against the false and shiny standards of modern society, or as an </w:t>
      </w:r>
      <w:r>
        <w:rPr>
          <w:rFonts w:ascii="Times New Roman" w:hAnsi="Times New Roman"/>
          <w:color w:val="373A3C"/>
          <w:sz w:val="24"/>
          <w:szCs w:val="24"/>
        </w:rPr>
        <w:t>almost mystical affirmation of the value of everything, even that which is rejected and despised, or perhaps as a psychological necessity on the artist’s part to identify himself with what has been cast out (Bowness, 1958 cited in Wilson, 2008: 184).</w:t>
      </w:r>
    </w:p>
    <w:p w:rsidR="00770735" w:rsidRDefault="001E042E">
      <w:pPr>
        <w:pStyle w:val="BodyText"/>
        <w:spacing w:line="480" w:lineRule="auto"/>
        <w:jc w:val="both"/>
        <w:rPr>
          <w:rFonts w:ascii="Times New Roman" w:hAnsi="Times New Roman"/>
          <w:sz w:val="24"/>
          <w:szCs w:val="24"/>
        </w:rPr>
      </w:pPr>
      <w:r>
        <w:rPr>
          <w:rFonts w:ascii="Times New Roman" w:hAnsi="Times New Roman"/>
          <w:color w:val="373A3C"/>
          <w:sz w:val="24"/>
          <w:szCs w:val="24"/>
          <w:shd w:val="clear" w:color="auto" w:fill="FFFFFF" w:themeFill="background1"/>
        </w:rPr>
        <w:t xml:space="preserve">Memories dominated him said </w:t>
      </w:r>
      <w:r>
        <w:rPr>
          <w:rFonts w:ascii="Times New Roman" w:hAnsi="Times New Roman"/>
          <w:sz w:val="24"/>
          <w:szCs w:val="24"/>
        </w:rPr>
        <w:t xml:space="preserve">Metzger in an interview conducted during the 2015 Tate retrospective of his paintings: “These memories of course include Germany. As a Jewish child growing up in an Orthodox environment your life is saturated with religion and with </w:t>
      </w:r>
      <w:r>
        <w:rPr>
          <w:rFonts w:ascii="Times New Roman" w:hAnsi="Times New Roman"/>
          <w:sz w:val="24"/>
          <w:szCs w:val="24"/>
        </w:rPr>
        <w:lastRenderedPageBreak/>
        <w:t xml:space="preserve">obligations. When I was twelve years old, when things were </w:t>
      </w:r>
      <w:proofErr w:type="spellStart"/>
      <w:r>
        <w:rPr>
          <w:rFonts w:ascii="Times New Roman" w:hAnsi="Times New Roman"/>
          <w:sz w:val="24"/>
          <w:szCs w:val="24"/>
        </w:rPr>
        <w:t>hotting</w:t>
      </w:r>
      <w:proofErr w:type="spellEnd"/>
      <w:r>
        <w:rPr>
          <w:rFonts w:ascii="Times New Roman" w:hAnsi="Times New Roman"/>
          <w:sz w:val="24"/>
          <w:szCs w:val="24"/>
        </w:rPr>
        <w:t xml:space="preserve"> up related to Jews...all of that is a constant inner world I live in” (</w:t>
      </w:r>
      <w:r>
        <w:rPr>
          <w:rFonts w:ascii="Times New Roman" w:hAnsi="Times New Roman"/>
          <w:i/>
          <w:sz w:val="24"/>
          <w:szCs w:val="24"/>
        </w:rPr>
        <w:t>Auto-destructive Art</w:t>
      </w:r>
      <w:r>
        <w:rPr>
          <w:rFonts w:ascii="Times New Roman" w:hAnsi="Times New Roman"/>
          <w:sz w:val="24"/>
          <w:szCs w:val="24"/>
        </w:rPr>
        <w:t xml:space="preserve">, 2015). </w:t>
      </w:r>
    </w:p>
    <w:p w:rsidR="00770735" w:rsidRDefault="00770735">
      <w:pPr>
        <w:pStyle w:val="BodyText"/>
        <w:spacing w:line="480" w:lineRule="auto"/>
        <w:jc w:val="both"/>
        <w:rPr>
          <w:rFonts w:ascii="Times New Roman" w:hAnsi="Times New Roman"/>
          <w:sz w:val="24"/>
          <w:szCs w:val="24"/>
        </w:rPr>
      </w:pPr>
    </w:p>
    <w:p w:rsidR="00770735" w:rsidRDefault="001E042E">
      <w:pPr>
        <w:pStyle w:val="BodyText"/>
        <w:spacing w:after="144" w:line="480" w:lineRule="auto"/>
        <w:jc w:val="both"/>
        <w:rPr>
          <w:rFonts w:ascii="Times New Roman" w:hAnsi="Times New Roman"/>
          <w:color w:val="000011"/>
          <w:sz w:val="24"/>
          <w:szCs w:val="24"/>
        </w:rPr>
      </w:pPr>
      <w:r>
        <w:rPr>
          <w:noProof/>
          <w:lang w:eastAsia="en-GB"/>
        </w:rPr>
        <w:drawing>
          <wp:anchor distT="0" distB="0" distL="0" distR="0" simplePos="0" relativeHeight="251657728" behindDoc="0" locked="0" layoutInCell="1" allowOverlap="1">
            <wp:simplePos x="0" y="0"/>
            <wp:positionH relativeFrom="column">
              <wp:posOffset>22860</wp:posOffset>
            </wp:positionH>
            <wp:positionV relativeFrom="paragraph">
              <wp:posOffset>-218440</wp:posOffset>
            </wp:positionV>
            <wp:extent cx="4745355" cy="6045835"/>
            <wp:effectExtent l="0" t="0" r="0" b="0"/>
            <wp:wrapSquare wrapText="largest"/>
            <wp:docPr id="3"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5"/>
                    <pic:cNvPicPr>
                      <a:picLocks noChangeAspect="1" noChangeArrowheads="1"/>
                    </pic:cNvPicPr>
                  </pic:nvPicPr>
                  <pic:blipFill>
                    <a:blip r:embed="rId12"/>
                    <a:stretch>
                      <a:fillRect/>
                    </a:stretch>
                  </pic:blipFill>
                  <pic:spPr>
                    <a:xfrm>
                      <a:off x="0" y="0"/>
                      <a:ext cx="4745355" cy="6045835"/>
                    </a:xfrm>
                    <a:prstGeom prst="rect">
                      <a:avLst/>
                    </a:prstGeom>
                  </pic:spPr>
                </pic:pic>
              </a:graphicData>
            </a:graphic>
          </wp:anchor>
        </w:drawing>
      </w: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770735">
      <w:pPr>
        <w:pStyle w:val="BodyText"/>
        <w:spacing w:after="144" w:line="480" w:lineRule="auto"/>
        <w:jc w:val="both"/>
        <w:rPr>
          <w:rFonts w:ascii="Times New Roman" w:hAnsi="Times New Roman"/>
          <w:color w:val="000011"/>
          <w:sz w:val="24"/>
          <w:szCs w:val="24"/>
        </w:rPr>
      </w:pPr>
    </w:p>
    <w:p w:rsidR="00770735" w:rsidRDefault="001E042E">
      <w:pPr>
        <w:pStyle w:val="BodyText"/>
        <w:spacing w:line="480" w:lineRule="auto"/>
        <w:jc w:val="both"/>
        <w:rPr>
          <w:sz w:val="20"/>
          <w:szCs w:val="20"/>
        </w:rPr>
      </w:pPr>
      <w:r>
        <w:rPr>
          <w:rStyle w:val="StrongEmphasis"/>
          <w:rFonts w:ascii="Times New Roman" w:hAnsi="Times New Roman" w:cs="Times New Roman"/>
          <w:b w:val="0"/>
          <w:bCs w:val="0"/>
          <w:color w:val="373A3C"/>
          <w:sz w:val="20"/>
          <w:szCs w:val="20"/>
        </w:rPr>
        <w:t xml:space="preserve">Figure 3. </w:t>
      </w:r>
      <w:proofErr w:type="spellStart"/>
      <w:r>
        <w:rPr>
          <w:rStyle w:val="StrongEmphasis"/>
          <w:rFonts w:ascii="Times New Roman" w:hAnsi="Times New Roman" w:cs="Times New Roman"/>
          <w:b w:val="0"/>
          <w:bCs w:val="0"/>
          <w:sz w:val="20"/>
          <w:szCs w:val="20"/>
        </w:rPr>
        <w:t>Sarig</w:t>
      </w:r>
      <w:proofErr w:type="spellEnd"/>
      <w:r>
        <w:rPr>
          <w:rStyle w:val="StrongEmphasis"/>
          <w:rFonts w:ascii="Times New Roman" w:hAnsi="Times New Roman" w:cs="Times New Roman"/>
          <w:b w:val="0"/>
          <w:bCs w:val="0"/>
          <w:sz w:val="20"/>
          <w:szCs w:val="20"/>
        </w:rPr>
        <w:t xml:space="preserve">, E. (1995/2014) </w:t>
      </w:r>
      <w:r>
        <w:rPr>
          <w:rStyle w:val="StrongEmphasis"/>
          <w:rFonts w:ascii="Times New Roman" w:hAnsi="Times New Roman" w:cs="Times New Roman"/>
          <w:b w:val="0"/>
          <w:bCs w:val="0"/>
          <w:i/>
          <w:iCs/>
          <w:color w:val="2D2D2D"/>
          <w:sz w:val="20"/>
          <w:szCs w:val="20"/>
        </w:rPr>
        <w:t xml:space="preserve">Gustav Metzger's “Historic Photographs: No. 1: Liquidation of the Warsaw Ghetto, April 19-28 days, 1943. </w:t>
      </w:r>
      <w:r>
        <w:rPr>
          <w:rStyle w:val="StrongEmphasis"/>
          <w:rFonts w:ascii="Times New Roman" w:hAnsi="Times New Roman" w:cs="Times New Roman"/>
          <w:b w:val="0"/>
          <w:bCs w:val="0"/>
          <w:color w:val="2D2D2D"/>
          <w:sz w:val="20"/>
          <w:szCs w:val="20"/>
        </w:rPr>
        <w:t>London 2014</w:t>
      </w:r>
    </w:p>
    <w:p w:rsidR="00770735" w:rsidRDefault="00770735">
      <w:pPr>
        <w:pStyle w:val="BodyText"/>
        <w:spacing w:after="144" w:line="480" w:lineRule="auto"/>
        <w:jc w:val="both"/>
        <w:rPr>
          <w:rFonts w:ascii="Times New Roman" w:hAnsi="Times New Roman"/>
          <w:color w:val="000011"/>
          <w:sz w:val="24"/>
          <w:szCs w:val="24"/>
        </w:rPr>
      </w:pPr>
    </w:p>
    <w:p w:rsidR="00770735" w:rsidRDefault="001E042E">
      <w:pPr>
        <w:pStyle w:val="BodyText"/>
        <w:spacing w:after="144" w:line="480" w:lineRule="auto"/>
        <w:jc w:val="both"/>
      </w:pPr>
      <w:r>
        <w:rPr>
          <w:rFonts w:ascii="Times New Roman" w:hAnsi="Times New Roman"/>
          <w:color w:val="000011"/>
          <w:sz w:val="24"/>
          <w:szCs w:val="24"/>
        </w:rPr>
        <w:lastRenderedPageBreak/>
        <w:t>Metzger’s work presents us with a paradox. In his own words, when asked whether his work resembles the movement of Iconoclasm that urged the derogation and even extirpation of religious art he rebutted the claim (</w:t>
      </w:r>
      <w:r>
        <w:rPr>
          <w:rFonts w:ascii="Times New Roman" w:hAnsi="Times New Roman"/>
          <w:color w:val="000000"/>
          <w:sz w:val="24"/>
          <w:szCs w:val="24"/>
        </w:rPr>
        <w:t xml:space="preserve">Kapic &amp;Vander </w:t>
      </w:r>
      <w:proofErr w:type="spellStart"/>
      <w:r>
        <w:rPr>
          <w:rFonts w:ascii="Times New Roman" w:hAnsi="Times New Roman"/>
          <w:color w:val="000000"/>
          <w:sz w:val="24"/>
          <w:szCs w:val="24"/>
        </w:rPr>
        <w:t>Lugt</w:t>
      </w:r>
      <w:proofErr w:type="spellEnd"/>
      <w:r>
        <w:rPr>
          <w:rFonts w:ascii="Times New Roman" w:hAnsi="Times New Roman"/>
          <w:color w:val="000000"/>
          <w:sz w:val="24"/>
          <w:szCs w:val="24"/>
        </w:rPr>
        <w:t xml:space="preserve">, 2013), asserting that there was no religion in his work at all, much less to derogate, adding that there was no connection between his practice and Iconoclasm </w:t>
      </w:r>
      <w:r>
        <w:rPr>
          <w:rFonts w:ascii="Times New Roman" w:hAnsi="Times New Roman"/>
          <w:color w:val="000011"/>
          <w:sz w:val="24"/>
          <w:szCs w:val="24"/>
        </w:rPr>
        <w:t>(Metzger, 2011; Walker, 1995).</w:t>
      </w:r>
    </w:p>
    <w:p w:rsidR="00770735" w:rsidRDefault="001E042E">
      <w:pPr>
        <w:pStyle w:val="BodyText"/>
        <w:spacing w:line="480" w:lineRule="auto"/>
        <w:jc w:val="both"/>
      </w:pPr>
      <w:r>
        <w:rPr>
          <w:rFonts w:ascii="Times New Roman" w:hAnsi="Times New Roman"/>
          <w:color w:val="000011"/>
          <w:sz w:val="24"/>
          <w:szCs w:val="24"/>
        </w:rPr>
        <w:t xml:space="preserve">Yet, for art historian Sir Norman Rosenthal, </w:t>
      </w:r>
      <w:r>
        <w:rPr>
          <w:rStyle w:val="Emphasis"/>
          <w:rFonts w:ascii="Times New Roman" w:hAnsi="Times New Roman"/>
          <w:iCs w:val="0"/>
          <w:color w:val="000011"/>
          <w:sz w:val="24"/>
          <w:szCs w:val="24"/>
        </w:rPr>
        <w:t>Flailing Trees</w:t>
      </w:r>
      <w:r>
        <w:rPr>
          <w:rStyle w:val="Emphasis"/>
          <w:rFonts w:ascii="Times New Roman" w:hAnsi="Times New Roman"/>
          <w:i w:val="0"/>
          <w:iCs w:val="0"/>
          <w:color w:val="000011"/>
          <w:sz w:val="24"/>
          <w:szCs w:val="24"/>
        </w:rPr>
        <w:t xml:space="preserve"> w</w:t>
      </w:r>
      <w:r>
        <w:rPr>
          <w:rFonts w:ascii="Times New Roman" w:hAnsi="Times New Roman"/>
          <w:color w:val="000011"/>
          <w:sz w:val="24"/>
          <w:szCs w:val="24"/>
        </w:rPr>
        <w:t>as “a 15th-century Gothic chapel, the trunks standing in for the columns, the upturned roots for the architectural tracery. The image is of a world upside down…” (Rosenthal, 2009). This is a compelling quote in terms of perceived religiosity in Metzger’s work simply because, as with the trees he one day upturned, his own life had been entirely uprooted. Metzger regarded</w:t>
      </w:r>
      <w:r>
        <w:rPr>
          <w:rStyle w:val="StrongEmphasis"/>
          <w:rFonts w:ascii="Times New Roman" w:hAnsi="Times New Roman"/>
          <w:b w:val="0"/>
          <w:bCs w:val="0"/>
          <w:color w:val="000011"/>
          <w:sz w:val="24"/>
          <w:szCs w:val="24"/>
        </w:rPr>
        <w:t xml:space="preserve"> himself as a “stateless [or an] escaped Jew” (</w:t>
      </w:r>
      <w:proofErr w:type="spellStart"/>
      <w:r>
        <w:rPr>
          <w:rStyle w:val="StrongEmphasis"/>
          <w:rFonts w:ascii="Times New Roman" w:hAnsi="Times New Roman"/>
          <w:b w:val="0"/>
          <w:bCs w:val="0"/>
          <w:color w:val="000011"/>
          <w:sz w:val="24"/>
          <w:szCs w:val="24"/>
        </w:rPr>
        <w:t>Schudel</w:t>
      </w:r>
      <w:proofErr w:type="spellEnd"/>
      <w:r>
        <w:rPr>
          <w:rStyle w:val="StrongEmphasis"/>
          <w:rFonts w:ascii="Times New Roman" w:hAnsi="Times New Roman"/>
          <w:b w:val="0"/>
          <w:bCs w:val="0"/>
          <w:color w:val="000011"/>
          <w:sz w:val="24"/>
          <w:szCs w:val="24"/>
        </w:rPr>
        <w:t xml:space="preserve">, 2017). He approached his work as he did his life: a matter of survival. </w:t>
      </w:r>
      <w:r>
        <w:rPr>
          <w:rFonts w:ascii="Times New Roman" w:hAnsi="Times New Roman"/>
          <w:color w:val="000011"/>
          <w:sz w:val="24"/>
          <w:szCs w:val="24"/>
        </w:rPr>
        <w:t>Something unforeseeable happened to him, and his generation of Jews, that shattered their lives and even their faith. This dissertation will attempt to make vivid this connection between the artist’s life and practice and thereby reveal how and why religion was so central to both.</w:t>
      </w:r>
    </w:p>
    <w:p w:rsidR="00770735" w:rsidRDefault="00770735">
      <w:pPr>
        <w:pStyle w:val="BodyText"/>
        <w:spacing w:line="480" w:lineRule="auto"/>
        <w:jc w:val="both"/>
        <w:rPr>
          <w:rFonts w:ascii="Times New Roman" w:hAnsi="Times New Roman"/>
          <w:color w:val="000011"/>
          <w:sz w:val="24"/>
          <w:szCs w:val="24"/>
        </w:rPr>
      </w:pPr>
    </w:p>
    <w:p w:rsidR="00770735" w:rsidRDefault="00770735">
      <w:pPr>
        <w:pStyle w:val="BodyText"/>
        <w:spacing w:line="480" w:lineRule="auto"/>
        <w:jc w:val="both"/>
        <w:rPr>
          <w:rFonts w:ascii="Times New Roman" w:hAnsi="Times New Roman"/>
          <w:color w:val="000011"/>
          <w:sz w:val="24"/>
          <w:szCs w:val="24"/>
        </w:rPr>
      </w:pPr>
    </w:p>
    <w:p w:rsidR="00770735" w:rsidRDefault="00770735">
      <w:pPr>
        <w:pStyle w:val="BodyText"/>
        <w:spacing w:line="480" w:lineRule="auto"/>
        <w:jc w:val="both"/>
        <w:rPr>
          <w:rFonts w:ascii="Times New Roman" w:hAnsi="Times New Roman"/>
          <w:color w:val="000011"/>
          <w:sz w:val="24"/>
          <w:szCs w:val="24"/>
        </w:rPr>
      </w:pPr>
    </w:p>
    <w:p w:rsidR="00770735" w:rsidRDefault="00770735">
      <w:pPr>
        <w:pStyle w:val="BodyText"/>
        <w:spacing w:line="480" w:lineRule="auto"/>
        <w:jc w:val="both"/>
        <w:rPr>
          <w:rFonts w:ascii="Times New Roman" w:hAnsi="Times New Roman"/>
          <w:color w:val="000011"/>
          <w:sz w:val="24"/>
          <w:szCs w:val="24"/>
        </w:rPr>
      </w:pPr>
    </w:p>
    <w:p w:rsidR="00770735" w:rsidRDefault="00770735">
      <w:pPr>
        <w:pStyle w:val="BodyText"/>
        <w:spacing w:line="480" w:lineRule="auto"/>
        <w:jc w:val="both"/>
        <w:rPr>
          <w:rFonts w:ascii="Times New Roman" w:hAnsi="Times New Roman"/>
          <w:color w:val="000011"/>
          <w:sz w:val="24"/>
          <w:szCs w:val="24"/>
        </w:rPr>
      </w:pPr>
    </w:p>
    <w:p w:rsidR="00770735" w:rsidRDefault="00770735">
      <w:pPr>
        <w:pStyle w:val="BodyText"/>
        <w:spacing w:line="480" w:lineRule="auto"/>
        <w:jc w:val="both"/>
        <w:rPr>
          <w:rFonts w:ascii="Times New Roman" w:hAnsi="Times New Roman"/>
          <w:color w:val="000011"/>
          <w:sz w:val="24"/>
          <w:szCs w:val="24"/>
        </w:rPr>
      </w:pPr>
    </w:p>
    <w:p w:rsidR="00770735" w:rsidRDefault="001E042E">
      <w:pPr>
        <w:pStyle w:val="BodyText"/>
        <w:spacing w:line="480" w:lineRule="auto"/>
        <w:jc w:val="both"/>
        <w:rPr>
          <w:rFonts w:ascii="Times New Roman" w:hAnsi="Times New Roman"/>
          <w:color w:val="000011"/>
          <w:sz w:val="24"/>
          <w:szCs w:val="24"/>
        </w:rPr>
      </w:pPr>
      <w:r>
        <w:rPr>
          <w:rFonts w:ascii="Times New Roman" w:hAnsi="Times New Roman"/>
          <w:noProof/>
          <w:color w:val="000011"/>
          <w:sz w:val="24"/>
          <w:szCs w:val="24"/>
          <w:lang w:eastAsia="en-GB"/>
        </w:rPr>
        <w:lastRenderedPageBreak/>
        <w:drawing>
          <wp:anchor distT="0" distB="0" distL="0" distR="0" simplePos="0" relativeHeight="251658752" behindDoc="0" locked="0" layoutInCell="1" allowOverlap="1">
            <wp:simplePos x="0" y="0"/>
            <wp:positionH relativeFrom="column">
              <wp:posOffset>0</wp:posOffset>
            </wp:positionH>
            <wp:positionV relativeFrom="paragraph">
              <wp:posOffset>-15240</wp:posOffset>
            </wp:positionV>
            <wp:extent cx="3384550" cy="3675380"/>
            <wp:effectExtent l="0" t="0" r="0" b="0"/>
            <wp:wrapSquare wrapText="largest"/>
            <wp:docPr id="4"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
                    <pic:cNvPicPr>
                      <a:picLocks noChangeAspect="1" noChangeArrowheads="1"/>
                    </pic:cNvPicPr>
                  </pic:nvPicPr>
                  <pic:blipFill>
                    <a:blip r:embed="rId13"/>
                    <a:stretch>
                      <a:fillRect/>
                    </a:stretch>
                  </pic:blipFill>
                  <pic:spPr>
                    <a:xfrm>
                      <a:off x="0" y="0"/>
                      <a:ext cx="3384550" cy="3675380"/>
                    </a:xfrm>
                    <a:prstGeom prst="rect">
                      <a:avLst/>
                    </a:prstGeom>
                  </pic:spPr>
                </pic:pic>
              </a:graphicData>
            </a:graphic>
          </wp:anchor>
        </w:drawing>
      </w:r>
    </w:p>
    <w:p w:rsidR="00770735" w:rsidRDefault="00770735">
      <w:pPr>
        <w:pStyle w:val="BodyText"/>
        <w:jc w:val="both"/>
        <w:rPr>
          <w:rStyle w:val="StrongEmphasis"/>
          <w:rFonts w:ascii="Open Sans;Helvetica Neue;Arial;" w:hAnsi="Open Sans;Helvetica Neue;Arial;"/>
          <w:color w:val="373A3C"/>
          <w:sz w:val="19"/>
        </w:rPr>
      </w:pPr>
    </w:p>
    <w:p w:rsidR="00770735" w:rsidRDefault="00770735">
      <w:pPr>
        <w:pStyle w:val="BodyText"/>
        <w:jc w:val="both"/>
        <w:rPr>
          <w:rStyle w:val="StrongEmphasis"/>
          <w:rFonts w:ascii="Open Sans;Helvetica Neue;Arial;" w:hAnsi="Open Sans;Helvetica Neue;Arial;"/>
          <w:color w:val="373A3C"/>
          <w:sz w:val="19"/>
        </w:rPr>
      </w:pPr>
    </w:p>
    <w:p w:rsidR="00770735" w:rsidRDefault="00770735">
      <w:pPr>
        <w:pStyle w:val="BodyText"/>
        <w:jc w:val="both"/>
        <w:rPr>
          <w:rStyle w:val="StrongEmphasis"/>
          <w:rFonts w:ascii="Open Sans;Helvetica Neue;Arial;" w:hAnsi="Open Sans;Helvetica Neue;Arial;"/>
          <w:color w:val="373A3C"/>
          <w:sz w:val="19"/>
        </w:rPr>
      </w:pPr>
    </w:p>
    <w:p w:rsidR="00770735" w:rsidRDefault="00770735">
      <w:pPr>
        <w:pStyle w:val="BodyText"/>
        <w:jc w:val="both"/>
        <w:rPr>
          <w:rStyle w:val="StrongEmphasis"/>
          <w:rFonts w:ascii="Open Sans;Helvetica Neue;Arial;" w:hAnsi="Open Sans;Helvetica Neue;Arial;"/>
          <w:color w:val="373A3C"/>
          <w:sz w:val="19"/>
        </w:rPr>
      </w:pPr>
    </w:p>
    <w:p w:rsidR="00770735" w:rsidRDefault="00770735">
      <w:pPr>
        <w:pStyle w:val="BodyText"/>
        <w:jc w:val="both"/>
        <w:rPr>
          <w:rStyle w:val="StrongEmphasis"/>
          <w:rFonts w:ascii="Open Sans;Helvetica Neue;Arial;" w:hAnsi="Open Sans;Helvetica Neue;Arial;"/>
          <w:color w:val="373A3C"/>
          <w:sz w:val="19"/>
        </w:rPr>
      </w:pPr>
    </w:p>
    <w:p w:rsidR="00770735" w:rsidRDefault="00770735">
      <w:pPr>
        <w:pStyle w:val="BodyText"/>
        <w:jc w:val="both"/>
        <w:rPr>
          <w:rStyle w:val="StrongEmphasis"/>
          <w:rFonts w:ascii="Open Sans;Helvetica Neue;Arial;" w:hAnsi="Open Sans;Helvetica Neue;Arial;"/>
          <w:color w:val="373A3C"/>
          <w:sz w:val="19"/>
        </w:rPr>
      </w:pPr>
    </w:p>
    <w:p w:rsidR="00770735" w:rsidRDefault="00770735">
      <w:pPr>
        <w:pStyle w:val="BodyText"/>
        <w:jc w:val="both"/>
        <w:rPr>
          <w:rStyle w:val="StrongEmphasis"/>
          <w:rFonts w:ascii="Open Sans;Helvetica Neue;Arial;" w:hAnsi="Open Sans;Helvetica Neue;Arial;"/>
          <w:color w:val="373A3C"/>
          <w:sz w:val="19"/>
        </w:rPr>
      </w:pPr>
    </w:p>
    <w:p w:rsidR="00770735" w:rsidRDefault="00770735">
      <w:pPr>
        <w:pStyle w:val="BodyText"/>
        <w:jc w:val="both"/>
        <w:rPr>
          <w:rStyle w:val="StrongEmphasis"/>
          <w:rFonts w:ascii="Open Sans;Helvetica Neue;Arial;" w:hAnsi="Open Sans;Helvetica Neue;Arial;"/>
          <w:color w:val="373A3C"/>
          <w:sz w:val="19"/>
        </w:rPr>
      </w:pPr>
    </w:p>
    <w:p w:rsidR="00770735" w:rsidRDefault="00770735">
      <w:pPr>
        <w:pStyle w:val="BodyText"/>
        <w:jc w:val="both"/>
        <w:rPr>
          <w:rStyle w:val="StrongEmphasis"/>
          <w:rFonts w:ascii="Open Sans;Helvetica Neue;Arial;" w:hAnsi="Open Sans;Helvetica Neue;Arial;"/>
          <w:color w:val="373A3C"/>
          <w:sz w:val="19"/>
        </w:rPr>
      </w:pPr>
    </w:p>
    <w:p w:rsidR="00770735" w:rsidRDefault="00770735">
      <w:pPr>
        <w:pStyle w:val="BodyText"/>
        <w:jc w:val="both"/>
        <w:rPr>
          <w:rStyle w:val="StrongEmphasis"/>
          <w:rFonts w:ascii="Open Sans;Helvetica Neue;Arial;" w:hAnsi="Open Sans;Helvetica Neue;Arial;"/>
          <w:color w:val="373A3C"/>
          <w:sz w:val="19"/>
        </w:rPr>
      </w:pPr>
    </w:p>
    <w:p w:rsidR="00770735" w:rsidRDefault="00770735">
      <w:pPr>
        <w:pStyle w:val="BodyText"/>
        <w:jc w:val="both"/>
        <w:rPr>
          <w:rStyle w:val="StrongEmphasis"/>
          <w:rFonts w:ascii="Open Sans;Helvetica Neue;Arial;" w:hAnsi="Open Sans;Helvetica Neue;Arial;"/>
          <w:color w:val="373A3C"/>
          <w:sz w:val="19"/>
        </w:rPr>
      </w:pPr>
    </w:p>
    <w:p w:rsidR="00770735" w:rsidRDefault="00770735">
      <w:pPr>
        <w:pStyle w:val="BodyText"/>
        <w:jc w:val="both"/>
        <w:rPr>
          <w:rStyle w:val="StrongEmphasis"/>
          <w:rFonts w:ascii="Open Sans;Helvetica Neue;Arial;" w:hAnsi="Open Sans;Helvetica Neue;Arial;"/>
          <w:color w:val="373A3C"/>
          <w:sz w:val="17"/>
        </w:rPr>
      </w:pPr>
    </w:p>
    <w:p w:rsidR="00770735" w:rsidRDefault="001E042E">
      <w:pPr>
        <w:pStyle w:val="BodyText"/>
        <w:spacing w:line="480" w:lineRule="auto"/>
        <w:jc w:val="both"/>
        <w:rPr>
          <w:sz w:val="20"/>
        </w:rPr>
      </w:pPr>
      <w:r>
        <w:rPr>
          <w:rStyle w:val="StrongEmphasis"/>
          <w:rFonts w:ascii="Times New Roman" w:hAnsi="Times New Roman" w:cs="Times New Roman"/>
          <w:b w:val="0"/>
          <w:bCs w:val="0"/>
          <w:color w:val="373A3C"/>
          <w:sz w:val="20"/>
        </w:rPr>
        <w:t xml:space="preserve">Figure 4. Gustav Metzger, </w:t>
      </w:r>
      <w:r>
        <w:rPr>
          <w:rStyle w:val="StrongEmphasis"/>
          <w:rFonts w:ascii="Times New Roman" w:hAnsi="Times New Roman" w:cs="Times New Roman"/>
          <w:b w:val="0"/>
          <w:bCs w:val="0"/>
          <w:i/>
          <w:color w:val="373A3C"/>
          <w:sz w:val="20"/>
        </w:rPr>
        <w:t>Cardboards</w:t>
      </w:r>
      <w:r>
        <w:rPr>
          <w:rStyle w:val="StrongEmphasis"/>
          <w:rFonts w:ascii="Times New Roman" w:hAnsi="Times New Roman" w:cs="Times New Roman"/>
          <w:b w:val="0"/>
          <w:bCs w:val="0"/>
          <w:color w:val="373A3C"/>
          <w:sz w:val="20"/>
        </w:rPr>
        <w:t>, London, 1959</w:t>
      </w:r>
    </w:p>
    <w:p w:rsidR="00770735" w:rsidRDefault="001E042E">
      <w:pPr>
        <w:pStyle w:val="BodyText"/>
        <w:jc w:val="both"/>
      </w:pPr>
      <w:r>
        <w:rPr>
          <w:rStyle w:val="StrongEmphasis"/>
          <w:rFonts w:ascii="Open Sans;Helvetica Neue;Arial;" w:hAnsi="Open Sans;Helvetica Neue;Arial;"/>
          <w:color w:val="373A3C"/>
          <w:sz w:val="19"/>
        </w:rPr>
        <w:t>Second Keyword: Revolution</w:t>
      </w:r>
    </w:p>
    <w:p w:rsidR="00770735" w:rsidRDefault="001E042E">
      <w:pPr>
        <w:pStyle w:val="BodyText"/>
        <w:spacing w:line="480" w:lineRule="auto"/>
        <w:jc w:val="both"/>
      </w:pPr>
      <w:r>
        <w:rPr>
          <w:rStyle w:val="StrongEmphasis"/>
          <w:rFonts w:ascii="Times New Roman" w:hAnsi="Times New Roman"/>
          <w:b w:val="0"/>
          <w:bCs w:val="0"/>
          <w:color w:val="373A3C"/>
          <w:sz w:val="24"/>
          <w:szCs w:val="24"/>
        </w:rPr>
        <w:t xml:space="preserve">This dissertation aspires to traduce from this genuine transformation its causes and outcome; how this deceptively humble, wilfully marginalised artist almost immediately after his break from painting, used </w:t>
      </w:r>
      <w:r>
        <w:rPr>
          <w:rStyle w:val="StrongEmphasis"/>
          <w:rFonts w:ascii="Times New Roman" w:hAnsi="Times New Roman"/>
          <w:b w:val="0"/>
          <w:color w:val="000000"/>
          <w:sz w:val="24"/>
          <w:szCs w:val="24"/>
        </w:rPr>
        <w:t>“working methods [involving] a provocative disruption of conventional perceptions, coupled with a refusal to sink into indifference and resignation” (</w:t>
      </w:r>
      <w:proofErr w:type="spellStart"/>
      <w:r>
        <w:rPr>
          <w:rStyle w:val="StrongEmphasis"/>
          <w:rFonts w:ascii="Times New Roman" w:hAnsi="Times New Roman"/>
          <w:b w:val="0"/>
          <w:color w:val="000000"/>
          <w:sz w:val="24"/>
          <w:szCs w:val="24"/>
        </w:rPr>
        <w:t>Suchin</w:t>
      </w:r>
      <w:proofErr w:type="spellEnd"/>
      <w:r>
        <w:rPr>
          <w:rStyle w:val="StrongEmphasis"/>
          <w:rFonts w:ascii="Times New Roman" w:hAnsi="Times New Roman"/>
          <w:b w:val="0"/>
          <w:color w:val="000000"/>
          <w:sz w:val="24"/>
          <w:szCs w:val="24"/>
        </w:rPr>
        <w:t xml:space="preserve">, 2003). </w:t>
      </w:r>
      <w:r>
        <w:rPr>
          <w:rStyle w:val="StrongEmphasis"/>
          <w:rFonts w:ascii="Times New Roman" w:hAnsi="Times New Roman"/>
          <w:b w:val="0"/>
          <w:bCs w:val="0"/>
          <w:color w:val="373A3C"/>
          <w:sz w:val="24"/>
          <w:szCs w:val="24"/>
        </w:rPr>
        <w:t>At the beginning of his life as an artist, Metzger was a painter, and an aspirational sculptor. Soon, however, for the most part he had turned his back on canonical art and incepted the exploration and execution of installation and performance on which his practice and his reputation would thereafter rest (Fisher, 1999).</w:t>
      </w:r>
    </w:p>
    <w:p w:rsidR="00770735" w:rsidRDefault="001E042E">
      <w:pPr>
        <w:pStyle w:val="BodyText"/>
        <w:spacing w:line="480" w:lineRule="auto"/>
        <w:jc w:val="both"/>
      </w:pPr>
      <w:r>
        <w:rPr>
          <w:rStyle w:val="StrongEmphasis"/>
          <w:rFonts w:ascii="Times New Roman" w:hAnsi="Times New Roman"/>
          <w:b w:val="0"/>
          <w:bCs w:val="0"/>
          <w:color w:val="373A3C"/>
          <w:sz w:val="24"/>
          <w:szCs w:val="24"/>
        </w:rPr>
        <w:t xml:space="preserve">It is instructive to look at Metzger’s first landmark work, </w:t>
      </w:r>
      <w:r>
        <w:rPr>
          <w:rStyle w:val="StrongEmphasis"/>
          <w:rFonts w:ascii="Times New Roman" w:hAnsi="Times New Roman"/>
          <w:b w:val="0"/>
          <w:bCs w:val="0"/>
          <w:i/>
          <w:iCs/>
          <w:color w:val="373A3C"/>
          <w:sz w:val="24"/>
          <w:szCs w:val="24"/>
        </w:rPr>
        <w:t>Cardboards</w:t>
      </w:r>
      <w:r>
        <w:rPr>
          <w:rStyle w:val="StrongEmphasis"/>
          <w:rFonts w:ascii="Times New Roman" w:hAnsi="Times New Roman"/>
          <w:b w:val="0"/>
          <w:bCs w:val="0"/>
          <w:color w:val="373A3C"/>
          <w:sz w:val="24"/>
          <w:szCs w:val="24"/>
        </w:rPr>
        <w:t xml:space="preserve"> from 1959.  Embryonic in messaging that would become more plaintive, </w:t>
      </w:r>
      <w:r>
        <w:rPr>
          <w:rStyle w:val="StrongEmphasis"/>
          <w:rFonts w:ascii="Times New Roman" w:hAnsi="Times New Roman"/>
          <w:b w:val="0"/>
          <w:bCs w:val="0"/>
          <w:i/>
          <w:iCs/>
          <w:color w:val="373A3C"/>
          <w:sz w:val="24"/>
          <w:szCs w:val="24"/>
        </w:rPr>
        <w:t>Cardboards</w:t>
      </w:r>
      <w:r>
        <w:rPr>
          <w:rStyle w:val="StrongEmphasis"/>
          <w:rFonts w:ascii="Times New Roman" w:hAnsi="Times New Roman"/>
          <w:b w:val="0"/>
          <w:bCs w:val="0"/>
          <w:color w:val="373A3C"/>
          <w:sz w:val="24"/>
          <w:szCs w:val="24"/>
        </w:rPr>
        <w:t xml:space="preserve"> marked concretely the onset of Metzger’s commitment to signalling to humanity its post-war, post-Holocaust predicament; </w:t>
      </w:r>
      <w:r>
        <w:rPr>
          <w:rStyle w:val="StrongEmphasis"/>
          <w:rFonts w:ascii="Times New Roman" w:hAnsi="Times New Roman"/>
          <w:b w:val="0"/>
          <w:bCs w:val="0"/>
          <w:color w:val="373A3C"/>
          <w:sz w:val="24"/>
          <w:szCs w:val="24"/>
        </w:rPr>
        <w:lastRenderedPageBreak/>
        <w:t xml:space="preserve">namely that the same technology that could create a new future for mankind could also curtail it, perhaps terminally. </w:t>
      </w:r>
      <w:r>
        <w:rPr>
          <w:rStyle w:val="StrongEmphasis"/>
          <w:rFonts w:ascii="Times New Roman" w:hAnsi="Times New Roman"/>
          <w:b w:val="0"/>
          <w:bCs w:val="0"/>
          <w:i/>
          <w:iCs/>
          <w:color w:val="000000"/>
          <w:sz w:val="24"/>
          <w:szCs w:val="24"/>
        </w:rPr>
        <w:t>C</w:t>
      </w:r>
      <w:r>
        <w:rPr>
          <w:rStyle w:val="InternetLink"/>
          <w:rFonts w:ascii="Times New Roman" w:hAnsi="Times New Roman"/>
          <w:i/>
          <w:iCs/>
          <w:color w:val="000000"/>
          <w:sz w:val="24"/>
          <w:szCs w:val="24"/>
          <w:u w:val="none"/>
        </w:rPr>
        <w:t>ardboards</w:t>
      </w:r>
      <w:r>
        <w:rPr>
          <w:rStyle w:val="InternetLink"/>
          <w:rFonts w:ascii="Times New Roman" w:hAnsi="Times New Roman"/>
          <w:color w:val="000000"/>
          <w:sz w:val="24"/>
          <w:szCs w:val="24"/>
          <w:u w:val="none"/>
        </w:rPr>
        <w:t>, r</w:t>
      </w:r>
      <w:r>
        <w:rPr>
          <w:rStyle w:val="StrongEmphasis"/>
          <w:rFonts w:ascii="Times New Roman" w:hAnsi="Times New Roman"/>
          <w:b w:val="0"/>
          <w:bCs w:val="0"/>
          <w:color w:val="000000"/>
          <w:sz w:val="24"/>
          <w:szCs w:val="24"/>
        </w:rPr>
        <w:t xml:space="preserve">ecalling Duchamp’s “readymade” art (Griffin, 2013), saw Metzger aim its usage at social comment, evoking at once a sense of the machine age's potential dynamism and a comment on consumerism.  </w:t>
      </w:r>
    </w:p>
    <w:p w:rsidR="00770735" w:rsidRDefault="001E042E">
      <w:pPr>
        <w:pStyle w:val="BodyText"/>
        <w:spacing w:line="480" w:lineRule="auto"/>
        <w:jc w:val="both"/>
      </w:pPr>
      <w:r>
        <w:rPr>
          <w:rStyle w:val="StrongEmphasis"/>
          <w:rFonts w:ascii="Times New Roman" w:hAnsi="Times New Roman"/>
          <w:b w:val="0"/>
          <w:bCs w:val="0"/>
          <w:color w:val="373A3C"/>
          <w:sz w:val="24"/>
          <w:szCs w:val="24"/>
        </w:rPr>
        <w:t xml:space="preserve">Metzger’s revolutionary art signified a break both with the canon and, to an extent, his past. As with many artists before him, and as a refugee, now he found in his radical creative departure a new sort of refuge, and one more reliable than just a country and city: himself. Many artists grow into and through their work, and Metzger is a case-in-point. His inner revolution birthed an outer one, in the form of his work, and with Metzger it truly was his life’s work because he threw all of himself into it - his experience, suffering and partial recovery from it, and conscience and commitment to his moral and aesthetic context - with a cold frenzy that never waned. Other possibilities of revolution captured his imagination; the political and social. These evolving aspects of his nature and perspective on the plight of humanity nurtured and informed his intent as an artist, developing themes in his practice redolent not only of a secular revolution leading to the artistically seminal, but in his soul. </w:t>
      </w:r>
      <w:r>
        <w:rPr>
          <w:rStyle w:val="StrongEmphasis"/>
          <w:rFonts w:ascii="Times New Roman" w:hAnsi="Times New Roman"/>
          <w:b w:val="0"/>
          <w:bCs w:val="0"/>
          <w:color w:val="000000"/>
          <w:sz w:val="24"/>
          <w:szCs w:val="24"/>
        </w:rPr>
        <w:t>A confrontation between fundamental religiosity fed by genuinely prophetic art (Jones, 2009) and political context drawn heavily from purist Marxism and socialism moderated by sincere humanism, Metzger worked tirelessly with his art to embody ways in which we might survive ourselves (Fisher, 2014).   His ego was fully functional but surrendered to a higher purpose: “</w:t>
      </w:r>
      <w:r>
        <w:rPr>
          <w:rStyle w:val="StrongEmphasis"/>
          <w:rFonts w:ascii="Times New Roman" w:hAnsi="Times New Roman"/>
          <w:b w:val="0"/>
          <w:bCs w:val="0"/>
          <w:color w:val="121212"/>
          <w:sz w:val="24"/>
          <w:szCs w:val="24"/>
        </w:rPr>
        <w:t xml:space="preserve">That's one way to understand the origins of auto-destructive art. In Judaism there is a tradition of rejecting power: </w:t>
      </w:r>
      <w:proofErr w:type="gramStart"/>
      <w:r>
        <w:rPr>
          <w:rStyle w:val="StrongEmphasis"/>
          <w:rFonts w:ascii="Times New Roman" w:hAnsi="Times New Roman"/>
          <w:b w:val="0"/>
          <w:bCs w:val="0"/>
          <w:color w:val="121212"/>
          <w:sz w:val="24"/>
          <w:szCs w:val="24"/>
        </w:rPr>
        <w:t>the</w:t>
      </w:r>
      <w:proofErr w:type="gramEnd"/>
      <w:r>
        <w:rPr>
          <w:rStyle w:val="StrongEmphasis"/>
          <w:rFonts w:ascii="Times New Roman" w:hAnsi="Times New Roman"/>
          <w:b w:val="0"/>
          <w:bCs w:val="0"/>
          <w:color w:val="121212"/>
          <w:sz w:val="24"/>
          <w:szCs w:val="24"/>
        </w:rPr>
        <w:t xml:space="preserve"> Prophets rejected power. That was part of my childhood, giving up rather than acquiring”</w:t>
      </w:r>
      <w:r>
        <w:rPr>
          <w:rStyle w:val="StrongEmphasis"/>
          <w:rFonts w:ascii="Times New Roman" w:hAnsi="Times New Roman"/>
          <w:b w:val="0"/>
          <w:bCs w:val="0"/>
          <w:color w:val="000000"/>
          <w:sz w:val="24"/>
          <w:szCs w:val="24"/>
        </w:rPr>
        <w:t xml:space="preserve"> (Metzger, 2009). Never one to compromise, he did not shun success, but it seemed somehow to antagonise him. Metzger moved between poles of explicit, self-imposed exile from </w:t>
      </w:r>
      <w:r>
        <w:rPr>
          <w:rStyle w:val="StrongEmphasis"/>
          <w:rFonts w:ascii="Times New Roman" w:hAnsi="Times New Roman"/>
          <w:b w:val="0"/>
          <w:bCs w:val="0"/>
          <w:color w:val="000000"/>
          <w:sz w:val="24"/>
          <w:szCs w:val="24"/>
        </w:rPr>
        <w:lastRenderedPageBreak/>
        <w:t>conformity to art and worldly norms to an implicit, fiercely stubborn reliance on an inner compass alienating him from most of his less secularly pious fellows (</w:t>
      </w:r>
      <w:proofErr w:type="spellStart"/>
      <w:r>
        <w:rPr>
          <w:rStyle w:val="StrongEmphasis"/>
          <w:rFonts w:ascii="Times New Roman" w:hAnsi="Times New Roman"/>
          <w:b w:val="0"/>
          <w:bCs w:val="0"/>
          <w:color w:val="000000"/>
          <w:sz w:val="24"/>
          <w:szCs w:val="24"/>
        </w:rPr>
        <w:t>Yahav</w:t>
      </w:r>
      <w:proofErr w:type="spellEnd"/>
      <w:r>
        <w:rPr>
          <w:rStyle w:val="StrongEmphasis"/>
          <w:rFonts w:ascii="Times New Roman" w:hAnsi="Times New Roman"/>
          <w:b w:val="0"/>
          <w:bCs w:val="0"/>
          <w:color w:val="000000"/>
          <w:sz w:val="24"/>
          <w:szCs w:val="24"/>
        </w:rPr>
        <w:t xml:space="preserve">, 2014). </w:t>
      </w:r>
    </w:p>
    <w:p w:rsidR="00770735" w:rsidRDefault="001E042E">
      <w:pPr>
        <w:pStyle w:val="BodyText"/>
        <w:jc w:val="both"/>
        <w:rPr>
          <w:rFonts w:ascii="Times New Roman" w:hAnsi="Times New Roman" w:cs="Times New Roman"/>
          <w:sz w:val="24"/>
          <w:szCs w:val="24"/>
        </w:rPr>
      </w:pPr>
      <w:r>
        <w:rPr>
          <w:rFonts w:ascii="Times New Roman" w:hAnsi="Times New Roman" w:cs="Times New Roman"/>
          <w:b/>
          <w:color w:val="373A3C"/>
          <w:sz w:val="24"/>
          <w:szCs w:val="24"/>
        </w:rPr>
        <w:t>Third Keyword: Revelation</w:t>
      </w:r>
    </w:p>
    <w:p w:rsidR="00770735" w:rsidRDefault="001E042E">
      <w:pPr>
        <w:pStyle w:val="BodyText"/>
        <w:jc w:val="both"/>
        <w:rPr>
          <w:rFonts w:ascii="Times New Roman" w:hAnsi="Times New Roman" w:cs="Times New Roman"/>
          <w:sz w:val="24"/>
          <w:szCs w:val="24"/>
        </w:rPr>
      </w:pPr>
      <w:r>
        <w:rPr>
          <w:rFonts w:ascii="Times New Roman" w:hAnsi="Times New Roman" w:cs="Times New Roman"/>
          <w:b/>
          <w:color w:val="373A3C"/>
          <w:sz w:val="24"/>
          <w:szCs w:val="24"/>
        </w:rPr>
        <w:t>100,000 Newspapers</w:t>
      </w:r>
    </w:p>
    <w:p w:rsidR="00770735" w:rsidRDefault="001E042E">
      <w:pPr>
        <w:spacing w:after="140" w:line="480" w:lineRule="auto"/>
        <w:jc w:val="both"/>
        <w:rPr>
          <w:rStyle w:val="StrongEmphasis"/>
          <w:rFonts w:ascii="Times New Roman" w:hAnsi="Times New Roman"/>
          <w:b w:val="0"/>
          <w:bCs w:val="0"/>
          <w:color w:val="373A3C"/>
          <w:sz w:val="24"/>
          <w:szCs w:val="24"/>
        </w:rPr>
      </w:pPr>
      <w:r>
        <w:rPr>
          <w:noProof/>
          <w:sz w:val="20"/>
          <w:lang w:eastAsia="en-GB"/>
        </w:rPr>
        <w:drawing>
          <wp:anchor distT="0" distB="0" distL="0" distR="0" simplePos="0" relativeHeight="251659776" behindDoc="0" locked="0" layoutInCell="1" allowOverlap="1">
            <wp:simplePos x="0" y="0"/>
            <wp:positionH relativeFrom="column">
              <wp:align>center</wp:align>
            </wp:positionH>
            <wp:positionV relativeFrom="paragraph">
              <wp:posOffset>635</wp:posOffset>
            </wp:positionV>
            <wp:extent cx="5731510" cy="4298315"/>
            <wp:effectExtent l="0" t="0" r="0" b="0"/>
            <wp:wrapSquare wrapText="largest"/>
            <wp:docPr id="5"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
                    <pic:cNvPicPr>
                      <a:picLocks noChangeAspect="1" noChangeArrowheads="1"/>
                    </pic:cNvPicPr>
                  </pic:nvPicPr>
                  <pic:blipFill>
                    <a:blip r:embed="rId14"/>
                    <a:stretch>
                      <a:fillRect/>
                    </a:stretch>
                  </pic:blipFill>
                  <pic:spPr>
                    <a:xfrm>
                      <a:off x="0" y="0"/>
                      <a:ext cx="5731510" cy="4298315"/>
                    </a:xfrm>
                    <a:prstGeom prst="rect">
                      <a:avLst/>
                    </a:prstGeom>
                  </pic:spPr>
                </pic:pic>
              </a:graphicData>
            </a:graphic>
          </wp:anchor>
        </w:drawing>
      </w:r>
      <w:r>
        <w:rPr>
          <w:rStyle w:val="StrongEmphasis"/>
          <w:rFonts w:ascii="Times New Roman" w:hAnsi="Times New Roman" w:cs="Times New Roman"/>
          <w:b w:val="0"/>
          <w:bCs w:val="0"/>
          <w:color w:val="373A3C"/>
          <w:sz w:val="20"/>
        </w:rPr>
        <w:t xml:space="preserve">Figure 5. 100,000 Newspapers, </w:t>
      </w:r>
      <w:r>
        <w:rPr>
          <w:rStyle w:val="StrongEmphasis"/>
          <w:rFonts w:ascii="Times New Roman" w:hAnsi="Times New Roman" w:cs="Times New Roman"/>
          <w:b w:val="0"/>
          <w:bCs w:val="0"/>
          <w:color w:val="44546A" w:themeColor="text2"/>
          <w:sz w:val="20"/>
        </w:rPr>
        <w:t>London, 2018</w:t>
      </w:r>
    </w:p>
    <w:p w:rsidR="00770735" w:rsidRDefault="001E042E">
      <w:pPr>
        <w:pStyle w:val="Heading1"/>
        <w:shd w:val="clear" w:color="auto" w:fill="FFFFFF"/>
        <w:spacing w:beforeAutospacing="0" w:after="0" w:afterAutospacing="0" w:line="480" w:lineRule="auto"/>
      </w:pPr>
      <w:r>
        <w:rPr>
          <w:rStyle w:val="StrongEmphasis"/>
          <w:color w:val="373A3C"/>
          <w:sz w:val="24"/>
          <w:szCs w:val="24"/>
        </w:rPr>
        <w:t xml:space="preserve">Nearly half a century had passed after </w:t>
      </w:r>
      <w:r>
        <w:rPr>
          <w:rStyle w:val="StrongEmphasis"/>
          <w:i/>
          <w:iCs/>
          <w:color w:val="373A3C"/>
          <w:sz w:val="24"/>
          <w:szCs w:val="24"/>
        </w:rPr>
        <w:t>Cardboards</w:t>
      </w:r>
      <w:r>
        <w:rPr>
          <w:rStyle w:val="StrongEmphasis"/>
          <w:color w:val="373A3C"/>
          <w:sz w:val="24"/>
          <w:szCs w:val="24"/>
        </w:rPr>
        <w:t xml:space="preserve"> when, in 2003, Metzger mounted his </w:t>
      </w:r>
      <w:r>
        <w:rPr>
          <w:rStyle w:val="StrongEmphasis"/>
          <w:color w:val="000000"/>
          <w:sz w:val="24"/>
          <w:szCs w:val="24"/>
        </w:rPr>
        <w:t xml:space="preserve">'public-active installation', </w:t>
      </w:r>
      <w:r>
        <w:rPr>
          <w:rStyle w:val="StrongEmphasis"/>
          <w:i/>
          <w:iCs/>
          <w:color w:val="373A3C"/>
          <w:sz w:val="24"/>
          <w:szCs w:val="24"/>
        </w:rPr>
        <w:t>100,000 Newspapers</w:t>
      </w:r>
      <w:r>
        <w:rPr>
          <w:rStyle w:val="StrongEmphasis"/>
          <w:color w:val="373A3C"/>
          <w:sz w:val="24"/>
          <w:szCs w:val="24"/>
        </w:rPr>
        <w:t xml:space="preserve">. Taking up </w:t>
      </w:r>
      <w:r>
        <w:rPr>
          <w:rStyle w:val="StrongEmphasis"/>
          <w:color w:val="000000"/>
          <w:sz w:val="24"/>
          <w:szCs w:val="24"/>
        </w:rPr>
        <w:t xml:space="preserve">two cavernous, cold rooms in the basement of a derelict brewery in London's East End, Metzger had visitors greeted with thousands of newspapers scattered across the concrete floor </w:t>
      </w:r>
      <w:r>
        <w:rPr>
          <w:rStyle w:val="StrongEmphasis"/>
          <w:bCs/>
          <w:color w:val="000000"/>
          <w:sz w:val="24"/>
          <w:szCs w:val="24"/>
        </w:rPr>
        <w:t>(</w:t>
      </w:r>
      <w:r>
        <w:rPr>
          <w:b w:val="0"/>
          <w:bCs w:val="0"/>
          <w:i/>
          <w:sz w:val="24"/>
          <w:szCs w:val="24"/>
        </w:rPr>
        <w:t>Gustav Metzger: 100,000 Newspapers" part 1 of 3</w:t>
      </w:r>
      <w:r>
        <w:rPr>
          <w:b w:val="0"/>
          <w:bCs w:val="0"/>
          <w:sz w:val="24"/>
          <w:szCs w:val="24"/>
        </w:rPr>
        <w:t xml:space="preserve">, 2009). </w:t>
      </w:r>
      <w:r>
        <w:rPr>
          <w:rStyle w:val="StrongEmphasis"/>
          <w:color w:val="000000"/>
          <w:sz w:val="24"/>
          <w:szCs w:val="24"/>
        </w:rPr>
        <w:t xml:space="preserve">The second room featured metal shelving piled high with more newspapers but ordered. Into the centre of this, </w:t>
      </w:r>
      <w:proofErr w:type="spellStart"/>
      <w:r>
        <w:rPr>
          <w:rStyle w:val="StrongEmphasis"/>
          <w:color w:val="000000"/>
          <w:sz w:val="24"/>
          <w:szCs w:val="24"/>
        </w:rPr>
        <w:t>Meztger</w:t>
      </w:r>
      <w:proofErr w:type="spellEnd"/>
      <w:r>
        <w:rPr>
          <w:rStyle w:val="StrongEmphasis"/>
          <w:color w:val="000000"/>
          <w:sz w:val="24"/>
          <w:szCs w:val="24"/>
        </w:rPr>
        <w:t xml:space="preserve">, bowed but intent, randomly crumpled and consigned to the floor pages and pages of newsprint. Visitors were invited to </w:t>
      </w:r>
      <w:r>
        <w:rPr>
          <w:rStyle w:val="StrongEmphasis"/>
          <w:color w:val="000000"/>
          <w:sz w:val="24"/>
          <w:szCs w:val="24"/>
        </w:rPr>
        <w:lastRenderedPageBreak/>
        <w:t xml:space="preserve">cut out anything from the newspapers they found compelling; Metzger then mounted their choices under various headings: ‘Extinction’, ‘Work’, ‘Biotechnology’, and more </w:t>
      </w:r>
      <w:r>
        <w:rPr>
          <w:rStyle w:val="StrongEmphasis"/>
          <w:color w:val="373A3C"/>
          <w:sz w:val="24"/>
          <w:szCs w:val="24"/>
        </w:rPr>
        <w:t>(</w:t>
      </w:r>
      <w:proofErr w:type="spellStart"/>
      <w:r>
        <w:rPr>
          <w:rStyle w:val="StrongEmphasis"/>
          <w:color w:val="373A3C"/>
          <w:sz w:val="24"/>
          <w:szCs w:val="24"/>
        </w:rPr>
        <w:t>Suchin</w:t>
      </w:r>
      <w:proofErr w:type="spellEnd"/>
      <w:r>
        <w:rPr>
          <w:rStyle w:val="StrongEmphasis"/>
          <w:color w:val="373A3C"/>
          <w:sz w:val="24"/>
          <w:szCs w:val="24"/>
        </w:rPr>
        <w:t>, 2003).</w:t>
      </w:r>
      <w:r>
        <w:rPr>
          <w:rStyle w:val="StrongEmphasis"/>
          <w:b/>
          <w:color w:val="373A3C"/>
          <w:sz w:val="24"/>
          <w:szCs w:val="24"/>
        </w:rPr>
        <w:t xml:space="preserve"> </w:t>
      </w:r>
      <w:r>
        <w:rPr>
          <w:b w:val="0"/>
          <w:i/>
          <w:iCs/>
          <w:sz w:val="24"/>
          <w:szCs w:val="24"/>
        </w:rPr>
        <w:t>100,000 Newspapers</w:t>
      </w:r>
      <w:r>
        <w:rPr>
          <w:b w:val="0"/>
          <w:sz w:val="24"/>
          <w:szCs w:val="24"/>
        </w:rPr>
        <w:t xml:space="preserve"> can be seen not just as an indictment but embrace of the Information Age, </w:t>
      </w:r>
      <w:proofErr w:type="gramStart"/>
      <w:r>
        <w:rPr>
          <w:b w:val="0"/>
          <w:sz w:val="24"/>
          <w:szCs w:val="24"/>
        </w:rPr>
        <w:t>and also</w:t>
      </w:r>
      <w:proofErr w:type="gramEnd"/>
      <w:r>
        <w:rPr>
          <w:b w:val="0"/>
          <w:sz w:val="24"/>
          <w:szCs w:val="24"/>
        </w:rPr>
        <w:t xml:space="preserve"> a thread through Metzger’s life, indeed from revelation to revolution, and born in the written word (Fisher, 2014).</w:t>
      </w:r>
    </w:p>
    <w:p w:rsidR="00770735" w:rsidRDefault="001E042E">
      <w:pPr>
        <w:spacing w:line="480" w:lineRule="auto"/>
        <w:jc w:val="both"/>
      </w:pPr>
      <w:r>
        <w:rPr>
          <w:rFonts w:ascii="Times New Roman" w:hAnsi="Times New Roman"/>
          <w:sz w:val="24"/>
          <w:szCs w:val="24"/>
        </w:rPr>
        <w:t xml:space="preserve">The </w:t>
      </w:r>
      <w:r>
        <w:rPr>
          <w:rFonts w:ascii="Times New Roman" w:hAnsi="Times New Roman"/>
          <w:i/>
          <w:iCs/>
          <w:sz w:val="24"/>
          <w:szCs w:val="24"/>
        </w:rPr>
        <w:t>Talmud</w:t>
      </w:r>
      <w:r>
        <w:rPr>
          <w:rFonts w:ascii="Times New Roman" w:hAnsi="Times New Roman"/>
          <w:sz w:val="24"/>
          <w:szCs w:val="24"/>
        </w:rPr>
        <w:t xml:space="preserve"> he studied as a youth before the war forced upon him a premature, catastrophic growing pain catapulting him to adulthood and, soon, art, thence to the base stuff of </w:t>
      </w:r>
      <w:r>
        <w:rPr>
          <w:rFonts w:ascii="Times New Roman" w:hAnsi="Times New Roman"/>
          <w:i/>
          <w:iCs/>
          <w:sz w:val="24"/>
          <w:szCs w:val="24"/>
        </w:rPr>
        <w:t>Cardboards</w:t>
      </w:r>
      <w:r>
        <w:rPr>
          <w:rFonts w:ascii="Times New Roman" w:hAnsi="Times New Roman"/>
          <w:sz w:val="24"/>
          <w:szCs w:val="24"/>
        </w:rPr>
        <w:t xml:space="preserve"> made of pulped and compressed paper (Wilson, 2008: 181-4).  On to </w:t>
      </w:r>
      <w:r>
        <w:rPr>
          <w:rFonts w:ascii="Times New Roman" w:hAnsi="Times New Roman"/>
          <w:i/>
          <w:iCs/>
          <w:sz w:val="24"/>
          <w:szCs w:val="24"/>
        </w:rPr>
        <w:t>Flailing Trees</w:t>
      </w:r>
      <w:r>
        <w:rPr>
          <w:rFonts w:ascii="Times New Roman" w:hAnsi="Times New Roman"/>
          <w:sz w:val="24"/>
          <w:szCs w:val="24"/>
        </w:rPr>
        <w:t xml:space="preserve">, where the slow, intelligent and beautiful benefactors of our breath are inverted and thereby tortured as the artist’s conscious </w:t>
      </w:r>
      <w:proofErr w:type="gramStart"/>
      <w:r>
        <w:rPr>
          <w:rFonts w:ascii="Times New Roman" w:hAnsi="Times New Roman"/>
          <w:sz w:val="24"/>
          <w:szCs w:val="24"/>
        </w:rPr>
        <w:t>protest against</w:t>
      </w:r>
      <w:proofErr w:type="gramEnd"/>
      <w:r>
        <w:rPr>
          <w:rFonts w:ascii="Times New Roman" w:hAnsi="Times New Roman"/>
          <w:sz w:val="24"/>
          <w:szCs w:val="24"/>
        </w:rPr>
        <w:t xml:space="preserve"> the abuse of them by a species too brutish, selfish and short-sighted to account for the consequences of its acts. Metzger connects himself through destruction with the essence of creation, and therefore creativity. In much simpler terms, he addressed his fascination with the news and, interestingly, resolving into a trait common to Holocaust survivors: seeming </w:t>
      </w:r>
      <w:r w:rsidRPr="0041397B">
        <w:rPr>
          <w:rFonts w:ascii="Times New Roman" w:hAnsi="Times New Roman"/>
          <w:sz w:val="24"/>
          <w:szCs w:val="24"/>
        </w:rPr>
        <w:t>l</w:t>
      </w:r>
      <w:r>
        <w:rPr>
          <w:rFonts w:ascii="Times New Roman" w:hAnsi="Times New Roman"/>
          <w:sz w:val="24"/>
          <w:szCs w:val="24"/>
        </w:rPr>
        <w:t>oss of faith (</w:t>
      </w:r>
      <w:proofErr w:type="spellStart"/>
      <w:r>
        <w:rPr>
          <w:rFonts w:ascii="Times New Roman" w:hAnsi="Times New Roman"/>
          <w:sz w:val="24"/>
          <w:szCs w:val="24"/>
        </w:rPr>
        <w:t>Yahav</w:t>
      </w:r>
      <w:proofErr w:type="spellEnd"/>
      <w:r>
        <w:rPr>
          <w:rFonts w:ascii="Times New Roman" w:hAnsi="Times New Roman"/>
          <w:sz w:val="24"/>
          <w:szCs w:val="24"/>
        </w:rPr>
        <w:t>, 2014)</w:t>
      </w:r>
      <w:bookmarkStart w:id="0" w:name="__DdeLink__1271_3308420453"/>
      <w:r>
        <w:rPr>
          <w:rFonts w:ascii="Times New Roman" w:hAnsi="Times New Roman"/>
          <w:sz w:val="24"/>
          <w:szCs w:val="24"/>
        </w:rPr>
        <w:t>.</w:t>
      </w:r>
    </w:p>
    <w:p w:rsidR="00770735" w:rsidRDefault="001E042E">
      <w:pPr>
        <w:spacing w:line="480" w:lineRule="auto"/>
        <w:ind w:left="720"/>
        <w:jc w:val="both"/>
      </w:pPr>
      <w:r>
        <w:rPr>
          <w:rFonts w:ascii="Times New Roman" w:hAnsi="Times New Roman"/>
          <w:szCs w:val="24"/>
        </w:rPr>
        <w:t xml:space="preserve">I think the question facing us – certainly the question facing me – is ‘What does it mean?’ And that’s one reason I spend so much time with newspapers and magazines, looking at the image and the text. What does it mean to me? How can it be used, or misused? What are they hiding? This constant analysis doesn’t </w:t>
      </w:r>
      <w:proofErr w:type="gramStart"/>
      <w:r>
        <w:rPr>
          <w:rFonts w:ascii="Times New Roman" w:hAnsi="Times New Roman"/>
          <w:szCs w:val="24"/>
        </w:rPr>
        <w:t>actually lead</w:t>
      </w:r>
      <w:proofErr w:type="gramEnd"/>
      <w:r>
        <w:rPr>
          <w:rFonts w:ascii="Times New Roman" w:hAnsi="Times New Roman"/>
          <w:szCs w:val="24"/>
        </w:rPr>
        <w:t xml:space="preserve"> me very far, but it certainly is a kind of duty. I do read newspapers for nothing: I go to the supermarkets, and the nearest thing to religion is that I go to supermarkets daily</w:t>
      </w:r>
      <w:bookmarkEnd w:id="0"/>
      <w:r>
        <w:rPr>
          <w:rFonts w:ascii="Times New Roman" w:hAnsi="Times New Roman"/>
          <w:szCs w:val="24"/>
        </w:rPr>
        <w:t xml:space="preserve"> </w:t>
      </w:r>
      <w:r>
        <w:rPr>
          <w:rFonts w:ascii="Times New Roman" w:hAnsi="Times New Roman"/>
          <w:sz w:val="24"/>
          <w:szCs w:val="24"/>
        </w:rPr>
        <w:t>(Metzger, 2007: 143-44).</w:t>
      </w:r>
    </w:p>
    <w:p w:rsidR="00770735" w:rsidRDefault="001E042E">
      <w:pPr>
        <w:spacing w:after="140" w:line="480" w:lineRule="auto"/>
        <w:jc w:val="both"/>
      </w:pPr>
      <w:r>
        <w:rPr>
          <w:rStyle w:val="StrongEmphasis"/>
          <w:rFonts w:ascii="Times New Roman" w:hAnsi="Times New Roman"/>
          <w:b w:val="0"/>
          <w:bCs w:val="0"/>
          <w:color w:val="373A3C"/>
          <w:sz w:val="24"/>
          <w:szCs w:val="24"/>
        </w:rPr>
        <w:t>The energy and intent with which the artist – already in his late seventies at the time of the performance - consigns the newspapers to their putative grave bears testament to a spirit expanded by long life.</w:t>
      </w:r>
    </w:p>
    <w:p w:rsidR="009E7940" w:rsidRDefault="009E7940">
      <w:pPr>
        <w:pStyle w:val="BodyText"/>
        <w:jc w:val="both"/>
        <w:rPr>
          <w:rStyle w:val="StrongEmphasis"/>
          <w:rFonts w:ascii="Times New Roman" w:hAnsi="Times New Roman" w:cs="Times New Roman"/>
          <w:color w:val="373A3C"/>
          <w:sz w:val="24"/>
          <w:szCs w:val="24"/>
        </w:rPr>
      </w:pPr>
    </w:p>
    <w:p w:rsidR="00770735" w:rsidRDefault="001E042E">
      <w:pPr>
        <w:pStyle w:val="BodyText"/>
        <w:jc w:val="both"/>
        <w:rPr>
          <w:rStyle w:val="StrongEmphasis"/>
          <w:rFonts w:ascii="Times New Roman" w:hAnsi="Times New Roman" w:cs="Times New Roman"/>
          <w:color w:val="373A3C"/>
          <w:sz w:val="24"/>
          <w:szCs w:val="24"/>
        </w:rPr>
      </w:pPr>
      <w:r>
        <w:rPr>
          <w:rStyle w:val="StrongEmphasis"/>
          <w:rFonts w:ascii="Times New Roman" w:hAnsi="Times New Roman" w:cs="Times New Roman"/>
          <w:color w:val="373A3C"/>
          <w:sz w:val="24"/>
          <w:szCs w:val="24"/>
        </w:rPr>
        <w:lastRenderedPageBreak/>
        <w:t xml:space="preserve">A question I wish to research and write about next year </w:t>
      </w:r>
    </w:p>
    <w:p w:rsidR="00770735" w:rsidRDefault="00770735">
      <w:pPr>
        <w:pStyle w:val="BodyText"/>
        <w:jc w:val="both"/>
        <w:rPr>
          <w:rFonts w:ascii="Times New Roman" w:hAnsi="Times New Roman" w:cs="Times New Roman"/>
          <w:sz w:val="24"/>
          <w:szCs w:val="24"/>
        </w:rPr>
      </w:pPr>
    </w:p>
    <w:p w:rsidR="00770735" w:rsidRDefault="001E042E">
      <w:pPr>
        <w:pStyle w:val="BodyText"/>
        <w:spacing w:line="480" w:lineRule="auto"/>
      </w:pPr>
      <w:r>
        <w:rPr>
          <w:rStyle w:val="StrongEmphasis"/>
          <w:rFonts w:ascii="Times New Roman" w:hAnsi="Times New Roman"/>
          <w:b w:val="0"/>
          <w:color w:val="000000"/>
          <w:sz w:val="24"/>
          <w:szCs w:val="24"/>
        </w:rPr>
        <w:t xml:space="preserve">In the wake of his death in 2017 (Grimes, 2017) academic research into </w:t>
      </w:r>
      <w:proofErr w:type="spellStart"/>
      <w:r>
        <w:rPr>
          <w:rStyle w:val="StrongEmphasis"/>
          <w:rFonts w:ascii="Times New Roman" w:hAnsi="Times New Roman"/>
          <w:b w:val="0"/>
          <w:color w:val="000000"/>
          <w:sz w:val="24"/>
          <w:szCs w:val="24"/>
        </w:rPr>
        <w:t>Meztger’s</w:t>
      </w:r>
      <w:proofErr w:type="spellEnd"/>
      <w:r>
        <w:rPr>
          <w:rStyle w:val="StrongEmphasis"/>
          <w:rFonts w:ascii="Times New Roman" w:hAnsi="Times New Roman"/>
          <w:b w:val="0"/>
          <w:color w:val="000000"/>
          <w:sz w:val="24"/>
          <w:szCs w:val="24"/>
        </w:rPr>
        <w:t xml:space="preserve"> life and its relationship to his work today remains relatively sparse, mostly online. The issues and challenges, against which Metzger threw the weight of his humanity and life’s work, raises fundamental questions about how an artist’s practice is informed by major life crises and critical influences, be they those of childhood, youth, faith, fortune or misfortune. </w:t>
      </w:r>
    </w:p>
    <w:p w:rsidR="00770735" w:rsidRDefault="001E042E">
      <w:pPr>
        <w:spacing w:after="140" w:line="480" w:lineRule="auto"/>
        <w:jc w:val="both"/>
      </w:pPr>
      <w:r>
        <w:rPr>
          <w:rStyle w:val="StrongEmphasis"/>
          <w:rFonts w:ascii="Times New Roman" w:hAnsi="Times New Roman"/>
          <w:b w:val="0"/>
          <w:color w:val="000000"/>
          <w:sz w:val="24"/>
          <w:szCs w:val="24"/>
        </w:rPr>
        <w:t xml:space="preserve">Metzger’s impact on my practice is substantial. As a child of post-Holocaust Jews, born into and inured artistically to the mid-century past, Metzger has become an unlikely but ideal Muse. His cranky, unyielding dedication to make outsider art addressing the inner truths and falsehoods of the world we knew, that now, and even of that to come, provides a nurturing energy paradoxically redolent both of confrontation and compassion. His shining pool of insight informs my practice, humbly perhaps but nevertheless with a conviction that my debt to Metzger is already great, and will no doubt grow. </w:t>
      </w:r>
    </w:p>
    <w:p w:rsidR="00770735" w:rsidRDefault="001E042E">
      <w:pPr>
        <w:pStyle w:val="BodyText"/>
        <w:spacing w:line="480" w:lineRule="auto"/>
        <w:jc w:val="both"/>
      </w:pPr>
      <w:r>
        <w:rPr>
          <w:rStyle w:val="StrongEmphasis"/>
          <w:rFonts w:ascii="Times New Roman" w:hAnsi="Times New Roman"/>
          <w:b w:val="0"/>
          <w:color w:val="000000"/>
          <w:sz w:val="24"/>
          <w:szCs w:val="24"/>
        </w:rPr>
        <w:t xml:space="preserve">The three themes – religiosity, revolution and revelation – are at once timeless and contemporary. As a revolutionary artist Metzger’s contribution to and reflection of his century, paralleling as it did great shifts in history and art, deserves to be better unearthed and understood. </w:t>
      </w:r>
    </w:p>
    <w:p w:rsidR="009E7940" w:rsidRPr="009E7940" w:rsidRDefault="009E7940">
      <w:pPr>
        <w:pStyle w:val="NormalWeb"/>
        <w:shd w:val="clear" w:color="auto" w:fill="FFFFFF"/>
        <w:spacing w:beforeAutospacing="0" w:after="120" w:afterAutospacing="0"/>
        <w:rPr>
          <w:rFonts w:eastAsia="Georgia"/>
          <w:b/>
          <w:color w:val="333333"/>
          <w:shd w:val="clear" w:color="auto" w:fill="FFFFFF"/>
        </w:rPr>
      </w:pPr>
      <w:r w:rsidRPr="009E7940">
        <w:rPr>
          <w:rFonts w:eastAsia="Georgia"/>
          <w:b/>
          <w:color w:val="333333"/>
          <w:shd w:val="clear" w:color="auto" w:fill="FFFFFF"/>
        </w:rPr>
        <w:t>Research Question</w:t>
      </w:r>
    </w:p>
    <w:p w:rsidR="00770735" w:rsidRDefault="001E042E" w:rsidP="00A3282A">
      <w:pPr>
        <w:pStyle w:val="NormalWeb"/>
        <w:shd w:val="clear" w:color="auto" w:fill="FFFFFF"/>
        <w:spacing w:beforeAutospacing="0" w:after="120" w:afterAutospacing="0" w:line="480" w:lineRule="auto"/>
        <w:rPr>
          <w:rFonts w:eastAsia="Georgia"/>
          <w:color w:val="333333"/>
        </w:rPr>
      </w:pPr>
      <w:r>
        <w:rPr>
          <w:rFonts w:eastAsia="Georgia"/>
          <w:color w:val="333333"/>
          <w:shd w:val="clear" w:color="auto" w:fill="FFFFFF"/>
        </w:rPr>
        <w:t>The purpose of this study is to explore the association between Gustav Metzger’s formative experiences and future practice</w:t>
      </w:r>
      <w:r w:rsidR="00985606">
        <w:rPr>
          <w:rFonts w:eastAsia="Georgia"/>
          <w:color w:val="333333"/>
          <w:shd w:val="clear" w:color="auto" w:fill="FFFFFF"/>
        </w:rPr>
        <w:t>; also, create a suitable context for Metzger’s life and practice in terms of the art culture and influences that had a bearing on his work.</w:t>
      </w:r>
    </w:p>
    <w:p w:rsidR="00770735" w:rsidRDefault="00770735">
      <w:pPr>
        <w:spacing w:line="480" w:lineRule="auto"/>
        <w:rPr>
          <w:rFonts w:ascii="Times New Roman" w:hAnsi="Times New Roman" w:cs="Times New Roman"/>
          <w:b/>
          <w:bCs/>
          <w:sz w:val="24"/>
          <w:szCs w:val="24"/>
          <w:u w:val="single"/>
        </w:rPr>
      </w:pPr>
    </w:p>
    <w:p w:rsidR="00770735" w:rsidRDefault="00770735">
      <w:pPr>
        <w:spacing w:line="480" w:lineRule="auto"/>
        <w:rPr>
          <w:rFonts w:ascii="Times New Roman" w:hAnsi="Times New Roman" w:cs="Times New Roman"/>
          <w:b/>
          <w:bCs/>
          <w:sz w:val="24"/>
          <w:szCs w:val="24"/>
          <w:u w:val="single"/>
        </w:rPr>
      </w:pPr>
    </w:p>
    <w:p w:rsidR="00770735" w:rsidRDefault="00985606" w:rsidP="00CC67A2">
      <w:pPr>
        <w:spacing w:line="480" w:lineRule="auto"/>
      </w:pPr>
      <w:r>
        <w:rPr>
          <w:rFonts w:ascii="Times New Roman" w:hAnsi="Times New Roman" w:cs="Times New Roman"/>
          <w:b/>
          <w:bCs/>
          <w:sz w:val="24"/>
          <w:szCs w:val="24"/>
          <w:u w:val="single"/>
        </w:rPr>
        <w:lastRenderedPageBreak/>
        <w:t>B</w:t>
      </w:r>
      <w:r w:rsidR="001E042E">
        <w:rPr>
          <w:rFonts w:ascii="Times New Roman" w:hAnsi="Times New Roman" w:cs="Times New Roman"/>
          <w:b/>
          <w:bCs/>
          <w:sz w:val="24"/>
          <w:szCs w:val="24"/>
          <w:u w:val="single"/>
        </w:rPr>
        <w:t>ibliography</w:t>
      </w:r>
      <w:r w:rsidR="001E042E">
        <w:rPr>
          <w:rFonts w:ascii="Times New Roman" w:hAnsi="Times New Roman" w:cs="Times New Roman"/>
          <w:b/>
          <w:bCs/>
          <w:sz w:val="24"/>
          <w:szCs w:val="24"/>
          <w:u w:val="single"/>
        </w:rPr>
        <w:br/>
      </w:r>
      <w:bookmarkStart w:id="1" w:name="_GoBack"/>
      <w:r w:rsidR="001E042E">
        <w:rPr>
          <w:rFonts w:ascii="Times New Roman" w:hAnsi="Times New Roman" w:cs="Times New Roman"/>
          <w:b/>
          <w:bCs/>
          <w:sz w:val="24"/>
          <w:szCs w:val="24"/>
          <w:u w:val="single"/>
        </w:rPr>
        <w:t>Books</w:t>
      </w:r>
    </w:p>
    <w:p w:rsidR="00770735" w:rsidRPr="00290571" w:rsidRDefault="001E042E" w:rsidP="00CC67A2">
      <w:pPr>
        <w:pStyle w:val="Heading2"/>
        <w:spacing w:before="0" w:after="140" w:line="480" w:lineRule="auto"/>
        <w:rPr>
          <w:rFonts w:ascii="Times New Roman" w:hAnsi="Times New Roman"/>
          <w:color w:val="auto"/>
          <w:sz w:val="24"/>
          <w:szCs w:val="24"/>
        </w:rPr>
      </w:pPr>
      <w:r w:rsidRPr="00290571">
        <w:rPr>
          <w:rFonts w:ascii="Times New Roman" w:hAnsi="Times New Roman"/>
          <w:color w:val="auto"/>
          <w:sz w:val="24"/>
          <w:szCs w:val="24"/>
        </w:rPr>
        <w:t xml:space="preserve">Fisher, E. (2104) </w:t>
      </w:r>
      <w:r w:rsidRPr="00290571">
        <w:rPr>
          <w:rFonts w:ascii="Times New Roman" w:hAnsi="Times New Roman"/>
          <w:i/>
          <w:iCs/>
          <w:color w:val="auto"/>
          <w:sz w:val="24"/>
          <w:szCs w:val="24"/>
        </w:rPr>
        <w:t xml:space="preserve">Gustav Metzger: Lift Off! </w:t>
      </w:r>
      <w:r w:rsidRPr="00290571">
        <w:rPr>
          <w:rFonts w:ascii="Times New Roman" w:hAnsi="Times New Roman"/>
          <w:color w:val="auto"/>
          <w:sz w:val="24"/>
          <w:szCs w:val="24"/>
        </w:rPr>
        <w:t>Cambridge:</w:t>
      </w:r>
      <w:r w:rsidRPr="00290571">
        <w:rPr>
          <w:rFonts w:ascii="Times New Roman" w:hAnsi="Times New Roman"/>
          <w:i/>
          <w:iCs/>
          <w:color w:val="auto"/>
          <w:sz w:val="24"/>
          <w:szCs w:val="24"/>
        </w:rPr>
        <w:t xml:space="preserve"> </w:t>
      </w:r>
      <w:r w:rsidRPr="00290571">
        <w:rPr>
          <w:rFonts w:ascii="Times New Roman" w:hAnsi="Times New Roman"/>
          <w:color w:val="auto"/>
          <w:sz w:val="24"/>
          <w:szCs w:val="24"/>
        </w:rPr>
        <w:t>Kettle’s Yard Publications</w:t>
      </w:r>
    </w:p>
    <w:p w:rsidR="00770735" w:rsidRDefault="001E042E" w:rsidP="00CC67A2">
      <w:pPr>
        <w:spacing w:line="480" w:lineRule="auto"/>
        <w:rPr>
          <w:rFonts w:ascii="Times New Roman" w:hAnsi="Times New Roman"/>
          <w:color w:val="333333"/>
          <w:sz w:val="24"/>
          <w:szCs w:val="24"/>
        </w:rPr>
      </w:pPr>
      <w:r>
        <w:rPr>
          <w:rFonts w:ascii="Times New Roman" w:hAnsi="Times New Roman"/>
          <w:sz w:val="24"/>
          <w:szCs w:val="24"/>
        </w:rPr>
        <w:t xml:space="preserve">Fisher, J. Hiller, S. </w:t>
      </w:r>
      <w:r>
        <w:rPr>
          <w:rFonts w:ascii="Times New Roman" w:hAnsi="Times New Roman"/>
          <w:i/>
          <w:iCs/>
          <w:sz w:val="24"/>
          <w:szCs w:val="24"/>
        </w:rPr>
        <w:t>(</w:t>
      </w:r>
      <w:r>
        <w:rPr>
          <w:rFonts w:ascii="Times New Roman" w:hAnsi="Times New Roman"/>
          <w:sz w:val="24"/>
          <w:szCs w:val="24"/>
        </w:rPr>
        <w:t xml:space="preserve">1999) </w:t>
      </w:r>
      <w:r>
        <w:rPr>
          <w:rFonts w:ascii="Times New Roman" w:hAnsi="Times New Roman"/>
          <w:i/>
          <w:iCs/>
          <w:sz w:val="24"/>
          <w:szCs w:val="24"/>
        </w:rPr>
        <w:t xml:space="preserve">Dream Machines. </w:t>
      </w:r>
      <w:r>
        <w:rPr>
          <w:rFonts w:ascii="Times New Roman" w:hAnsi="Times New Roman"/>
          <w:sz w:val="24"/>
          <w:szCs w:val="24"/>
        </w:rPr>
        <w:t xml:space="preserve">London: Hayward </w:t>
      </w:r>
      <w:r>
        <w:rPr>
          <w:rFonts w:ascii="Times New Roman" w:hAnsi="Times New Roman"/>
          <w:color w:val="333333"/>
          <w:sz w:val="24"/>
          <w:szCs w:val="24"/>
        </w:rPr>
        <w:t>National Touring Exhibitions.</w:t>
      </w:r>
    </w:p>
    <w:p w:rsidR="00770735" w:rsidRDefault="001E042E" w:rsidP="00CC67A2">
      <w:pPr>
        <w:spacing w:line="480" w:lineRule="auto"/>
        <w:rPr>
          <w:rFonts w:ascii="Times New Roman" w:hAnsi="Times New Roman"/>
          <w:color w:val="333333"/>
          <w:sz w:val="24"/>
          <w:szCs w:val="24"/>
        </w:rPr>
      </w:pPr>
      <w:r>
        <w:rPr>
          <w:rFonts w:ascii="Times New Roman" w:hAnsi="Times New Roman"/>
          <w:color w:val="333333"/>
          <w:sz w:val="24"/>
          <w:szCs w:val="24"/>
        </w:rPr>
        <w:br/>
        <w:t xml:space="preserve">Morley, S. (Ed.) (2010) </w:t>
      </w:r>
      <w:r>
        <w:rPr>
          <w:rFonts w:ascii="Times New Roman" w:hAnsi="Times New Roman"/>
          <w:i/>
          <w:iCs/>
          <w:color w:val="333333"/>
          <w:sz w:val="24"/>
          <w:szCs w:val="24"/>
        </w:rPr>
        <w:t xml:space="preserve">The Sublime: Documents of Contemporary Art. </w:t>
      </w:r>
      <w:r>
        <w:rPr>
          <w:rFonts w:ascii="Times New Roman" w:hAnsi="Times New Roman"/>
          <w:color w:val="333333"/>
          <w:sz w:val="24"/>
          <w:szCs w:val="24"/>
        </w:rPr>
        <w:t>London: Whitechapel Gallery/MIT Press.</w:t>
      </w:r>
    </w:p>
    <w:p w:rsidR="00770735" w:rsidRDefault="001E042E" w:rsidP="00CC67A2">
      <w:pPr>
        <w:spacing w:line="480" w:lineRule="auto"/>
      </w:pPr>
      <w:r>
        <w:rPr>
          <w:rFonts w:ascii="Times New Roman" w:hAnsi="Times New Roman"/>
          <w:color w:val="333333"/>
          <w:sz w:val="24"/>
          <w:szCs w:val="24"/>
        </w:rPr>
        <w:br/>
      </w:r>
      <w:r>
        <w:rPr>
          <w:rFonts w:ascii="Times New Roman" w:hAnsi="Times New Roman"/>
          <w:color w:val="000000"/>
          <w:sz w:val="24"/>
          <w:szCs w:val="24"/>
        </w:rPr>
        <w:t xml:space="preserve">Kelly M. Kapic and Wesley Vander </w:t>
      </w:r>
      <w:proofErr w:type="spellStart"/>
      <w:r>
        <w:rPr>
          <w:rFonts w:ascii="Times New Roman" w:hAnsi="Times New Roman"/>
          <w:color w:val="000000"/>
          <w:sz w:val="24"/>
          <w:szCs w:val="24"/>
        </w:rPr>
        <w:t>Lugt</w:t>
      </w:r>
      <w:proofErr w:type="spellEnd"/>
      <w:r>
        <w:rPr>
          <w:rFonts w:ascii="Times New Roman" w:hAnsi="Times New Roman"/>
          <w:color w:val="000000"/>
          <w:sz w:val="24"/>
          <w:szCs w:val="24"/>
        </w:rPr>
        <w:t xml:space="preserve"> (2013) </w:t>
      </w:r>
      <w:r>
        <w:rPr>
          <w:rFonts w:ascii="Times New Roman" w:hAnsi="Times New Roman"/>
          <w:i/>
          <w:iCs/>
          <w:color w:val="000000"/>
          <w:sz w:val="24"/>
          <w:szCs w:val="24"/>
        </w:rPr>
        <w:t>Pocket Dictionary of the Reformed Tradition.</w:t>
      </w:r>
      <w:r>
        <w:rPr>
          <w:rFonts w:ascii="Times New Roman" w:hAnsi="Times New Roman"/>
          <w:color w:val="000000"/>
          <w:sz w:val="24"/>
          <w:szCs w:val="24"/>
        </w:rPr>
        <w:t xml:space="preserve"> Grove, Illinois: Inter-Varsity Press.</w:t>
      </w:r>
    </w:p>
    <w:p w:rsidR="00770735" w:rsidRDefault="001E042E" w:rsidP="00CC67A2">
      <w:pPr>
        <w:pStyle w:val="Heading2"/>
        <w:spacing w:line="480" w:lineRule="auto"/>
        <w:rPr>
          <w:rFonts w:ascii="Times New Roman" w:hAnsi="Times New Roman" w:cs="Times New Roman"/>
          <w:b/>
          <w:color w:val="000000" w:themeColor="text1"/>
          <w:sz w:val="24"/>
          <w:szCs w:val="24"/>
          <w:u w:val="single"/>
        </w:rPr>
      </w:pPr>
      <w:r>
        <w:rPr>
          <w:rFonts w:ascii="Times New Roman" w:hAnsi="Times New Roman" w:cs="Times New Roman"/>
          <w:b/>
          <w:color w:val="000000" w:themeColor="text1"/>
          <w:sz w:val="24"/>
          <w:szCs w:val="24"/>
          <w:u w:val="single"/>
        </w:rPr>
        <w:t>E-books</w:t>
      </w:r>
    </w:p>
    <w:p w:rsidR="00770735" w:rsidRDefault="001E042E" w:rsidP="00CC67A2">
      <w:pPr>
        <w:pStyle w:val="Heading2"/>
        <w:spacing w:line="480" w:lineRule="auto"/>
        <w:rPr>
          <w:rFonts w:ascii="Times New Roman" w:hAnsi="Times New Roman" w:cs="Times New Roman"/>
          <w:color w:val="000000" w:themeColor="text1"/>
          <w:sz w:val="24"/>
          <w:szCs w:val="24"/>
          <w:lang w:val="en"/>
        </w:rPr>
      </w:pPr>
      <w:r>
        <w:rPr>
          <w:rFonts w:ascii="Times New Roman" w:hAnsi="Times New Roman" w:cs="Times New Roman"/>
          <w:bCs/>
          <w:color w:val="000000" w:themeColor="text1"/>
          <w:sz w:val="24"/>
          <w:szCs w:val="24"/>
        </w:rPr>
        <w:t>Metzger, G. (1969)</w:t>
      </w:r>
      <w:r>
        <w:rPr>
          <w:rFonts w:ascii="Times New Roman" w:hAnsi="Times New Roman" w:cs="Times New Roman"/>
          <w:b/>
          <w:bCs/>
          <w:color w:val="000000" w:themeColor="text1"/>
          <w:sz w:val="24"/>
          <w:szCs w:val="24"/>
        </w:rPr>
        <w:t xml:space="preserve"> </w:t>
      </w:r>
      <w:r>
        <w:rPr>
          <w:rStyle w:val="InternetLink"/>
          <w:rFonts w:ascii="Times New Roman" w:hAnsi="Times New Roman" w:cs="Times New Roman"/>
          <w:i/>
          <w:iCs/>
          <w:color w:val="000000" w:themeColor="text1"/>
          <w:sz w:val="24"/>
          <w:szCs w:val="24"/>
          <w:u w:val="none"/>
          <w:lang w:val="en"/>
        </w:rPr>
        <w:t>Notes on the Crisis in Technological Art, 1969</w:t>
      </w:r>
      <w:r>
        <w:rPr>
          <w:rFonts w:ascii="Times New Roman" w:hAnsi="Times New Roman" w:cs="Times New Roman"/>
          <w:color w:val="000000" w:themeColor="text1"/>
          <w:sz w:val="24"/>
          <w:szCs w:val="24"/>
          <w:lang w:val="en"/>
        </w:rPr>
        <w:t xml:space="preserve">. </w:t>
      </w:r>
      <w:proofErr w:type="spellStart"/>
      <w:r>
        <w:rPr>
          <w:rFonts w:ascii="Times New Roman" w:hAnsi="Times New Roman" w:cs="Times New Roman"/>
          <w:i/>
          <w:color w:val="000000" w:themeColor="text1"/>
          <w:sz w:val="24"/>
          <w:szCs w:val="24"/>
          <w:lang w:val="en"/>
        </w:rPr>
        <w:t>Monoskop</w:t>
      </w:r>
      <w:proofErr w:type="spellEnd"/>
      <w:r>
        <w:rPr>
          <w:rFonts w:ascii="Times New Roman" w:hAnsi="Times New Roman" w:cs="Times New Roman"/>
          <w:color w:val="000000" w:themeColor="text1"/>
          <w:sz w:val="24"/>
          <w:szCs w:val="24"/>
          <w:lang w:val="en"/>
        </w:rPr>
        <w:t xml:space="preserve"> [Online]. Available at: https://monoskop.org/File:Metzger_Gustav_Notes_on_the_Crisis_in_Technological_Art_1969.pdf (Accessed October 24, 2017).</w:t>
      </w:r>
    </w:p>
    <w:p w:rsidR="00770735" w:rsidRDefault="00770735" w:rsidP="00CC67A2">
      <w:pPr>
        <w:spacing w:line="480" w:lineRule="auto"/>
        <w:rPr>
          <w:lang w:val="en"/>
        </w:rPr>
      </w:pPr>
    </w:p>
    <w:p w:rsidR="00770735" w:rsidRDefault="001E042E" w:rsidP="00CC67A2">
      <w:pPr>
        <w:pStyle w:val="Heading2"/>
        <w:spacing w:line="480" w:lineRule="auto"/>
      </w:pPr>
      <w:r>
        <w:rPr>
          <w:rFonts w:ascii="Times New Roman" w:hAnsi="Times New Roman" w:cs="Times New Roman"/>
          <w:b/>
          <w:color w:val="000000" w:themeColor="text1"/>
          <w:sz w:val="24"/>
          <w:szCs w:val="24"/>
          <w:u w:val="single"/>
        </w:rPr>
        <w:t xml:space="preserve">Essays </w:t>
      </w:r>
      <w:proofErr w:type="gramStart"/>
      <w:r>
        <w:rPr>
          <w:rFonts w:ascii="Times New Roman" w:hAnsi="Times New Roman" w:cs="Times New Roman"/>
          <w:b/>
          <w:color w:val="000000" w:themeColor="text1"/>
          <w:sz w:val="24"/>
          <w:szCs w:val="24"/>
          <w:u w:val="single"/>
        </w:rPr>
        <w:t>In</w:t>
      </w:r>
      <w:proofErr w:type="gramEnd"/>
      <w:r>
        <w:rPr>
          <w:rFonts w:ascii="Times New Roman" w:hAnsi="Times New Roman" w:cs="Times New Roman"/>
          <w:b/>
          <w:color w:val="000000" w:themeColor="text1"/>
          <w:sz w:val="24"/>
          <w:szCs w:val="24"/>
          <w:u w:val="single"/>
        </w:rPr>
        <w:t xml:space="preserve"> Edited Books</w:t>
      </w:r>
    </w:p>
    <w:p w:rsidR="00770735" w:rsidRPr="00290571" w:rsidRDefault="001E042E" w:rsidP="00CC67A2">
      <w:pPr>
        <w:spacing w:line="480" w:lineRule="auto"/>
        <w:rPr>
          <w:rStyle w:val="HTMLCite"/>
          <w:rFonts w:ascii="Times New Roman" w:hAnsi="Times New Roman" w:cs="Times New Roman"/>
          <w:i w:val="0"/>
          <w:color w:val="auto"/>
          <w:sz w:val="24"/>
          <w:szCs w:val="24"/>
        </w:rPr>
      </w:pPr>
      <w:r>
        <w:rPr>
          <w:rStyle w:val="HTMLCite"/>
          <w:rFonts w:ascii="Times New Roman" w:hAnsi="Times New Roman" w:cs="Times New Roman"/>
          <w:i w:val="0"/>
          <w:sz w:val="24"/>
          <w:szCs w:val="24"/>
        </w:rPr>
        <w:t xml:space="preserve">O’Brien, S. (2009) ‘Transformation and Transcendence’, in </w:t>
      </w:r>
      <w:proofErr w:type="spellStart"/>
      <w:r>
        <w:rPr>
          <w:rStyle w:val="HTMLCite"/>
          <w:rFonts w:ascii="Times New Roman" w:hAnsi="Times New Roman" w:cs="Times New Roman"/>
          <w:i w:val="0"/>
          <w:sz w:val="24"/>
          <w:szCs w:val="24"/>
        </w:rPr>
        <w:t>Larner</w:t>
      </w:r>
      <w:proofErr w:type="spellEnd"/>
      <w:r>
        <w:rPr>
          <w:rStyle w:val="HTMLCite"/>
          <w:rFonts w:ascii="Times New Roman" w:hAnsi="Times New Roman" w:cs="Times New Roman"/>
          <w:i w:val="0"/>
          <w:sz w:val="24"/>
          <w:szCs w:val="24"/>
        </w:rPr>
        <w:t xml:space="preserve">, M., O’Brien, S. (ed) </w:t>
      </w:r>
      <w:r w:rsidRPr="00290571">
        <w:rPr>
          <w:rStyle w:val="HTMLCite"/>
          <w:rFonts w:ascii="Times New Roman" w:hAnsi="Times New Roman" w:cs="Times New Roman"/>
          <w:color w:val="auto"/>
          <w:sz w:val="24"/>
          <w:szCs w:val="24"/>
        </w:rPr>
        <w:t>Gustav Metzger Decades: 1959-2009</w:t>
      </w:r>
      <w:r w:rsidRPr="00290571">
        <w:rPr>
          <w:rStyle w:val="HTMLCite"/>
          <w:rFonts w:ascii="Times New Roman" w:hAnsi="Times New Roman" w:cs="Times New Roman"/>
          <w:i w:val="0"/>
          <w:color w:val="auto"/>
          <w:sz w:val="24"/>
          <w:szCs w:val="24"/>
        </w:rPr>
        <w:t>. London: Koenig Books: 32-40.</w:t>
      </w:r>
    </w:p>
    <w:p w:rsidR="00770735" w:rsidRPr="00290571" w:rsidRDefault="001E042E" w:rsidP="00CC67A2">
      <w:pPr>
        <w:spacing w:line="480" w:lineRule="auto"/>
        <w:rPr>
          <w:rFonts w:ascii="Times New Roman" w:hAnsi="Times New Roman" w:cs="Times New Roman"/>
          <w:color w:val="auto"/>
          <w:sz w:val="24"/>
          <w:szCs w:val="24"/>
        </w:rPr>
      </w:pPr>
      <w:r w:rsidRPr="00290571">
        <w:rPr>
          <w:rStyle w:val="HTMLCite"/>
          <w:rFonts w:ascii="Times New Roman" w:hAnsi="Times New Roman" w:cs="Times New Roman"/>
          <w:i w:val="0"/>
          <w:color w:val="auto"/>
          <w:sz w:val="24"/>
          <w:szCs w:val="24"/>
        </w:rPr>
        <w:t xml:space="preserve">Rosenthal, R.  (2009) ‘Survival’, in </w:t>
      </w:r>
      <w:proofErr w:type="spellStart"/>
      <w:r w:rsidRPr="00290571">
        <w:rPr>
          <w:rStyle w:val="HTMLCite"/>
          <w:rFonts w:ascii="Times New Roman" w:hAnsi="Times New Roman" w:cs="Times New Roman"/>
          <w:i w:val="0"/>
          <w:color w:val="auto"/>
          <w:sz w:val="24"/>
          <w:szCs w:val="24"/>
        </w:rPr>
        <w:t>Larner</w:t>
      </w:r>
      <w:proofErr w:type="spellEnd"/>
      <w:r w:rsidRPr="00290571">
        <w:rPr>
          <w:rStyle w:val="HTMLCite"/>
          <w:rFonts w:ascii="Times New Roman" w:hAnsi="Times New Roman" w:cs="Times New Roman"/>
          <w:i w:val="0"/>
          <w:color w:val="auto"/>
          <w:sz w:val="24"/>
          <w:szCs w:val="24"/>
        </w:rPr>
        <w:t xml:space="preserve">, M., O’Brien, S. (ed) </w:t>
      </w:r>
      <w:r w:rsidRPr="00290571">
        <w:rPr>
          <w:rStyle w:val="HTMLCite"/>
          <w:rFonts w:ascii="Times New Roman" w:hAnsi="Times New Roman" w:cs="Times New Roman"/>
          <w:color w:val="auto"/>
          <w:sz w:val="24"/>
          <w:szCs w:val="24"/>
        </w:rPr>
        <w:t>Gustav Metzger Decades: 1959-2009</w:t>
      </w:r>
      <w:r w:rsidRPr="00290571">
        <w:rPr>
          <w:rStyle w:val="HTMLCite"/>
          <w:rFonts w:ascii="Times New Roman" w:hAnsi="Times New Roman" w:cs="Times New Roman"/>
          <w:i w:val="0"/>
          <w:color w:val="auto"/>
          <w:sz w:val="24"/>
          <w:szCs w:val="24"/>
        </w:rPr>
        <w:t>. London: Koenig Books: 32-40.</w:t>
      </w:r>
    </w:p>
    <w:p w:rsidR="00770735" w:rsidRPr="00290571" w:rsidRDefault="001E042E" w:rsidP="00CC67A2">
      <w:pPr>
        <w:pStyle w:val="Heading2"/>
        <w:spacing w:line="480" w:lineRule="auto"/>
        <w:rPr>
          <w:color w:val="auto"/>
        </w:rPr>
      </w:pPr>
      <w:r w:rsidRPr="00290571">
        <w:rPr>
          <w:rFonts w:ascii="Times New Roman" w:hAnsi="Times New Roman" w:cs="Times New Roman"/>
          <w:b/>
          <w:color w:val="auto"/>
          <w:sz w:val="24"/>
          <w:szCs w:val="24"/>
          <w:u w:val="single"/>
        </w:rPr>
        <w:lastRenderedPageBreak/>
        <w:t>Images</w:t>
      </w:r>
    </w:p>
    <w:p w:rsidR="00770735" w:rsidRPr="00290571" w:rsidRDefault="001E042E" w:rsidP="00CC67A2">
      <w:pPr>
        <w:spacing w:after="0" w:line="480" w:lineRule="auto"/>
        <w:rPr>
          <w:color w:val="auto"/>
        </w:rPr>
      </w:pPr>
      <w:r w:rsidRPr="00290571">
        <w:rPr>
          <w:rFonts w:ascii="Times New Roman" w:hAnsi="Times New Roman" w:cs="Times New Roman"/>
          <w:color w:val="auto"/>
          <w:sz w:val="24"/>
          <w:szCs w:val="24"/>
        </w:rPr>
        <w:t xml:space="preserve">Anon. (2016) </w:t>
      </w:r>
      <w:r w:rsidRPr="00290571">
        <w:rPr>
          <w:rFonts w:ascii="Times New Roman" w:hAnsi="Times New Roman" w:cs="Times New Roman"/>
          <w:i/>
          <w:color w:val="auto"/>
          <w:sz w:val="24"/>
          <w:szCs w:val="24"/>
        </w:rPr>
        <w:t>Gustav Metzger</w:t>
      </w:r>
      <w:r w:rsidRPr="00290571">
        <w:rPr>
          <w:rFonts w:ascii="Times New Roman" w:hAnsi="Times New Roman" w:cs="Times New Roman"/>
          <w:color w:val="auto"/>
          <w:sz w:val="24"/>
          <w:szCs w:val="24"/>
        </w:rPr>
        <w:t xml:space="preserve"> [Online]. Available at: https://vimeo.com/142691182</w:t>
      </w:r>
    </w:p>
    <w:p w:rsidR="00770735" w:rsidRPr="00290571" w:rsidRDefault="001E042E" w:rsidP="00CC67A2">
      <w:pPr>
        <w:spacing w:after="0" w:line="480" w:lineRule="auto"/>
        <w:rPr>
          <w:rFonts w:ascii="Times New Roman" w:hAnsi="Times New Roman" w:cs="Times New Roman"/>
          <w:color w:val="auto"/>
          <w:sz w:val="24"/>
          <w:szCs w:val="24"/>
        </w:rPr>
      </w:pPr>
      <w:r w:rsidRPr="00290571">
        <w:rPr>
          <w:rFonts w:ascii="Times New Roman" w:hAnsi="Times New Roman" w:cs="Times New Roman"/>
          <w:color w:val="auto"/>
          <w:sz w:val="24"/>
          <w:szCs w:val="24"/>
        </w:rPr>
        <w:t>(Accessed: March 1, 2018).</w:t>
      </w:r>
    </w:p>
    <w:p w:rsidR="00770735" w:rsidRPr="00290571" w:rsidRDefault="00770735" w:rsidP="00CC67A2">
      <w:pPr>
        <w:spacing w:after="0" w:line="480" w:lineRule="auto"/>
        <w:rPr>
          <w:color w:val="auto"/>
        </w:rPr>
      </w:pPr>
    </w:p>
    <w:p w:rsidR="00770735" w:rsidRPr="00290571" w:rsidRDefault="001E042E" w:rsidP="00CC67A2">
      <w:pPr>
        <w:spacing w:line="480" w:lineRule="auto"/>
        <w:rPr>
          <w:color w:val="auto"/>
        </w:rPr>
      </w:pPr>
      <w:r w:rsidRPr="00290571">
        <w:rPr>
          <w:rFonts w:ascii="Times New Roman" w:hAnsi="Times New Roman" w:cs="Times New Roman"/>
          <w:color w:val="auto"/>
          <w:sz w:val="24"/>
          <w:szCs w:val="24"/>
        </w:rPr>
        <w:t xml:space="preserve">Anon. </w:t>
      </w:r>
      <w:bookmarkStart w:id="2" w:name="post-2406"/>
      <w:bookmarkEnd w:id="2"/>
      <w:r w:rsidRPr="00290571">
        <w:rPr>
          <w:rFonts w:ascii="Times New Roman" w:hAnsi="Times New Roman" w:cs="Times New Roman"/>
          <w:i/>
          <w:iCs/>
          <w:color w:val="auto"/>
          <w:sz w:val="24"/>
          <w:szCs w:val="24"/>
        </w:rPr>
        <w:t xml:space="preserve">Flailing Trees by Gustav Metzger </w:t>
      </w:r>
      <w:r w:rsidRPr="00290571">
        <w:rPr>
          <w:rFonts w:ascii="Times New Roman" w:hAnsi="Times New Roman" w:cs="Times New Roman"/>
          <w:color w:val="auto"/>
          <w:sz w:val="24"/>
          <w:szCs w:val="24"/>
        </w:rPr>
        <w:t>[Online]. Available at: https://patternsthatconnext.wordpress.com/2011/09/04/flailing-trees-by-gustav-metzger/ (Accessed: February 11, 2018).</w:t>
      </w:r>
    </w:p>
    <w:p w:rsidR="00770735" w:rsidRPr="00290571" w:rsidRDefault="001E042E" w:rsidP="00CC67A2">
      <w:pPr>
        <w:spacing w:line="480" w:lineRule="auto"/>
        <w:rPr>
          <w:rFonts w:ascii="Times New Roman" w:hAnsi="Times New Roman" w:cs="Times New Roman"/>
          <w:color w:val="auto"/>
          <w:sz w:val="24"/>
          <w:szCs w:val="24"/>
        </w:rPr>
      </w:pPr>
      <w:r w:rsidRPr="00290571">
        <w:rPr>
          <w:rFonts w:ascii="Times New Roman" w:hAnsi="Times New Roman" w:cs="Times New Roman"/>
          <w:color w:val="auto"/>
          <w:sz w:val="24"/>
          <w:szCs w:val="24"/>
        </w:rPr>
        <w:t xml:space="preserve">Anon. </w:t>
      </w:r>
      <w:r w:rsidRPr="00290571">
        <w:rPr>
          <w:rFonts w:ascii="Times New Roman" w:hAnsi="Times New Roman" w:cs="Times New Roman"/>
          <w:i/>
          <w:iCs/>
          <w:color w:val="auto"/>
          <w:sz w:val="24"/>
          <w:szCs w:val="24"/>
        </w:rPr>
        <w:t>100,000 Newspapers,</w:t>
      </w:r>
      <w:r w:rsidRPr="00290571">
        <w:rPr>
          <w:rFonts w:ascii="Times New Roman" w:hAnsi="Times New Roman" w:cs="Times New Roman"/>
          <w:color w:val="auto"/>
          <w:sz w:val="24"/>
          <w:szCs w:val="24"/>
        </w:rPr>
        <w:t xml:space="preserve"> </w:t>
      </w:r>
      <w:r w:rsidRPr="00290571">
        <w:rPr>
          <w:rFonts w:ascii="Times New Roman" w:hAnsi="Times New Roman" w:cs="Times New Roman"/>
          <w:i/>
          <w:iCs/>
          <w:color w:val="auto"/>
          <w:sz w:val="24"/>
          <w:szCs w:val="24"/>
        </w:rPr>
        <w:t xml:space="preserve">Gustav Metzger: Mass Media: todayandyesterday.co.uk </w:t>
      </w:r>
      <w:r w:rsidRPr="00290571">
        <w:rPr>
          <w:rFonts w:ascii="Times New Roman" w:hAnsi="Times New Roman" w:cs="Times New Roman"/>
          <w:color w:val="auto"/>
          <w:sz w:val="24"/>
          <w:szCs w:val="24"/>
        </w:rPr>
        <w:t xml:space="preserve">[Online]. Available at: </w:t>
      </w:r>
      <w:hyperlink r:id="rId15">
        <w:r w:rsidRPr="00290571">
          <w:rPr>
            <w:rStyle w:val="InternetLink"/>
            <w:rFonts w:ascii="Times New Roman" w:hAnsi="Times New Roman" w:cs="Times New Roman"/>
            <w:color w:val="auto"/>
            <w:sz w:val="24"/>
            <w:szCs w:val="24"/>
          </w:rPr>
          <w:t>http://www.serpentinegalleries.org/exhibitions-events/gustav-metzger-mass-media-todayandyesterdaycouk</w:t>
        </w:r>
      </w:hyperlink>
      <w:r w:rsidRPr="00290571">
        <w:rPr>
          <w:rFonts w:ascii="Times New Roman" w:hAnsi="Times New Roman" w:cs="Times New Roman"/>
          <w:color w:val="auto"/>
          <w:sz w:val="24"/>
          <w:szCs w:val="24"/>
        </w:rPr>
        <w:t xml:space="preserve"> (Accessed: March 5, 2018).</w:t>
      </w:r>
    </w:p>
    <w:p w:rsidR="00770735" w:rsidRPr="00290571" w:rsidRDefault="001E042E" w:rsidP="00CC67A2">
      <w:pPr>
        <w:spacing w:line="480" w:lineRule="auto"/>
        <w:rPr>
          <w:color w:val="auto"/>
        </w:rPr>
      </w:pPr>
      <w:r w:rsidRPr="00290571">
        <w:rPr>
          <w:rFonts w:ascii="Times New Roman" w:hAnsi="Times New Roman" w:cs="Times New Roman"/>
          <w:color w:val="auto"/>
          <w:sz w:val="24"/>
          <w:szCs w:val="24"/>
        </w:rPr>
        <w:br/>
        <w:t xml:space="preserve">Cox, J. </w:t>
      </w:r>
      <w:r w:rsidRPr="00290571">
        <w:rPr>
          <w:rFonts w:ascii="Times New Roman" w:hAnsi="Times New Roman" w:cs="Times New Roman"/>
          <w:i/>
          <w:iCs/>
          <w:color w:val="auto"/>
          <w:sz w:val="24"/>
          <w:szCs w:val="24"/>
        </w:rPr>
        <w:t xml:space="preserve">Cardboards, </w:t>
      </w:r>
      <w:r w:rsidRPr="00290571">
        <w:rPr>
          <w:rFonts w:ascii="Times New Roman" w:hAnsi="Times New Roman" w:cs="Times New Roman"/>
          <w:color w:val="auto"/>
          <w:sz w:val="24"/>
          <w:szCs w:val="24"/>
        </w:rPr>
        <w:t xml:space="preserve">1959 [Online]. Available at: </w:t>
      </w:r>
      <w:hyperlink r:id="rId16">
        <w:r w:rsidRPr="00290571">
          <w:rPr>
            <w:rStyle w:val="InternetLink"/>
            <w:rFonts w:ascii="Times New Roman" w:hAnsi="Times New Roman" w:cs="Times New Roman"/>
            <w:color w:val="auto"/>
            <w:sz w:val="24"/>
            <w:szCs w:val="24"/>
            <w:u w:val="none"/>
          </w:rPr>
          <w:t>http://artishockrevista.com/2015/09/09/debemos-convertirnos-idealistas-morir-gustav-metzger/</w:t>
        </w:r>
      </w:hyperlink>
      <w:r w:rsidRPr="00290571">
        <w:rPr>
          <w:rFonts w:ascii="Times New Roman" w:hAnsi="Times New Roman" w:cs="Times New Roman"/>
          <w:color w:val="auto"/>
          <w:sz w:val="24"/>
          <w:szCs w:val="24"/>
        </w:rPr>
        <w:t xml:space="preserve"> (Accessed: 11 February 2018).</w:t>
      </w:r>
    </w:p>
    <w:p w:rsidR="00770735" w:rsidRPr="00290571" w:rsidRDefault="001E042E" w:rsidP="00CC67A2">
      <w:pPr>
        <w:spacing w:line="480" w:lineRule="auto"/>
        <w:rPr>
          <w:color w:val="auto"/>
        </w:rPr>
      </w:pPr>
      <w:bookmarkStart w:id="3" w:name="__DdeLink__1319_2524510667"/>
      <w:proofErr w:type="spellStart"/>
      <w:r w:rsidRPr="00290571">
        <w:rPr>
          <w:rFonts w:ascii="Times New Roman" w:hAnsi="Times New Roman" w:cs="Times New Roman"/>
          <w:color w:val="auto"/>
          <w:sz w:val="24"/>
          <w:szCs w:val="24"/>
        </w:rPr>
        <w:t>Sarig</w:t>
      </w:r>
      <w:proofErr w:type="spellEnd"/>
      <w:r w:rsidRPr="00290571">
        <w:rPr>
          <w:rFonts w:ascii="Times New Roman" w:hAnsi="Times New Roman" w:cs="Times New Roman"/>
          <w:color w:val="auto"/>
          <w:sz w:val="24"/>
          <w:szCs w:val="24"/>
        </w:rPr>
        <w:t xml:space="preserve">, E., (1995/2014) [Online]. </w:t>
      </w:r>
      <w:r w:rsidRPr="00290571">
        <w:rPr>
          <w:rFonts w:ascii="Times New Roman" w:hAnsi="Times New Roman" w:cs="Times New Roman"/>
          <w:i/>
          <w:iCs/>
          <w:color w:val="auto"/>
          <w:sz w:val="24"/>
          <w:szCs w:val="24"/>
        </w:rPr>
        <w:t>Gustav Metzger's “Historic Photographs: No. 1: Liquidation of the Warsaw Ghetto, April 19-28 days, 1943</w:t>
      </w:r>
      <w:bookmarkEnd w:id="3"/>
      <w:r w:rsidRPr="00290571">
        <w:rPr>
          <w:rFonts w:ascii="Times New Roman" w:hAnsi="Times New Roman" w:cs="Times New Roman"/>
          <w:i/>
          <w:iCs/>
          <w:color w:val="auto"/>
          <w:sz w:val="24"/>
          <w:szCs w:val="24"/>
        </w:rPr>
        <w:t xml:space="preserve">” </w:t>
      </w:r>
      <w:r w:rsidRPr="00290571">
        <w:rPr>
          <w:rFonts w:ascii="Times New Roman" w:hAnsi="Times New Roman" w:cs="Times New Roman"/>
          <w:color w:val="auto"/>
          <w:sz w:val="24"/>
          <w:szCs w:val="24"/>
        </w:rPr>
        <w:t xml:space="preserve">Available at: </w:t>
      </w:r>
      <w:hyperlink r:id="rId17">
        <w:r w:rsidRPr="00290571">
          <w:rPr>
            <w:rStyle w:val="InternetLink"/>
            <w:rFonts w:ascii="Times New Roman" w:hAnsi="Times New Roman" w:cs="Times New Roman"/>
            <w:color w:val="auto"/>
            <w:sz w:val="24"/>
            <w:szCs w:val="24"/>
            <w:u w:val="none"/>
          </w:rPr>
          <w:t>https://www.haaretz.com/israel-news/culture/.premium-a-radical-artist-s-work-come-to-tel-aviv-1.5323267</w:t>
        </w:r>
      </w:hyperlink>
      <w:r w:rsidRPr="00290571">
        <w:rPr>
          <w:rFonts w:ascii="Times New Roman" w:hAnsi="Times New Roman" w:cs="Times New Roman"/>
          <w:color w:val="auto"/>
          <w:sz w:val="24"/>
          <w:szCs w:val="24"/>
        </w:rPr>
        <w:t xml:space="preserve"> (Accessed: 11 March 2018).</w:t>
      </w:r>
    </w:p>
    <w:p w:rsidR="00770735" w:rsidRPr="00290571" w:rsidRDefault="001E042E" w:rsidP="00CC67A2">
      <w:pPr>
        <w:spacing w:line="480" w:lineRule="auto"/>
        <w:rPr>
          <w:color w:val="auto"/>
        </w:rPr>
      </w:pPr>
      <w:r w:rsidRPr="00290571">
        <w:rPr>
          <w:rFonts w:ascii="Times New Roman" w:hAnsi="Times New Roman" w:cs="Times New Roman"/>
          <w:b/>
          <w:bCs/>
          <w:color w:val="auto"/>
          <w:sz w:val="24"/>
          <w:szCs w:val="24"/>
          <w:u w:val="single"/>
        </w:rPr>
        <w:t>Journals</w:t>
      </w:r>
    </w:p>
    <w:p w:rsidR="00770735" w:rsidRPr="00290571" w:rsidRDefault="001E042E" w:rsidP="00CC67A2">
      <w:pPr>
        <w:shd w:val="clear" w:color="auto" w:fill="FFFFFF"/>
        <w:spacing w:after="0" w:line="480" w:lineRule="auto"/>
        <w:outlineLvl w:val="3"/>
        <w:rPr>
          <w:color w:val="auto"/>
        </w:rPr>
      </w:pPr>
      <w:r w:rsidRPr="00290571">
        <w:rPr>
          <w:rFonts w:ascii="Times New Roman" w:eastAsia="Times New Roman" w:hAnsi="Times New Roman" w:cs="Arial"/>
          <w:color w:val="auto"/>
          <w:sz w:val="24"/>
          <w:szCs w:val="24"/>
          <w:lang w:eastAsia="en-GB"/>
        </w:rPr>
        <w:t>Beardsley, A (2011) ‘</w:t>
      </w:r>
      <w:r w:rsidRPr="00290571">
        <w:rPr>
          <w:rFonts w:ascii="Times New Roman" w:eastAsia="Times New Roman" w:hAnsi="Times New Roman" w:cs="Arial"/>
          <w:iCs/>
          <w:color w:val="auto"/>
          <w:sz w:val="24"/>
          <w:szCs w:val="24"/>
          <w:lang w:eastAsia="en-GB"/>
        </w:rPr>
        <w:t>Art under Fire’</w:t>
      </w:r>
      <w:r w:rsidRPr="00290571">
        <w:rPr>
          <w:rFonts w:ascii="Times New Roman" w:eastAsia="Times New Roman" w:hAnsi="Times New Roman" w:cs="Arial"/>
          <w:i/>
          <w:iCs/>
          <w:color w:val="auto"/>
          <w:sz w:val="24"/>
          <w:szCs w:val="24"/>
          <w:lang w:eastAsia="en-GB"/>
        </w:rPr>
        <w:t>.</w:t>
      </w:r>
      <w:r w:rsidRPr="00290571">
        <w:rPr>
          <w:rFonts w:ascii="Times New Roman" w:eastAsia="Times New Roman" w:hAnsi="Times New Roman" w:cs="Arial"/>
          <w:color w:val="auto"/>
          <w:sz w:val="24"/>
          <w:szCs w:val="24"/>
          <w:lang w:eastAsia="en-GB"/>
        </w:rPr>
        <w:t xml:space="preserve"> </w:t>
      </w:r>
      <w:r w:rsidRPr="00290571">
        <w:rPr>
          <w:rFonts w:ascii="Times New Roman" w:eastAsia="Times New Roman" w:hAnsi="Times New Roman" w:cs="Arial"/>
          <w:i/>
          <w:color w:val="auto"/>
          <w:sz w:val="24"/>
          <w:szCs w:val="24"/>
          <w:lang w:eastAsia="en-GB"/>
        </w:rPr>
        <w:t>Index on Censorship</w:t>
      </w:r>
      <w:r w:rsidRPr="00290571">
        <w:rPr>
          <w:rFonts w:ascii="Times New Roman" w:eastAsia="Times New Roman" w:hAnsi="Times New Roman" w:cs="Arial"/>
          <w:color w:val="auto"/>
          <w:sz w:val="24"/>
          <w:szCs w:val="24"/>
          <w:lang w:eastAsia="en-GB"/>
        </w:rPr>
        <w:t>, 40 (3): 110 SAGE [Online].</w:t>
      </w:r>
    </w:p>
    <w:p w:rsidR="00770735" w:rsidRPr="00290571" w:rsidRDefault="001E042E" w:rsidP="00CC67A2">
      <w:pPr>
        <w:shd w:val="clear" w:color="auto" w:fill="FFFFFF"/>
        <w:spacing w:after="0" w:line="480" w:lineRule="auto"/>
        <w:outlineLvl w:val="3"/>
        <w:rPr>
          <w:rFonts w:ascii="Times New Roman" w:hAnsi="Times New Roman"/>
          <w:color w:val="auto"/>
          <w:sz w:val="24"/>
          <w:szCs w:val="24"/>
        </w:rPr>
      </w:pPr>
      <w:r w:rsidRPr="00290571">
        <w:rPr>
          <w:rFonts w:ascii="Times New Roman" w:eastAsia="Times New Roman" w:hAnsi="Times New Roman" w:cs="Arial"/>
          <w:color w:val="auto"/>
          <w:sz w:val="24"/>
          <w:szCs w:val="24"/>
          <w:lang w:eastAsia="en-GB"/>
        </w:rPr>
        <w:t>Available at: http://journals.sagepub.com/toc/ioca/40/3 (Accessed February 15, 2018).</w:t>
      </w:r>
    </w:p>
    <w:p w:rsidR="00770735" w:rsidRPr="00290571" w:rsidRDefault="00770735" w:rsidP="00CC67A2">
      <w:pPr>
        <w:shd w:val="clear" w:color="auto" w:fill="FFFFFF"/>
        <w:spacing w:after="0" w:line="480" w:lineRule="auto"/>
        <w:outlineLvl w:val="3"/>
        <w:rPr>
          <w:rFonts w:ascii="Times New Roman" w:hAnsi="Times New Roman"/>
          <w:color w:val="auto"/>
          <w:sz w:val="24"/>
          <w:szCs w:val="24"/>
        </w:rPr>
      </w:pPr>
    </w:p>
    <w:p w:rsidR="00770735" w:rsidRPr="00290571" w:rsidRDefault="001E042E" w:rsidP="00CC67A2">
      <w:pPr>
        <w:spacing w:line="480" w:lineRule="auto"/>
        <w:rPr>
          <w:color w:val="auto"/>
        </w:rPr>
      </w:pPr>
      <w:r w:rsidRPr="00290571">
        <w:rPr>
          <w:rFonts w:ascii="Times New Roman" w:hAnsi="Times New Roman" w:cs="Times New Roman"/>
          <w:color w:val="auto"/>
          <w:sz w:val="24"/>
          <w:szCs w:val="24"/>
        </w:rPr>
        <w:lastRenderedPageBreak/>
        <w:t>Carey-Kent, P. (2013) ‘</w:t>
      </w:r>
      <w:r w:rsidRPr="00290571">
        <w:rPr>
          <w:rFonts w:ascii="Times New Roman" w:hAnsi="Times New Roman"/>
          <w:iCs/>
          <w:color w:val="auto"/>
          <w:sz w:val="24"/>
          <w:szCs w:val="24"/>
        </w:rPr>
        <w:t xml:space="preserve">London Fieldworks: Null Object Gustav Metzger thinks about nothing’, </w:t>
      </w:r>
      <w:r w:rsidRPr="00290571">
        <w:rPr>
          <w:rFonts w:ascii="Times New Roman" w:hAnsi="Times New Roman" w:cs="Times New Roman"/>
          <w:i/>
          <w:color w:val="auto"/>
          <w:sz w:val="24"/>
          <w:szCs w:val="24"/>
        </w:rPr>
        <w:t>Art Monthly</w:t>
      </w:r>
      <w:r w:rsidRPr="00290571">
        <w:rPr>
          <w:rFonts w:ascii="Times New Roman" w:hAnsi="Times New Roman" w:cs="Times New Roman"/>
          <w:color w:val="auto"/>
          <w:sz w:val="24"/>
          <w:szCs w:val="24"/>
        </w:rPr>
        <w:t xml:space="preserve">, 363: 25-26. Art Monthly Foundation [Online]. Available at: </w:t>
      </w:r>
      <w:r w:rsidRPr="00290571">
        <w:rPr>
          <w:rFonts w:ascii="Times New Roman" w:hAnsi="Times New Roman" w:cs="Times New Roman"/>
          <w:color w:val="auto"/>
          <w:sz w:val="24"/>
          <w:szCs w:val="24"/>
          <w:shd w:val="clear" w:color="auto" w:fill="FFFFFF"/>
        </w:rPr>
        <w:t>www.artmonthly.co.uk/magazine/site/issue/february-2013</w:t>
      </w:r>
      <w:r w:rsidRPr="00290571">
        <w:rPr>
          <w:rFonts w:ascii="Times New Roman" w:hAnsi="Times New Roman" w:cs="Times New Roman"/>
          <w:color w:val="auto"/>
          <w:sz w:val="24"/>
          <w:szCs w:val="24"/>
        </w:rPr>
        <w:t xml:space="preserve"> (</w:t>
      </w:r>
      <w:r w:rsidRPr="00290571">
        <w:rPr>
          <w:rFonts w:ascii="Times New Roman" w:eastAsia="Times New Roman" w:hAnsi="Times New Roman" w:cs="Arial"/>
          <w:color w:val="auto"/>
          <w:sz w:val="24"/>
          <w:szCs w:val="24"/>
          <w:lang w:eastAsia="en-GB"/>
        </w:rPr>
        <w:t>Accessed February 15, 2018).</w:t>
      </w:r>
    </w:p>
    <w:p w:rsidR="00770735" w:rsidRPr="00290571" w:rsidRDefault="001E042E" w:rsidP="00CC67A2">
      <w:pPr>
        <w:spacing w:line="480" w:lineRule="auto"/>
        <w:rPr>
          <w:rFonts w:ascii="Times New Roman" w:hAnsi="Times New Roman" w:cs="Times New Roman"/>
          <w:color w:val="auto"/>
          <w:sz w:val="24"/>
          <w:szCs w:val="24"/>
        </w:rPr>
      </w:pPr>
      <w:r w:rsidRPr="00290571">
        <w:rPr>
          <w:rStyle w:val="StrongEmphasis"/>
          <w:rFonts w:ascii="Times New Roman" w:hAnsi="Times New Roman" w:cs="Times New Roman"/>
          <w:b w:val="0"/>
          <w:bCs w:val="0"/>
          <w:color w:val="auto"/>
          <w:sz w:val="24"/>
          <w:szCs w:val="24"/>
        </w:rPr>
        <w:t>Fisher, E. (2017) ‘</w:t>
      </w:r>
      <w:r w:rsidRPr="00290571">
        <w:rPr>
          <w:rStyle w:val="StrongEmphasis"/>
          <w:rFonts w:ascii="Times New Roman" w:hAnsi="Times New Roman" w:cs="Times New Roman"/>
          <w:b w:val="0"/>
          <w:bCs w:val="0"/>
          <w:iCs/>
          <w:color w:val="auto"/>
          <w:sz w:val="24"/>
          <w:szCs w:val="24"/>
        </w:rPr>
        <w:t>Gustav Metzger: Iconoclasm and Interdisciplinarity’,</w:t>
      </w:r>
      <w:r w:rsidRPr="00290571">
        <w:rPr>
          <w:rStyle w:val="StrongEmphasis"/>
          <w:rFonts w:ascii="Times New Roman" w:hAnsi="Times New Roman" w:cs="Times New Roman"/>
          <w:b w:val="0"/>
          <w:bCs w:val="0"/>
          <w:i/>
          <w:iCs/>
          <w:color w:val="auto"/>
          <w:sz w:val="24"/>
          <w:szCs w:val="24"/>
        </w:rPr>
        <w:t xml:space="preserve"> </w:t>
      </w:r>
      <w:r w:rsidRPr="00290571">
        <w:rPr>
          <w:rStyle w:val="StrongEmphasis"/>
          <w:rFonts w:ascii="Times New Roman" w:hAnsi="Times New Roman" w:cs="Times New Roman"/>
          <w:b w:val="0"/>
          <w:bCs w:val="0"/>
          <w:i/>
          <w:color w:val="auto"/>
          <w:sz w:val="24"/>
          <w:szCs w:val="24"/>
        </w:rPr>
        <w:t>Interdisciplinary Science Reviews</w:t>
      </w:r>
      <w:r w:rsidRPr="00290571">
        <w:rPr>
          <w:rStyle w:val="StrongEmphasis"/>
          <w:rFonts w:ascii="Times New Roman" w:hAnsi="Times New Roman" w:cs="Times New Roman"/>
          <w:b w:val="0"/>
          <w:bCs w:val="0"/>
          <w:color w:val="auto"/>
          <w:sz w:val="24"/>
          <w:szCs w:val="24"/>
        </w:rPr>
        <w:t xml:space="preserve">, 42: 2-6 [Online.] Available at: </w:t>
      </w:r>
      <w:r w:rsidRPr="00290571">
        <w:rPr>
          <w:rFonts w:ascii="Times New Roman" w:hAnsi="Times New Roman" w:cs="Times New Roman"/>
          <w:color w:val="auto"/>
          <w:sz w:val="24"/>
          <w:szCs w:val="24"/>
          <w:shd w:val="clear" w:color="auto" w:fill="FFFFFF"/>
        </w:rPr>
        <w:t>www.tandfonline.com/doi/abs/10.1080/03080188.2017.1297165</w:t>
      </w:r>
      <w:r w:rsidRPr="00290571">
        <w:rPr>
          <w:rStyle w:val="StrongEmphasis"/>
          <w:rFonts w:ascii="Times New Roman" w:hAnsi="Times New Roman" w:cs="Times New Roman"/>
          <w:b w:val="0"/>
          <w:bCs w:val="0"/>
          <w:color w:val="auto"/>
          <w:sz w:val="24"/>
          <w:szCs w:val="24"/>
        </w:rPr>
        <w:t xml:space="preserve"> </w:t>
      </w:r>
      <w:r w:rsidRPr="00290571">
        <w:rPr>
          <w:rFonts w:ascii="Times New Roman" w:hAnsi="Times New Roman" w:cs="Times New Roman"/>
          <w:color w:val="auto"/>
          <w:sz w:val="24"/>
          <w:szCs w:val="24"/>
        </w:rPr>
        <w:t>(</w:t>
      </w:r>
      <w:r w:rsidRPr="00290571">
        <w:rPr>
          <w:rFonts w:ascii="Times New Roman" w:eastAsia="Times New Roman" w:hAnsi="Times New Roman" w:cs="Times New Roman"/>
          <w:color w:val="auto"/>
          <w:sz w:val="24"/>
          <w:szCs w:val="24"/>
          <w:lang w:eastAsia="en-GB"/>
        </w:rPr>
        <w:t>Accessed February 17, 2018).</w:t>
      </w:r>
    </w:p>
    <w:p w:rsidR="00770735" w:rsidRPr="00290571" w:rsidRDefault="001E042E" w:rsidP="00CC67A2">
      <w:pPr>
        <w:shd w:val="clear" w:color="auto" w:fill="FFFFFF"/>
        <w:spacing w:after="0" w:line="480" w:lineRule="auto"/>
        <w:outlineLvl w:val="3"/>
        <w:rPr>
          <w:color w:val="auto"/>
        </w:rPr>
      </w:pPr>
      <w:r w:rsidRPr="00290571">
        <w:rPr>
          <w:rFonts w:ascii="Times New Roman" w:hAnsi="Times New Roman"/>
          <w:color w:val="auto"/>
          <w:sz w:val="24"/>
          <w:szCs w:val="24"/>
        </w:rPr>
        <w:t>Marris, E. (2009) ‘</w:t>
      </w:r>
      <w:r w:rsidRPr="00290571">
        <w:rPr>
          <w:rFonts w:ascii="Times New Roman" w:hAnsi="Times New Roman"/>
          <w:iCs/>
          <w:color w:val="auto"/>
          <w:sz w:val="24"/>
          <w:szCs w:val="24"/>
        </w:rPr>
        <w:t>Gustav Metzger on destruction’</w:t>
      </w:r>
      <w:r w:rsidRPr="00290571">
        <w:rPr>
          <w:rFonts w:ascii="Times New Roman" w:hAnsi="Times New Roman"/>
          <w:i/>
          <w:iCs/>
          <w:color w:val="auto"/>
          <w:sz w:val="24"/>
          <w:szCs w:val="24"/>
        </w:rPr>
        <w:t xml:space="preserve">.  </w:t>
      </w:r>
      <w:r w:rsidRPr="00290571">
        <w:rPr>
          <w:rFonts w:ascii="Times New Roman" w:hAnsi="Times New Roman" w:cs="Times New Roman"/>
          <w:i/>
          <w:color w:val="auto"/>
          <w:sz w:val="24"/>
          <w:szCs w:val="24"/>
        </w:rPr>
        <w:t>Nature</w:t>
      </w:r>
      <w:r w:rsidRPr="00290571">
        <w:rPr>
          <w:rFonts w:ascii="Times New Roman" w:hAnsi="Times New Roman" w:cs="Times New Roman"/>
          <w:color w:val="auto"/>
          <w:sz w:val="24"/>
          <w:szCs w:val="24"/>
        </w:rPr>
        <w:t>, 461. Nature [Online].</w:t>
      </w:r>
    </w:p>
    <w:p w:rsidR="00770735" w:rsidRPr="00290571" w:rsidRDefault="001E042E" w:rsidP="00CC67A2">
      <w:pPr>
        <w:spacing w:line="480" w:lineRule="auto"/>
        <w:rPr>
          <w:color w:val="auto"/>
        </w:rPr>
      </w:pPr>
      <w:r w:rsidRPr="00290571">
        <w:rPr>
          <w:rFonts w:ascii="Times New Roman" w:hAnsi="Times New Roman" w:cs="Times New Roman"/>
          <w:color w:val="auto"/>
          <w:sz w:val="24"/>
          <w:szCs w:val="24"/>
        </w:rPr>
        <w:t>Available at: https://www.nature.com/articles/461598a (</w:t>
      </w:r>
      <w:r w:rsidRPr="00290571">
        <w:rPr>
          <w:rFonts w:ascii="Times New Roman" w:eastAsia="Times New Roman" w:hAnsi="Times New Roman" w:cs="Arial"/>
          <w:color w:val="auto"/>
          <w:sz w:val="24"/>
          <w:szCs w:val="24"/>
          <w:lang w:eastAsia="en-GB"/>
        </w:rPr>
        <w:t>Accessed February 15, 2018).</w:t>
      </w:r>
    </w:p>
    <w:p w:rsidR="00770735" w:rsidRPr="00290571" w:rsidRDefault="001E042E" w:rsidP="00CC67A2">
      <w:pPr>
        <w:shd w:val="clear" w:color="auto" w:fill="FFFFFF" w:themeFill="background1"/>
        <w:spacing w:line="480" w:lineRule="auto"/>
        <w:rPr>
          <w:color w:val="auto"/>
        </w:rPr>
      </w:pPr>
      <w:r w:rsidRPr="00290571">
        <w:rPr>
          <w:rFonts w:ascii="Times New Roman" w:hAnsi="Times New Roman" w:cs="Times New Roman"/>
          <w:color w:val="auto"/>
          <w:sz w:val="24"/>
          <w:szCs w:val="24"/>
        </w:rPr>
        <w:t xml:space="preserve">Metzger, Gustav (2007) </w:t>
      </w:r>
      <w:r w:rsidRPr="00290571">
        <w:rPr>
          <w:rFonts w:ascii="Times New Roman" w:hAnsi="Times New Roman" w:cs="Times New Roman"/>
          <w:i/>
          <w:color w:val="auto"/>
          <w:sz w:val="24"/>
          <w:szCs w:val="24"/>
        </w:rPr>
        <w:t>The Third Culture, Theory, Culture &amp; Society</w:t>
      </w:r>
      <w:r w:rsidRPr="00290571">
        <w:rPr>
          <w:rFonts w:ascii="Times New Roman" w:hAnsi="Times New Roman" w:cs="Times New Roman"/>
          <w:color w:val="auto"/>
          <w:sz w:val="24"/>
          <w:szCs w:val="24"/>
        </w:rPr>
        <w:t xml:space="preserve">, 24. SAGE [Online]. Available at: http://journals.sagepub.com/toc/tcsa/24/1 (Accessed: February 15, 2018). </w:t>
      </w:r>
    </w:p>
    <w:p w:rsidR="00770735" w:rsidRPr="00290571" w:rsidRDefault="001E042E" w:rsidP="00CC67A2">
      <w:pPr>
        <w:shd w:val="clear" w:color="auto" w:fill="FFFFFF" w:themeFill="background1"/>
        <w:spacing w:line="480" w:lineRule="auto"/>
        <w:rPr>
          <w:rFonts w:ascii="Times New Roman" w:hAnsi="Times New Roman" w:cs="Times New Roman"/>
          <w:color w:val="auto"/>
          <w:sz w:val="24"/>
          <w:szCs w:val="24"/>
        </w:rPr>
      </w:pPr>
      <w:r w:rsidRPr="00290571">
        <w:rPr>
          <w:rFonts w:ascii="Times New Roman" w:hAnsi="Times New Roman" w:cs="Times New Roman"/>
          <w:color w:val="auto"/>
          <w:sz w:val="24"/>
          <w:szCs w:val="24"/>
        </w:rPr>
        <w:t>Walker, John A.  (1995) ‘</w:t>
      </w:r>
      <w:r w:rsidRPr="00290571">
        <w:rPr>
          <w:rFonts w:ascii="Times New Roman" w:hAnsi="Times New Roman" w:cs="Times New Roman"/>
          <w:iCs/>
          <w:color w:val="auto"/>
          <w:sz w:val="24"/>
          <w:szCs w:val="24"/>
        </w:rPr>
        <w:t>Message from the Margin, John A Walker tracks down Gustav Metzger’</w:t>
      </w:r>
      <w:r w:rsidRPr="00290571">
        <w:rPr>
          <w:rFonts w:ascii="Times New Roman" w:hAnsi="Times New Roman" w:cs="Times New Roman"/>
          <w:i/>
          <w:iCs/>
          <w:color w:val="auto"/>
          <w:sz w:val="24"/>
          <w:szCs w:val="24"/>
        </w:rPr>
        <w:t xml:space="preserve">, </w:t>
      </w:r>
      <w:r w:rsidRPr="00290571">
        <w:rPr>
          <w:rFonts w:ascii="Times New Roman" w:hAnsi="Times New Roman" w:cs="Times New Roman"/>
          <w:i/>
          <w:color w:val="auto"/>
          <w:sz w:val="24"/>
          <w:szCs w:val="24"/>
        </w:rPr>
        <w:t xml:space="preserve">Art Monthly, </w:t>
      </w:r>
      <w:r w:rsidRPr="00290571">
        <w:rPr>
          <w:rFonts w:ascii="Times New Roman" w:hAnsi="Times New Roman" w:cs="Times New Roman"/>
          <w:color w:val="auto"/>
          <w:sz w:val="24"/>
          <w:szCs w:val="24"/>
        </w:rPr>
        <w:t xml:space="preserve">190: 15 Art Monthly Foundation </w:t>
      </w:r>
      <w:r w:rsidRPr="00290571">
        <w:rPr>
          <w:rStyle w:val="StrongEmphasis"/>
          <w:rFonts w:ascii="Times New Roman" w:hAnsi="Times New Roman" w:cs="Times New Roman"/>
          <w:b w:val="0"/>
          <w:bCs w:val="0"/>
          <w:color w:val="auto"/>
          <w:sz w:val="24"/>
          <w:szCs w:val="24"/>
        </w:rPr>
        <w:t xml:space="preserve">[Online.] Available at: </w:t>
      </w:r>
      <w:r w:rsidRPr="00290571">
        <w:rPr>
          <w:rFonts w:ascii="Times New Roman" w:hAnsi="Times New Roman" w:cs="Times New Roman"/>
          <w:color w:val="auto"/>
          <w:sz w:val="24"/>
          <w:szCs w:val="24"/>
          <w:shd w:val="clear" w:color="auto" w:fill="FFFFFF"/>
        </w:rPr>
        <w:t>https://www.artmonthly.co.uk/magazine/site/issue/october-1995</w:t>
      </w:r>
      <w:r w:rsidRPr="00290571">
        <w:rPr>
          <w:rStyle w:val="StrongEmphasis"/>
          <w:rFonts w:ascii="Times New Roman" w:hAnsi="Times New Roman" w:cs="Times New Roman"/>
          <w:b w:val="0"/>
          <w:bCs w:val="0"/>
          <w:color w:val="auto"/>
          <w:sz w:val="24"/>
          <w:szCs w:val="24"/>
        </w:rPr>
        <w:t xml:space="preserve"> </w:t>
      </w:r>
      <w:r w:rsidRPr="00290571">
        <w:rPr>
          <w:rFonts w:ascii="Times New Roman" w:hAnsi="Times New Roman" w:cs="Times New Roman"/>
          <w:color w:val="auto"/>
          <w:sz w:val="24"/>
          <w:szCs w:val="24"/>
        </w:rPr>
        <w:t>(</w:t>
      </w:r>
      <w:r w:rsidRPr="00290571">
        <w:rPr>
          <w:rFonts w:ascii="Times New Roman" w:eastAsia="Times New Roman" w:hAnsi="Times New Roman" w:cs="Times New Roman"/>
          <w:color w:val="auto"/>
          <w:sz w:val="24"/>
          <w:szCs w:val="24"/>
          <w:lang w:eastAsia="en-GB"/>
        </w:rPr>
        <w:t>Accessed February 17, 2018).</w:t>
      </w:r>
    </w:p>
    <w:p w:rsidR="00770735" w:rsidRPr="00290571" w:rsidRDefault="001E042E" w:rsidP="00CC67A2">
      <w:pPr>
        <w:shd w:val="clear" w:color="auto" w:fill="FFFFFF" w:themeFill="background1"/>
        <w:spacing w:line="480" w:lineRule="auto"/>
        <w:rPr>
          <w:rFonts w:ascii="Times New Roman" w:hAnsi="Times New Roman" w:cs="Times New Roman"/>
          <w:color w:val="auto"/>
          <w:sz w:val="24"/>
          <w:szCs w:val="24"/>
        </w:rPr>
      </w:pPr>
      <w:r w:rsidRPr="00290571">
        <w:rPr>
          <w:rFonts w:ascii="Times New Roman" w:hAnsi="Times New Roman" w:cs="Times New Roman"/>
          <w:color w:val="auto"/>
          <w:sz w:val="24"/>
          <w:szCs w:val="24"/>
          <w:shd w:val="clear" w:color="auto" w:fill="FFFFFF" w:themeFill="background1"/>
        </w:rPr>
        <w:t>Wilson, A. (2008) ‘</w:t>
      </w:r>
      <w:r w:rsidRPr="00290571">
        <w:rPr>
          <w:rFonts w:ascii="Times New Roman" w:hAnsi="Times New Roman" w:cs="Times New Roman"/>
          <w:iCs/>
          <w:color w:val="auto"/>
          <w:sz w:val="24"/>
          <w:szCs w:val="24"/>
          <w:shd w:val="clear" w:color="auto" w:fill="FFFFFF" w:themeFill="background1"/>
        </w:rPr>
        <w:t xml:space="preserve">Gustav Metzger’s Auto-Destructive/Auto-Creative </w:t>
      </w:r>
      <w:proofErr w:type="gramStart"/>
      <w:r w:rsidRPr="00290571">
        <w:rPr>
          <w:rFonts w:ascii="Times New Roman" w:hAnsi="Times New Roman" w:cs="Times New Roman"/>
          <w:iCs/>
          <w:color w:val="auto"/>
          <w:sz w:val="24"/>
          <w:szCs w:val="24"/>
          <w:shd w:val="clear" w:color="auto" w:fill="FFFFFF" w:themeFill="background1"/>
        </w:rPr>
        <w:t>Art :</w:t>
      </w:r>
      <w:proofErr w:type="gramEnd"/>
      <w:r w:rsidRPr="00290571">
        <w:rPr>
          <w:rFonts w:ascii="Times New Roman" w:hAnsi="Times New Roman" w:cs="Times New Roman"/>
          <w:iCs/>
          <w:color w:val="auto"/>
          <w:sz w:val="24"/>
          <w:szCs w:val="24"/>
          <w:shd w:val="clear" w:color="auto" w:fill="FFFFFF" w:themeFill="background1"/>
        </w:rPr>
        <w:t xml:space="preserve"> An Art of Manifesto, 1959–1969’</w:t>
      </w:r>
      <w:r w:rsidRPr="00290571">
        <w:rPr>
          <w:rFonts w:ascii="Times New Roman" w:hAnsi="Times New Roman" w:cs="Times New Roman"/>
          <w:i/>
          <w:iCs/>
          <w:color w:val="auto"/>
          <w:sz w:val="24"/>
          <w:szCs w:val="24"/>
          <w:shd w:val="clear" w:color="auto" w:fill="FFFFFF" w:themeFill="background1"/>
        </w:rPr>
        <w:t xml:space="preserve"> </w:t>
      </w:r>
      <w:r w:rsidRPr="00290571">
        <w:rPr>
          <w:rFonts w:ascii="Times New Roman" w:hAnsi="Times New Roman" w:cs="Times New Roman"/>
          <w:i/>
          <w:color w:val="auto"/>
          <w:sz w:val="24"/>
          <w:szCs w:val="24"/>
          <w:shd w:val="clear" w:color="auto" w:fill="FFFFFF" w:themeFill="background1"/>
        </w:rPr>
        <w:t>Third Text</w:t>
      </w:r>
      <w:r w:rsidRPr="00290571">
        <w:rPr>
          <w:rFonts w:ascii="Times New Roman" w:hAnsi="Times New Roman" w:cs="Times New Roman"/>
          <w:i/>
          <w:iCs/>
          <w:color w:val="auto"/>
          <w:sz w:val="24"/>
          <w:szCs w:val="24"/>
          <w:shd w:val="clear" w:color="auto" w:fill="FFFFFF" w:themeFill="background1"/>
        </w:rPr>
        <w:t>,</w:t>
      </w:r>
      <w:r w:rsidRPr="00290571">
        <w:rPr>
          <w:rFonts w:ascii="Times New Roman" w:hAnsi="Times New Roman" w:cs="Times New Roman"/>
          <w:color w:val="auto"/>
          <w:sz w:val="24"/>
          <w:szCs w:val="24"/>
          <w:shd w:val="clear" w:color="auto" w:fill="FFFFFF" w:themeFill="background1"/>
        </w:rPr>
        <w:t xml:space="preserve"> 22 (2): 184 Taylor and Francis Group </w:t>
      </w:r>
      <w:r w:rsidRPr="00290571">
        <w:rPr>
          <w:rStyle w:val="StrongEmphasis"/>
          <w:rFonts w:ascii="Times New Roman" w:hAnsi="Times New Roman" w:cs="Times New Roman"/>
          <w:b w:val="0"/>
          <w:bCs w:val="0"/>
          <w:color w:val="auto"/>
          <w:sz w:val="24"/>
          <w:szCs w:val="24"/>
          <w:shd w:val="clear" w:color="auto" w:fill="FFFFFF" w:themeFill="background1"/>
        </w:rPr>
        <w:t xml:space="preserve">[Online.] Available at: </w:t>
      </w:r>
      <w:r w:rsidRPr="00290571">
        <w:rPr>
          <w:rFonts w:ascii="Times New Roman" w:hAnsi="Times New Roman" w:cs="Times New Roman"/>
          <w:color w:val="auto"/>
          <w:sz w:val="24"/>
          <w:szCs w:val="24"/>
          <w:shd w:val="clear" w:color="auto" w:fill="FFFFFF" w:themeFill="background1"/>
        </w:rPr>
        <w:t>www.tandfonline.com/doi/abs/10.1080/09528820802012844</w:t>
      </w:r>
      <w:r w:rsidRPr="00290571">
        <w:rPr>
          <w:rStyle w:val="StrongEmphasis"/>
          <w:rFonts w:ascii="Times New Roman" w:hAnsi="Times New Roman" w:cs="Times New Roman"/>
          <w:b w:val="0"/>
          <w:bCs w:val="0"/>
          <w:color w:val="auto"/>
          <w:sz w:val="24"/>
          <w:szCs w:val="24"/>
          <w:shd w:val="clear" w:color="auto" w:fill="FFFFFF" w:themeFill="background1"/>
        </w:rPr>
        <w:t xml:space="preserve"> </w:t>
      </w:r>
      <w:r w:rsidRPr="00290571">
        <w:rPr>
          <w:rFonts w:ascii="Times New Roman" w:hAnsi="Times New Roman" w:cs="Times New Roman"/>
          <w:color w:val="auto"/>
          <w:sz w:val="24"/>
          <w:szCs w:val="24"/>
          <w:shd w:val="clear" w:color="auto" w:fill="FFFFFF" w:themeFill="background1"/>
        </w:rPr>
        <w:t>(</w:t>
      </w:r>
      <w:r w:rsidRPr="00290571">
        <w:rPr>
          <w:rFonts w:ascii="Times New Roman" w:eastAsia="Times New Roman" w:hAnsi="Times New Roman" w:cs="Times New Roman"/>
          <w:color w:val="auto"/>
          <w:sz w:val="24"/>
          <w:szCs w:val="24"/>
          <w:shd w:val="clear" w:color="auto" w:fill="FFFFFF" w:themeFill="background1"/>
          <w:lang w:eastAsia="en-GB"/>
        </w:rPr>
        <w:t>Accessed February</w:t>
      </w:r>
      <w:r w:rsidRPr="00290571">
        <w:rPr>
          <w:rFonts w:ascii="Times New Roman" w:eastAsia="Times New Roman" w:hAnsi="Times New Roman" w:cs="Arial"/>
          <w:color w:val="auto"/>
          <w:sz w:val="24"/>
          <w:szCs w:val="24"/>
          <w:lang w:eastAsia="en-GB"/>
        </w:rPr>
        <w:t xml:space="preserve"> 17, 2018).</w:t>
      </w:r>
    </w:p>
    <w:p w:rsidR="00770735" w:rsidRPr="00290571" w:rsidRDefault="001E042E" w:rsidP="00CC67A2">
      <w:pPr>
        <w:spacing w:line="480" w:lineRule="auto"/>
        <w:rPr>
          <w:color w:val="auto"/>
        </w:rPr>
      </w:pPr>
      <w:r w:rsidRPr="00290571">
        <w:rPr>
          <w:rFonts w:ascii="Times New Roman" w:hAnsi="Times New Roman" w:cs="Times New Roman"/>
          <w:b/>
          <w:bCs/>
          <w:color w:val="auto"/>
          <w:sz w:val="24"/>
          <w:szCs w:val="24"/>
          <w:u w:val="single"/>
        </w:rPr>
        <w:t>Videos</w:t>
      </w:r>
    </w:p>
    <w:p w:rsidR="00770735" w:rsidRPr="00290571" w:rsidRDefault="001E042E" w:rsidP="00CC67A2">
      <w:pPr>
        <w:spacing w:line="480" w:lineRule="auto"/>
        <w:rPr>
          <w:color w:val="auto"/>
        </w:rPr>
      </w:pPr>
      <w:r w:rsidRPr="00290571">
        <w:rPr>
          <w:rFonts w:ascii="Times New Roman" w:hAnsi="Times New Roman" w:cs="Times New Roman"/>
          <w:color w:val="auto"/>
          <w:sz w:val="24"/>
          <w:szCs w:val="24"/>
        </w:rPr>
        <w:t xml:space="preserve">London Fieldworks (2016) </w:t>
      </w:r>
      <w:r w:rsidRPr="00290571">
        <w:rPr>
          <w:rFonts w:ascii="Times New Roman" w:hAnsi="Times New Roman" w:cs="Times New Roman"/>
          <w:i/>
          <w:iCs/>
          <w:color w:val="auto"/>
          <w:sz w:val="24"/>
          <w:szCs w:val="24"/>
        </w:rPr>
        <w:t xml:space="preserve">Remember Nature. </w:t>
      </w:r>
      <w:r w:rsidRPr="00290571">
        <w:rPr>
          <w:rFonts w:ascii="Times New Roman" w:hAnsi="Times New Roman" w:cs="Times New Roman"/>
          <w:color w:val="auto"/>
          <w:sz w:val="24"/>
          <w:szCs w:val="24"/>
        </w:rPr>
        <w:t>Available at: https://vimeo.com/142691182 (Accessed March 5, 2108).</w:t>
      </w:r>
    </w:p>
    <w:p w:rsidR="00770735" w:rsidRPr="00290571" w:rsidRDefault="001E042E" w:rsidP="00CC67A2">
      <w:pPr>
        <w:spacing w:line="480" w:lineRule="auto"/>
        <w:rPr>
          <w:rFonts w:ascii="Times New Roman" w:hAnsi="Times New Roman" w:cs="Times New Roman"/>
          <w:color w:val="auto"/>
          <w:sz w:val="24"/>
          <w:szCs w:val="24"/>
        </w:rPr>
      </w:pPr>
      <w:r w:rsidRPr="00290571">
        <w:rPr>
          <w:rFonts w:ascii="Times New Roman" w:hAnsi="Times New Roman" w:cs="Times New Roman"/>
          <w:color w:val="auto"/>
          <w:sz w:val="24"/>
          <w:szCs w:val="24"/>
        </w:rPr>
        <w:lastRenderedPageBreak/>
        <w:t xml:space="preserve">Pickles, M. (2009) </w:t>
      </w:r>
      <w:r w:rsidRPr="00290571">
        <w:rPr>
          <w:rFonts w:ascii="Times New Roman" w:hAnsi="Times New Roman" w:cs="Times New Roman"/>
          <w:i/>
          <w:iCs/>
          <w:color w:val="auto"/>
          <w:sz w:val="24"/>
          <w:szCs w:val="24"/>
        </w:rPr>
        <w:t>Gustav Metzger: 100,000 Newspapers Part 1 of 3.</w:t>
      </w:r>
      <w:r w:rsidRPr="00290571">
        <w:rPr>
          <w:rFonts w:ascii="Times New Roman" w:hAnsi="Times New Roman" w:cs="Times New Roman"/>
          <w:color w:val="auto"/>
          <w:sz w:val="24"/>
          <w:szCs w:val="24"/>
        </w:rPr>
        <w:t xml:space="preserve"> Available at: https://youtu.be/vhdu2zY6iq4 (Accessed February 11, 2108).</w:t>
      </w:r>
    </w:p>
    <w:p w:rsidR="00770735" w:rsidRPr="00290571" w:rsidRDefault="001E042E" w:rsidP="00CC67A2">
      <w:pPr>
        <w:spacing w:line="480" w:lineRule="auto"/>
        <w:rPr>
          <w:color w:val="auto"/>
        </w:rPr>
      </w:pPr>
      <w:r w:rsidRPr="00290571">
        <w:rPr>
          <w:rFonts w:ascii="Times New Roman" w:hAnsi="Times New Roman" w:cs="Times New Roman"/>
          <w:color w:val="auto"/>
          <w:sz w:val="24"/>
          <w:szCs w:val="24"/>
        </w:rPr>
        <w:t xml:space="preserve">Pickles, M. (2009) </w:t>
      </w:r>
      <w:r w:rsidRPr="00290571">
        <w:rPr>
          <w:rFonts w:ascii="Times New Roman" w:hAnsi="Times New Roman" w:cs="Times New Roman"/>
          <w:i/>
          <w:iCs/>
          <w:color w:val="auto"/>
          <w:sz w:val="24"/>
          <w:szCs w:val="24"/>
        </w:rPr>
        <w:t>Gustav Metzger: 100,000 Newspapers Part 2 of 3.</w:t>
      </w:r>
      <w:r w:rsidRPr="00290571">
        <w:rPr>
          <w:rFonts w:ascii="Times New Roman" w:hAnsi="Times New Roman" w:cs="Times New Roman"/>
          <w:color w:val="auto"/>
          <w:sz w:val="24"/>
          <w:szCs w:val="24"/>
        </w:rPr>
        <w:t xml:space="preserve"> Available at: https://youtu.be/6jZmMh7Tyy0 (Accessed February 11, 2018).</w:t>
      </w:r>
    </w:p>
    <w:p w:rsidR="00770735" w:rsidRPr="00290571" w:rsidRDefault="001E042E" w:rsidP="00CC67A2">
      <w:pPr>
        <w:pStyle w:val="Heading1"/>
        <w:spacing w:line="480" w:lineRule="auto"/>
        <w:rPr>
          <w:color w:val="auto"/>
        </w:rPr>
      </w:pPr>
      <w:r w:rsidRPr="00290571">
        <w:rPr>
          <w:b w:val="0"/>
          <w:bCs w:val="0"/>
          <w:color w:val="auto"/>
          <w:sz w:val="24"/>
          <w:szCs w:val="24"/>
        </w:rPr>
        <w:t xml:space="preserve">Tate (2015) </w:t>
      </w:r>
      <w:r w:rsidRPr="00290571">
        <w:rPr>
          <w:b w:val="0"/>
          <w:bCs w:val="0"/>
          <w:i/>
          <w:iCs/>
          <w:color w:val="auto"/>
          <w:sz w:val="24"/>
          <w:szCs w:val="24"/>
        </w:rPr>
        <w:t xml:space="preserve">Gustav Metzger –Auto-Destructive Art. </w:t>
      </w:r>
      <w:r w:rsidRPr="00290571">
        <w:rPr>
          <w:b w:val="0"/>
          <w:bCs w:val="0"/>
          <w:color w:val="auto"/>
          <w:sz w:val="24"/>
          <w:szCs w:val="24"/>
        </w:rPr>
        <w:t>Available at: https://youtu.be/5ioYs20rnL8 (Accessed February 15, 2018).</w:t>
      </w:r>
    </w:p>
    <w:p w:rsidR="00770735" w:rsidRPr="00290571" w:rsidRDefault="001E042E" w:rsidP="00CC67A2">
      <w:pPr>
        <w:spacing w:beforeAutospacing="1" w:afterAutospacing="1" w:line="480" w:lineRule="auto"/>
        <w:rPr>
          <w:color w:val="auto"/>
        </w:rPr>
      </w:pPr>
      <w:r w:rsidRPr="00290571">
        <w:rPr>
          <w:rStyle w:val="selectable"/>
          <w:rFonts w:ascii="Times New Roman" w:hAnsi="Times New Roman" w:cs="Times New Roman"/>
          <w:b/>
          <w:color w:val="auto"/>
          <w:sz w:val="24"/>
          <w:szCs w:val="24"/>
          <w:u w:val="single"/>
        </w:rPr>
        <w:t>Websites</w:t>
      </w:r>
    </w:p>
    <w:p w:rsidR="00770735" w:rsidRPr="00290571" w:rsidRDefault="001E042E" w:rsidP="00CC67A2">
      <w:pPr>
        <w:spacing w:beforeAutospacing="1" w:afterAutospacing="1" w:line="480" w:lineRule="auto"/>
        <w:rPr>
          <w:color w:val="auto"/>
        </w:rPr>
      </w:pPr>
      <w:r w:rsidRPr="00290571">
        <w:rPr>
          <w:rFonts w:ascii="Times New Roman" w:hAnsi="Times New Roman"/>
          <w:color w:val="auto"/>
          <w:sz w:val="24"/>
          <w:szCs w:val="24"/>
        </w:rPr>
        <w:t xml:space="preserve">Anon. (2017) </w:t>
      </w:r>
      <w:r w:rsidRPr="00290571">
        <w:rPr>
          <w:rFonts w:ascii="Times New Roman" w:hAnsi="Times New Roman"/>
          <w:i/>
          <w:iCs/>
          <w:color w:val="auto"/>
          <w:sz w:val="24"/>
          <w:szCs w:val="24"/>
        </w:rPr>
        <w:t xml:space="preserve">Gustav Metzger has died aged 90. </w:t>
      </w:r>
      <w:r w:rsidRPr="00290571">
        <w:rPr>
          <w:rFonts w:ascii="Times New Roman" w:hAnsi="Times New Roman"/>
          <w:color w:val="auto"/>
          <w:sz w:val="24"/>
          <w:szCs w:val="24"/>
        </w:rPr>
        <w:t>Available at:</w:t>
      </w:r>
      <w:r w:rsidRPr="00290571">
        <w:rPr>
          <w:rFonts w:ascii="Times New Roman" w:hAnsi="Times New Roman"/>
          <w:i/>
          <w:iCs/>
          <w:color w:val="auto"/>
          <w:sz w:val="24"/>
          <w:szCs w:val="24"/>
        </w:rPr>
        <w:t xml:space="preserve"> </w:t>
      </w:r>
      <w:hyperlink r:id="rId18">
        <w:r w:rsidRPr="00290571">
          <w:rPr>
            <w:rStyle w:val="InternetLink"/>
            <w:rFonts w:ascii="Times New Roman" w:hAnsi="Times New Roman"/>
            <w:color w:val="auto"/>
            <w:sz w:val="24"/>
            <w:szCs w:val="24"/>
            <w:u w:val="none"/>
          </w:rPr>
          <w:t>https://www.thewire.co.uk/news/45943/gustav-metzger-has-died-aged-90</w:t>
        </w:r>
      </w:hyperlink>
      <w:r w:rsidRPr="00290571">
        <w:rPr>
          <w:rFonts w:ascii="Times New Roman" w:hAnsi="Times New Roman"/>
          <w:i/>
          <w:iCs/>
          <w:color w:val="auto"/>
          <w:sz w:val="24"/>
          <w:szCs w:val="24"/>
        </w:rPr>
        <w:t xml:space="preserve"> </w:t>
      </w:r>
      <w:r w:rsidRPr="00290571">
        <w:rPr>
          <w:rFonts w:ascii="Times New Roman" w:hAnsi="Times New Roman"/>
          <w:color w:val="auto"/>
          <w:sz w:val="24"/>
          <w:szCs w:val="24"/>
        </w:rPr>
        <w:t>(Accessed March 5, 2018).</w:t>
      </w:r>
    </w:p>
    <w:p w:rsidR="00770735" w:rsidRPr="00290571" w:rsidRDefault="001E042E" w:rsidP="00CC67A2">
      <w:pPr>
        <w:spacing w:beforeAutospacing="1" w:afterAutospacing="1" w:line="480" w:lineRule="auto"/>
        <w:rPr>
          <w:color w:val="auto"/>
        </w:rPr>
      </w:pPr>
      <w:proofErr w:type="spellStart"/>
      <w:r w:rsidRPr="00290571">
        <w:rPr>
          <w:rFonts w:ascii="Times New Roman" w:hAnsi="Times New Roman"/>
          <w:color w:val="auto"/>
          <w:sz w:val="24"/>
          <w:szCs w:val="24"/>
        </w:rPr>
        <w:t>Boldrick</w:t>
      </w:r>
      <w:proofErr w:type="spellEnd"/>
      <w:r w:rsidRPr="00290571">
        <w:rPr>
          <w:rFonts w:ascii="Times New Roman" w:hAnsi="Times New Roman"/>
          <w:color w:val="auto"/>
          <w:sz w:val="24"/>
          <w:szCs w:val="24"/>
        </w:rPr>
        <w:t xml:space="preserve">, S. (2015) </w:t>
      </w:r>
      <w:r w:rsidRPr="00290571">
        <w:rPr>
          <w:rFonts w:ascii="Times New Roman" w:hAnsi="Times New Roman"/>
          <w:i/>
          <w:iCs/>
          <w:color w:val="auto"/>
          <w:sz w:val="24"/>
          <w:szCs w:val="24"/>
        </w:rPr>
        <w:t>Trash as Trash as Art: Reflections on the Preservation and Destruction of Waste in Artistic Practice</w:t>
      </w:r>
      <w:r w:rsidRPr="00290571">
        <w:rPr>
          <w:rFonts w:ascii="Times New Roman" w:hAnsi="Times New Roman"/>
          <w:color w:val="auto"/>
          <w:sz w:val="24"/>
          <w:szCs w:val="24"/>
        </w:rPr>
        <w:t xml:space="preserve">. Available at: </w:t>
      </w:r>
      <w:r w:rsidRPr="00290571">
        <w:rPr>
          <w:rStyle w:val="InternetLink"/>
          <w:rFonts w:ascii="Times New Roman" w:hAnsi="Times New Roman"/>
          <w:color w:val="auto"/>
          <w:sz w:val="24"/>
          <w:szCs w:val="24"/>
          <w:u w:val="none"/>
        </w:rPr>
        <w:t>https://nanocrit.com/issues/issue7/trash-trash-art</w:t>
      </w:r>
      <w:r w:rsidRPr="00290571">
        <w:rPr>
          <w:rFonts w:ascii="Times New Roman" w:hAnsi="Times New Roman"/>
          <w:color w:val="auto"/>
          <w:sz w:val="24"/>
          <w:szCs w:val="24"/>
        </w:rPr>
        <w:t xml:space="preserve"> (Accessed February 13, 2018).</w:t>
      </w:r>
    </w:p>
    <w:p w:rsidR="00770735" w:rsidRPr="00290571" w:rsidRDefault="001E042E" w:rsidP="00CC67A2">
      <w:pPr>
        <w:spacing w:beforeAutospacing="1" w:afterAutospacing="1" w:line="480" w:lineRule="auto"/>
        <w:rPr>
          <w:color w:val="auto"/>
        </w:rPr>
      </w:pPr>
      <w:proofErr w:type="spellStart"/>
      <w:r w:rsidRPr="00290571">
        <w:rPr>
          <w:rFonts w:ascii="Times New Roman" w:hAnsi="Times New Roman"/>
          <w:color w:val="auto"/>
          <w:sz w:val="24"/>
          <w:szCs w:val="24"/>
        </w:rPr>
        <w:t>Ebenkamp</w:t>
      </w:r>
      <w:proofErr w:type="spellEnd"/>
      <w:r w:rsidRPr="00290571">
        <w:rPr>
          <w:rFonts w:ascii="Times New Roman" w:hAnsi="Times New Roman"/>
          <w:color w:val="auto"/>
          <w:sz w:val="24"/>
          <w:szCs w:val="24"/>
        </w:rPr>
        <w:t>, B. (2017)</w:t>
      </w:r>
      <w:r w:rsidRPr="00290571">
        <w:rPr>
          <w:rFonts w:ascii="Times New Roman" w:hAnsi="Times New Roman"/>
          <w:color w:val="auto"/>
          <w:sz w:val="24"/>
          <w:szCs w:val="24"/>
          <w:u w:val="single"/>
        </w:rPr>
        <w:t xml:space="preserve"> </w:t>
      </w:r>
      <w:r w:rsidRPr="00290571">
        <w:rPr>
          <w:rFonts w:ascii="Times New Roman" w:hAnsi="Times New Roman"/>
          <w:i/>
          <w:iCs/>
          <w:color w:val="auto"/>
          <w:sz w:val="24"/>
          <w:szCs w:val="24"/>
        </w:rPr>
        <w:t xml:space="preserve">In a Bad Time: On Art Strikes and Auto-Destructive Art. </w:t>
      </w:r>
      <w:r w:rsidRPr="00290571">
        <w:rPr>
          <w:rFonts w:ascii="Times New Roman" w:hAnsi="Times New Roman"/>
          <w:color w:val="auto"/>
          <w:sz w:val="24"/>
          <w:szCs w:val="24"/>
        </w:rPr>
        <w:t>Available at: https://openspace.sfmoma.org/2017/05/in-a-bad-time-on-art-strikes-and-auto-destructive-art/ (Accessed February 20, 2018).</w:t>
      </w:r>
    </w:p>
    <w:p w:rsidR="00770735" w:rsidRPr="00290571" w:rsidRDefault="001E042E" w:rsidP="00CC67A2">
      <w:pPr>
        <w:pStyle w:val="BodyText"/>
        <w:spacing w:line="480" w:lineRule="auto"/>
        <w:rPr>
          <w:color w:val="auto"/>
        </w:rPr>
      </w:pPr>
      <w:r w:rsidRPr="00290571">
        <w:rPr>
          <w:rStyle w:val="StrongEmphasis"/>
          <w:rFonts w:ascii="Times New Roman" w:hAnsi="Times New Roman"/>
          <w:b w:val="0"/>
          <w:bCs w:val="0"/>
          <w:color w:val="auto"/>
          <w:sz w:val="24"/>
          <w:szCs w:val="24"/>
        </w:rPr>
        <w:t xml:space="preserve">Griffin, J. (2013) </w:t>
      </w:r>
      <w:r w:rsidRPr="00290571">
        <w:rPr>
          <w:rStyle w:val="StrongEmphasis"/>
          <w:rFonts w:ascii="Times New Roman" w:hAnsi="Times New Roman"/>
          <w:b w:val="0"/>
          <w:bCs w:val="0"/>
          <w:i/>
          <w:iCs/>
          <w:color w:val="auto"/>
          <w:sz w:val="24"/>
          <w:szCs w:val="24"/>
        </w:rPr>
        <w:t>The seeds of destruction.</w:t>
      </w:r>
      <w:r w:rsidRPr="00290571">
        <w:rPr>
          <w:rStyle w:val="StrongEmphasis"/>
          <w:rFonts w:ascii="Times New Roman" w:hAnsi="Times New Roman"/>
          <w:b w:val="0"/>
          <w:bCs w:val="0"/>
          <w:color w:val="auto"/>
          <w:sz w:val="24"/>
          <w:szCs w:val="24"/>
        </w:rPr>
        <w:t xml:space="preserve"> Available at: http://www.tate.org.uk/context-comment/articles/seeds-destruction </w:t>
      </w:r>
      <w:r w:rsidRPr="00290571">
        <w:rPr>
          <w:rStyle w:val="InternetLink"/>
          <w:rFonts w:ascii="Times New Roman" w:eastAsia="Times New Roman" w:hAnsi="Times New Roman" w:cs="Times New Roman"/>
          <w:color w:val="auto"/>
          <w:sz w:val="24"/>
          <w:szCs w:val="24"/>
          <w:u w:val="none"/>
          <w:lang w:val="en" w:eastAsia="en-GB"/>
        </w:rPr>
        <w:t>(Accessed February 25, 2018).</w:t>
      </w:r>
    </w:p>
    <w:p w:rsidR="00770735" w:rsidRPr="00290571" w:rsidRDefault="001E042E" w:rsidP="00CC67A2">
      <w:pPr>
        <w:pStyle w:val="Heading1"/>
        <w:shd w:val="clear" w:color="auto" w:fill="FFFFFF"/>
        <w:spacing w:beforeAutospacing="0" w:after="150" w:afterAutospacing="0" w:line="480" w:lineRule="auto"/>
        <w:rPr>
          <w:b w:val="0"/>
          <w:color w:val="auto"/>
        </w:rPr>
      </w:pPr>
      <w:r w:rsidRPr="00290571">
        <w:rPr>
          <w:b w:val="0"/>
          <w:color w:val="auto"/>
          <w:sz w:val="24"/>
          <w:szCs w:val="24"/>
        </w:rPr>
        <w:t xml:space="preserve">Grimes, W. (2017) </w:t>
      </w:r>
      <w:r w:rsidRPr="00290571">
        <w:rPr>
          <w:b w:val="0"/>
          <w:i/>
          <w:iCs/>
          <w:color w:val="auto"/>
          <w:sz w:val="24"/>
          <w:szCs w:val="24"/>
        </w:rPr>
        <w:t xml:space="preserve">Gustav Metzger, ‘Auto-Destructive Art’ Provocateur, Dies at 90 </w:t>
      </w:r>
      <w:r w:rsidRPr="00290571">
        <w:rPr>
          <w:b w:val="0"/>
          <w:color w:val="auto"/>
          <w:sz w:val="24"/>
          <w:szCs w:val="24"/>
        </w:rPr>
        <w:t xml:space="preserve">Available at: https://www.nytimes.com/2017/03/08/arts/design/gustav-metzger-dead-auto-destructive-artist.html </w:t>
      </w:r>
      <w:r w:rsidRPr="00290571">
        <w:rPr>
          <w:rStyle w:val="InternetLink"/>
          <w:b w:val="0"/>
          <w:color w:val="auto"/>
          <w:sz w:val="24"/>
          <w:szCs w:val="24"/>
          <w:u w:val="none"/>
          <w:lang w:val="en" w:eastAsia="en-GB"/>
        </w:rPr>
        <w:t>(Accessed March 15, 2018).</w:t>
      </w:r>
    </w:p>
    <w:p w:rsidR="00770735" w:rsidRPr="00290571" w:rsidRDefault="001E042E" w:rsidP="00CC67A2">
      <w:pPr>
        <w:shd w:val="clear" w:color="auto" w:fill="FFFFFF"/>
        <w:spacing w:after="105" w:line="480" w:lineRule="auto"/>
        <w:rPr>
          <w:color w:val="auto"/>
        </w:rPr>
      </w:pPr>
      <w:r w:rsidRPr="00290571">
        <w:rPr>
          <w:rStyle w:val="InternetLink"/>
          <w:rFonts w:ascii="Times New Roman" w:eastAsia="Times New Roman" w:hAnsi="Times New Roman" w:cs="Arial"/>
          <w:color w:val="auto"/>
          <w:sz w:val="24"/>
          <w:szCs w:val="24"/>
          <w:u w:val="none"/>
          <w:lang w:eastAsia="en-GB"/>
        </w:rPr>
        <w:lastRenderedPageBreak/>
        <w:t xml:space="preserve">Jones, A. (n.d.) </w:t>
      </w:r>
      <w:r w:rsidRPr="00290571">
        <w:rPr>
          <w:rStyle w:val="InternetLink"/>
          <w:rFonts w:ascii="Times New Roman" w:eastAsia="Times New Roman" w:hAnsi="Times New Roman" w:cs="Arial"/>
          <w:i/>
          <w:iCs/>
          <w:color w:val="auto"/>
          <w:sz w:val="24"/>
          <w:szCs w:val="24"/>
          <w:u w:val="none"/>
          <w:lang w:eastAsia="en-GB"/>
        </w:rPr>
        <w:t xml:space="preserve">Introduction to the Historic Photographs of Gustav Metzger. </w:t>
      </w:r>
      <w:r w:rsidRPr="00290571">
        <w:rPr>
          <w:rStyle w:val="InternetLink"/>
          <w:rFonts w:ascii="Times New Roman" w:eastAsia="Times New Roman" w:hAnsi="Times New Roman" w:cs="Arial"/>
          <w:color w:val="auto"/>
          <w:sz w:val="24"/>
          <w:szCs w:val="24"/>
          <w:u w:val="none"/>
          <w:lang w:eastAsia="en-GB"/>
        </w:rPr>
        <w:t xml:space="preserve">Available at: http://www.ucl.ac.uk/forum-for-holocaust-studies/metzger.html </w:t>
      </w:r>
      <w:r w:rsidRPr="00290571">
        <w:rPr>
          <w:rStyle w:val="InternetLink"/>
          <w:rFonts w:ascii="Times New Roman" w:eastAsia="Times New Roman" w:hAnsi="Times New Roman" w:cs="Times New Roman"/>
          <w:color w:val="auto"/>
          <w:sz w:val="24"/>
          <w:szCs w:val="24"/>
          <w:u w:val="none"/>
          <w:lang w:val="en" w:eastAsia="en-GB"/>
        </w:rPr>
        <w:t>(Accessed February 17, 2018).</w:t>
      </w:r>
    </w:p>
    <w:p w:rsidR="00770735" w:rsidRPr="00290571" w:rsidRDefault="001E042E" w:rsidP="00CC67A2">
      <w:pPr>
        <w:spacing w:line="480" w:lineRule="auto"/>
        <w:rPr>
          <w:color w:val="auto"/>
        </w:rPr>
      </w:pPr>
      <w:r w:rsidRPr="00290571">
        <w:rPr>
          <w:rFonts w:ascii="Times New Roman" w:hAnsi="Times New Roman" w:cs="Times New Roman"/>
          <w:bCs/>
          <w:color w:val="auto"/>
          <w:sz w:val="24"/>
          <w:szCs w:val="24"/>
        </w:rPr>
        <w:t xml:space="preserve">Jones, J. (2009) </w:t>
      </w:r>
      <w:r w:rsidRPr="00290571">
        <w:rPr>
          <w:rFonts w:ascii="Times New Roman" w:hAnsi="Times New Roman" w:cs="Times New Roman"/>
          <w:bCs/>
          <w:i/>
          <w:iCs/>
          <w:color w:val="auto"/>
          <w:sz w:val="24"/>
          <w:szCs w:val="24"/>
        </w:rPr>
        <w:t>Gustav Metzger: the liquid crystal revolutionary.</w:t>
      </w:r>
      <w:r w:rsidRPr="00290571">
        <w:rPr>
          <w:rFonts w:ascii="Times New Roman" w:hAnsi="Times New Roman" w:cs="Times New Roman"/>
          <w:color w:val="auto"/>
          <w:sz w:val="24"/>
          <w:szCs w:val="24"/>
        </w:rPr>
        <w:t xml:space="preserve"> Available at: </w:t>
      </w:r>
      <w:r w:rsidRPr="00290571">
        <w:rPr>
          <w:rFonts w:ascii="Times New Roman" w:hAnsi="Times New Roman"/>
          <w:color w:val="auto"/>
          <w:sz w:val="24"/>
          <w:szCs w:val="24"/>
        </w:rPr>
        <w:t xml:space="preserve">https://www.theguardian.com/artanddesign/2009/sep/28/gustav-metzger-auto-destructive </w:t>
      </w:r>
      <w:r w:rsidRPr="00290571">
        <w:rPr>
          <w:rStyle w:val="InternetLink"/>
          <w:rFonts w:ascii="Times New Roman" w:eastAsia="Times New Roman" w:hAnsi="Times New Roman" w:cs="Times New Roman"/>
          <w:color w:val="auto"/>
          <w:sz w:val="24"/>
          <w:szCs w:val="24"/>
          <w:u w:val="none"/>
          <w:lang w:val="en" w:eastAsia="en-GB"/>
        </w:rPr>
        <w:t>(Accessed February 17, 2018).</w:t>
      </w:r>
    </w:p>
    <w:p w:rsidR="00770735" w:rsidRPr="00290571" w:rsidRDefault="001E042E" w:rsidP="00CC67A2">
      <w:pPr>
        <w:spacing w:line="480" w:lineRule="auto"/>
        <w:rPr>
          <w:color w:val="auto"/>
        </w:rPr>
      </w:pPr>
      <w:r w:rsidRPr="00290571">
        <w:rPr>
          <w:rFonts w:ascii="Times New Roman" w:hAnsi="Times New Roman" w:cs="Times New Roman"/>
          <w:color w:val="auto"/>
          <w:sz w:val="24"/>
          <w:szCs w:val="24"/>
          <w:lang w:val="en"/>
        </w:rPr>
        <w:t>Orton, K. (2015) "</w:t>
      </w:r>
      <w:r w:rsidRPr="00290571">
        <w:rPr>
          <w:rFonts w:ascii="Times New Roman" w:hAnsi="Times New Roman" w:cs="Times New Roman"/>
          <w:i/>
          <w:color w:val="auto"/>
          <w:sz w:val="24"/>
          <w:szCs w:val="24"/>
          <w:lang w:val="en"/>
        </w:rPr>
        <w:t>We Must Become Idealists or Die</w:t>
      </w:r>
      <w:r w:rsidRPr="00290571">
        <w:rPr>
          <w:rFonts w:ascii="Times New Roman" w:hAnsi="Times New Roman" w:cs="Times New Roman"/>
          <w:color w:val="auto"/>
          <w:sz w:val="24"/>
          <w:szCs w:val="24"/>
          <w:lang w:val="en"/>
        </w:rPr>
        <w:t xml:space="preserve">". Available at: </w:t>
      </w:r>
      <w:r w:rsidRPr="00290571">
        <w:rPr>
          <w:rStyle w:val="InternetLink"/>
          <w:rFonts w:ascii="Times New Roman" w:hAnsi="Times New Roman" w:cs="Times New Roman"/>
          <w:color w:val="auto"/>
          <w:sz w:val="24"/>
          <w:szCs w:val="24"/>
          <w:u w:val="none"/>
          <w:lang w:val="en"/>
        </w:rPr>
        <w:t>http://www.anothermag.com/design-living/8123/gustav-metzger-we-must-become-idealists-or-die</w:t>
      </w:r>
      <w:r w:rsidRPr="00290571">
        <w:rPr>
          <w:rFonts w:ascii="Times New Roman" w:hAnsi="Times New Roman" w:cs="Times New Roman"/>
          <w:color w:val="auto"/>
          <w:sz w:val="24"/>
          <w:szCs w:val="24"/>
          <w:lang w:val="en"/>
        </w:rPr>
        <w:t xml:space="preserve"> (Accessed February 11, 2018).</w:t>
      </w:r>
    </w:p>
    <w:p w:rsidR="00770735" w:rsidRPr="00290571" w:rsidRDefault="001E042E" w:rsidP="00CC67A2">
      <w:pPr>
        <w:spacing w:line="480" w:lineRule="auto"/>
        <w:rPr>
          <w:color w:val="auto"/>
        </w:rPr>
      </w:pPr>
      <w:r w:rsidRPr="00290571">
        <w:rPr>
          <w:rFonts w:ascii="Times New Roman" w:hAnsi="Times New Roman" w:cs="Times New Roman"/>
          <w:color w:val="auto"/>
          <w:sz w:val="24"/>
          <w:szCs w:val="24"/>
          <w:lang w:val="en"/>
        </w:rPr>
        <w:t xml:space="preserve">Rosenthal, N. (2009) </w:t>
      </w:r>
      <w:r w:rsidRPr="00290571">
        <w:rPr>
          <w:rFonts w:ascii="Times New Roman" w:hAnsi="Times New Roman" w:cs="Times New Roman"/>
          <w:i/>
          <w:iCs/>
          <w:color w:val="auto"/>
          <w:sz w:val="24"/>
          <w:szCs w:val="24"/>
          <w:lang w:val="en"/>
        </w:rPr>
        <w:t>Octogenarian artist out to save the world</w:t>
      </w:r>
      <w:r w:rsidRPr="00290571">
        <w:rPr>
          <w:rFonts w:ascii="Times New Roman" w:hAnsi="Times New Roman" w:cs="Times New Roman"/>
          <w:color w:val="auto"/>
          <w:sz w:val="24"/>
          <w:szCs w:val="24"/>
          <w:lang w:val="en"/>
        </w:rPr>
        <w:t xml:space="preserve">. Available at: </w:t>
      </w:r>
      <w:proofErr w:type="gramStart"/>
      <w:r w:rsidRPr="00290571">
        <w:rPr>
          <w:rStyle w:val="InternetLink"/>
          <w:rFonts w:ascii="Times New Roman" w:hAnsi="Times New Roman" w:cs="Times New Roman"/>
          <w:color w:val="auto"/>
          <w:sz w:val="24"/>
          <w:szCs w:val="24"/>
          <w:u w:val="none"/>
          <w:lang w:val="en"/>
        </w:rPr>
        <w:t>https://www.ft.com/content/f2d8295e-98e3-11de-aa1b-00144feabdc0</w:t>
      </w:r>
      <w:r w:rsidRPr="00290571">
        <w:rPr>
          <w:rFonts w:ascii="Times New Roman" w:hAnsi="Times New Roman" w:cs="Times New Roman"/>
          <w:color w:val="auto"/>
          <w:sz w:val="24"/>
          <w:szCs w:val="24"/>
          <w:lang w:val="en"/>
        </w:rPr>
        <w:t xml:space="preserve">  (</w:t>
      </w:r>
      <w:proofErr w:type="gramEnd"/>
      <w:r w:rsidRPr="00290571">
        <w:rPr>
          <w:rFonts w:ascii="Times New Roman" w:hAnsi="Times New Roman" w:cs="Times New Roman"/>
          <w:color w:val="auto"/>
          <w:sz w:val="24"/>
          <w:szCs w:val="24"/>
          <w:lang w:val="en"/>
        </w:rPr>
        <w:t>Accessed February 12, 2018).</w:t>
      </w:r>
    </w:p>
    <w:p w:rsidR="00770735" w:rsidRPr="00290571" w:rsidRDefault="001E042E" w:rsidP="00CC67A2">
      <w:pPr>
        <w:spacing w:line="480" w:lineRule="auto"/>
        <w:rPr>
          <w:color w:val="auto"/>
        </w:rPr>
      </w:pPr>
      <w:proofErr w:type="spellStart"/>
      <w:r w:rsidRPr="00290571">
        <w:rPr>
          <w:rStyle w:val="selectable"/>
          <w:rFonts w:ascii="Times New Roman" w:eastAsia="Calibri" w:hAnsi="Times New Roman" w:cs="Times New Roman"/>
          <w:color w:val="auto"/>
          <w:sz w:val="24"/>
          <w:szCs w:val="24"/>
        </w:rPr>
        <w:t>Schudel</w:t>
      </w:r>
      <w:proofErr w:type="spellEnd"/>
      <w:r w:rsidRPr="00290571">
        <w:rPr>
          <w:rStyle w:val="selectable"/>
          <w:rFonts w:ascii="Times New Roman" w:eastAsia="Calibri" w:hAnsi="Times New Roman" w:cs="Times New Roman"/>
          <w:color w:val="auto"/>
          <w:sz w:val="24"/>
          <w:szCs w:val="24"/>
        </w:rPr>
        <w:t xml:space="preserve">, M., (2017) </w:t>
      </w:r>
      <w:r w:rsidRPr="00290571">
        <w:rPr>
          <w:rStyle w:val="selectable"/>
          <w:rFonts w:ascii="Times New Roman" w:eastAsia="Calibri" w:hAnsi="Times New Roman" w:cs="Times New Roman"/>
          <w:i/>
          <w:iCs/>
          <w:color w:val="auto"/>
          <w:sz w:val="24"/>
          <w:szCs w:val="24"/>
        </w:rPr>
        <w:t xml:space="preserve">Gustav Metzger, provocative artist who developed ‘auto-destructive’ art, dies at 90. </w:t>
      </w:r>
      <w:r w:rsidRPr="00290571">
        <w:rPr>
          <w:rStyle w:val="selectable"/>
          <w:rFonts w:ascii="Times New Roman" w:eastAsia="Calibri" w:hAnsi="Times New Roman" w:cs="Times New Roman"/>
          <w:color w:val="auto"/>
          <w:sz w:val="24"/>
          <w:szCs w:val="24"/>
        </w:rPr>
        <w:t xml:space="preserve">Available at: https://www.washingtonpost.com/entertainment/museums/gustav-metzger-provocative-artist-who-developed-auto-destructive-art-dies-at-90/2017/03/02/0ef43478-ff6d-11e6-8ebe-e0dbe4f2bca_story.html?utm_term=.2516236756dd </w:t>
      </w:r>
      <w:r w:rsidRPr="00290571">
        <w:rPr>
          <w:rFonts w:ascii="Times New Roman" w:hAnsi="Times New Roman" w:cs="Times New Roman"/>
          <w:color w:val="auto"/>
          <w:sz w:val="24"/>
          <w:szCs w:val="24"/>
          <w:lang w:val="en"/>
        </w:rPr>
        <w:t>(Accessed February 12, 2018).</w:t>
      </w:r>
    </w:p>
    <w:p w:rsidR="00770735" w:rsidRPr="00290571" w:rsidRDefault="001E042E" w:rsidP="00CC67A2">
      <w:pPr>
        <w:spacing w:line="480" w:lineRule="auto"/>
        <w:rPr>
          <w:color w:val="auto"/>
        </w:rPr>
      </w:pPr>
      <w:r w:rsidRPr="00290571">
        <w:rPr>
          <w:rStyle w:val="selectable"/>
          <w:rFonts w:ascii="Times New Roman" w:eastAsia="Calibri" w:hAnsi="Times New Roman" w:cs="Times New Roman"/>
          <w:color w:val="auto"/>
          <w:sz w:val="24"/>
          <w:szCs w:val="24"/>
        </w:rPr>
        <w:t xml:space="preserve"> </w:t>
      </w:r>
      <w:proofErr w:type="spellStart"/>
      <w:r w:rsidRPr="00290571">
        <w:rPr>
          <w:rFonts w:ascii="Times New Roman" w:eastAsia="Calibri" w:hAnsi="Times New Roman" w:cs="Times New Roman"/>
          <w:color w:val="auto"/>
          <w:sz w:val="24"/>
          <w:szCs w:val="24"/>
        </w:rPr>
        <w:t>Suchin</w:t>
      </w:r>
      <w:proofErr w:type="spellEnd"/>
      <w:r w:rsidRPr="00290571">
        <w:rPr>
          <w:rFonts w:ascii="Times New Roman" w:eastAsia="Calibri" w:hAnsi="Times New Roman" w:cs="Times New Roman"/>
          <w:color w:val="auto"/>
          <w:sz w:val="24"/>
          <w:szCs w:val="24"/>
        </w:rPr>
        <w:t xml:space="preserve">, P. (2003) </w:t>
      </w:r>
      <w:r w:rsidRPr="00290571">
        <w:rPr>
          <w:rFonts w:ascii="Times New Roman" w:hAnsi="Times New Roman"/>
          <w:i/>
          <w:iCs/>
          <w:color w:val="auto"/>
          <w:sz w:val="24"/>
          <w:szCs w:val="24"/>
        </w:rPr>
        <w:t xml:space="preserve">Gustav Metzger t1/2 </w:t>
      </w:r>
      <w:proofErr w:type="spellStart"/>
      <w:r w:rsidRPr="00290571">
        <w:rPr>
          <w:rFonts w:ascii="Times New Roman" w:hAnsi="Times New Roman"/>
          <w:i/>
          <w:iCs/>
          <w:color w:val="auto"/>
          <w:sz w:val="24"/>
          <w:szCs w:val="24"/>
        </w:rPr>
        <w:t>artspace</w:t>
      </w:r>
      <w:proofErr w:type="spellEnd"/>
      <w:r w:rsidRPr="00290571">
        <w:rPr>
          <w:rFonts w:ascii="Times New Roman" w:hAnsi="Times New Roman"/>
          <w:color w:val="auto"/>
          <w:sz w:val="24"/>
          <w:szCs w:val="24"/>
        </w:rPr>
        <w:t xml:space="preserve">.  Available at: </w:t>
      </w:r>
      <w:hyperlink r:id="rId19">
        <w:r w:rsidRPr="00290571">
          <w:rPr>
            <w:rStyle w:val="InternetLink"/>
            <w:rFonts w:ascii="Times New Roman" w:eastAsia="Calibri" w:hAnsi="Times New Roman" w:cs="Times New Roman"/>
            <w:color w:val="auto"/>
            <w:sz w:val="24"/>
            <w:szCs w:val="24"/>
            <w:u w:val="none"/>
          </w:rPr>
          <w:t>https://frieze.com/article/gustav-metzger</w:t>
        </w:r>
      </w:hyperlink>
      <w:r w:rsidRPr="00290571">
        <w:rPr>
          <w:rFonts w:ascii="Times New Roman" w:eastAsia="Calibri" w:hAnsi="Times New Roman" w:cs="Times New Roman"/>
          <w:color w:val="auto"/>
          <w:sz w:val="24"/>
          <w:szCs w:val="24"/>
        </w:rPr>
        <w:t xml:space="preserve"> (Accessed February 11, 2018).</w:t>
      </w:r>
    </w:p>
    <w:p w:rsidR="00770735" w:rsidRPr="00290571" w:rsidRDefault="001E042E" w:rsidP="00CC67A2">
      <w:pPr>
        <w:pStyle w:val="BodyText"/>
        <w:spacing w:line="480" w:lineRule="auto"/>
        <w:rPr>
          <w:color w:val="auto"/>
        </w:rPr>
      </w:pPr>
      <w:r w:rsidRPr="00290571">
        <w:rPr>
          <w:rFonts w:ascii="Times New Roman" w:eastAsia="Calibri" w:hAnsi="Times New Roman"/>
          <w:color w:val="auto"/>
          <w:sz w:val="24"/>
          <w:szCs w:val="24"/>
        </w:rPr>
        <w:t xml:space="preserve">Wilson, A. (2011) </w:t>
      </w:r>
      <w:r w:rsidRPr="00290571">
        <w:rPr>
          <w:rFonts w:ascii="Times New Roman" w:hAnsi="Times New Roman"/>
          <w:i/>
          <w:iCs/>
          <w:color w:val="auto"/>
          <w:sz w:val="24"/>
          <w:szCs w:val="24"/>
        </w:rPr>
        <w:t>Gustav Metzger obituary. A</w:t>
      </w:r>
      <w:r w:rsidRPr="00290571">
        <w:rPr>
          <w:rFonts w:ascii="Times New Roman" w:hAnsi="Times New Roman"/>
          <w:color w:val="auto"/>
          <w:sz w:val="24"/>
          <w:szCs w:val="24"/>
        </w:rPr>
        <w:t xml:space="preserve">vailable at: </w:t>
      </w:r>
      <w:hyperlink r:id="rId20">
        <w:r w:rsidRPr="00290571">
          <w:rPr>
            <w:rStyle w:val="InternetLink"/>
            <w:rFonts w:ascii="Times New Roman" w:eastAsia="Calibri" w:hAnsi="Times New Roman"/>
            <w:color w:val="auto"/>
            <w:sz w:val="24"/>
            <w:szCs w:val="24"/>
            <w:u w:val="none"/>
          </w:rPr>
          <w:t>https://www.theguardian.com/artanddesign/2017/mar/03/gustav-metzger-obituary</w:t>
        </w:r>
      </w:hyperlink>
      <w:r w:rsidRPr="00290571">
        <w:rPr>
          <w:rFonts w:ascii="Times New Roman" w:eastAsia="Calibri" w:hAnsi="Times New Roman"/>
          <w:color w:val="auto"/>
          <w:sz w:val="24"/>
          <w:szCs w:val="24"/>
        </w:rPr>
        <w:t xml:space="preserve"> </w:t>
      </w:r>
      <w:r w:rsidRPr="00290571">
        <w:rPr>
          <w:rFonts w:ascii="Times New Roman" w:eastAsia="Calibri" w:hAnsi="Times New Roman" w:cs="Times New Roman"/>
          <w:color w:val="auto"/>
          <w:sz w:val="24"/>
          <w:szCs w:val="24"/>
        </w:rPr>
        <w:t>(Accessed February 11, 2018).</w:t>
      </w:r>
    </w:p>
    <w:p w:rsidR="00770735" w:rsidRPr="00290571" w:rsidRDefault="001E042E" w:rsidP="00CC67A2">
      <w:pPr>
        <w:pStyle w:val="BodyText"/>
        <w:spacing w:line="480" w:lineRule="auto"/>
        <w:rPr>
          <w:color w:val="auto"/>
        </w:rPr>
      </w:pPr>
      <w:r w:rsidRPr="00290571">
        <w:rPr>
          <w:rFonts w:ascii="Times New Roman" w:eastAsia="Calibri" w:hAnsi="Times New Roman" w:cs="Times New Roman"/>
          <w:color w:val="auto"/>
          <w:sz w:val="24"/>
          <w:szCs w:val="24"/>
        </w:rPr>
        <w:lastRenderedPageBreak/>
        <w:t xml:space="preserve">Windsor-Clive, I. (2011) </w:t>
      </w:r>
      <w:r w:rsidRPr="00290571">
        <w:rPr>
          <w:rFonts w:ascii="Times New Roman" w:eastAsia="Calibri" w:hAnsi="Times New Roman" w:cs="Times New Roman"/>
          <w:i/>
          <w:iCs/>
          <w:color w:val="auto"/>
          <w:sz w:val="24"/>
          <w:szCs w:val="24"/>
        </w:rPr>
        <w:t>Interview with Gustav Metzger.</w:t>
      </w:r>
      <w:r w:rsidRPr="00290571">
        <w:rPr>
          <w:rFonts w:ascii="Times New Roman" w:eastAsia="Calibri" w:hAnsi="Times New Roman" w:cs="Times New Roman"/>
          <w:color w:val="auto"/>
          <w:sz w:val="24"/>
          <w:szCs w:val="24"/>
        </w:rPr>
        <w:t xml:space="preserve"> Available at: http://blog.saatchigallery.com/interview-gustav-metzger (Accessed March 3, 2018).</w:t>
      </w:r>
    </w:p>
    <w:p w:rsidR="00770735" w:rsidRDefault="001E042E" w:rsidP="00CC67A2">
      <w:pPr>
        <w:pStyle w:val="Heading1"/>
        <w:spacing w:after="140" w:line="480" w:lineRule="auto"/>
      </w:pPr>
      <w:bookmarkStart w:id="4" w:name="art-headline"/>
      <w:bookmarkEnd w:id="4"/>
      <w:proofErr w:type="spellStart"/>
      <w:r w:rsidRPr="00290571">
        <w:rPr>
          <w:rFonts w:eastAsia="Calibri"/>
          <w:b w:val="0"/>
          <w:color w:val="auto"/>
          <w:sz w:val="24"/>
          <w:szCs w:val="24"/>
        </w:rPr>
        <w:t>Yahav</w:t>
      </w:r>
      <w:proofErr w:type="spellEnd"/>
      <w:r w:rsidRPr="00290571">
        <w:rPr>
          <w:rFonts w:eastAsia="Calibri"/>
          <w:b w:val="0"/>
          <w:color w:val="auto"/>
          <w:sz w:val="24"/>
          <w:szCs w:val="24"/>
        </w:rPr>
        <w:t xml:space="preserve">, G. (2014) </w:t>
      </w:r>
      <w:r w:rsidRPr="00290571">
        <w:rPr>
          <w:rFonts w:eastAsia="Calibri"/>
          <w:b w:val="0"/>
          <w:i/>
          <w:iCs/>
          <w:color w:val="auto"/>
          <w:sz w:val="24"/>
          <w:szCs w:val="24"/>
        </w:rPr>
        <w:t xml:space="preserve">Nazism, Nukes and 'Nam: The Art of 'Perpetual Refugee' Gustav Metzger. </w:t>
      </w:r>
      <w:r w:rsidRPr="00290571">
        <w:rPr>
          <w:rFonts w:eastAsia="Calibri"/>
          <w:b w:val="0"/>
          <w:color w:val="auto"/>
          <w:sz w:val="24"/>
          <w:szCs w:val="24"/>
        </w:rPr>
        <w:t xml:space="preserve">Available at: </w:t>
      </w:r>
      <w:hyperlink r:id="rId21">
        <w:r w:rsidRPr="00290571">
          <w:rPr>
            <w:rStyle w:val="InternetLink"/>
            <w:rFonts w:eastAsia="Calibri"/>
            <w:b w:val="0"/>
            <w:color w:val="auto"/>
            <w:sz w:val="24"/>
            <w:szCs w:val="24"/>
            <w:u w:val="none"/>
          </w:rPr>
          <w:t>https://www.haaretz.com/israel-news/culture/.premium-a-radical-artist-s-work-come-to-tel-aviv-1.5323267</w:t>
        </w:r>
      </w:hyperlink>
      <w:r>
        <w:rPr>
          <w:rFonts w:eastAsia="Calibri"/>
          <w:b w:val="0"/>
          <w:color w:val="000011"/>
          <w:sz w:val="24"/>
          <w:szCs w:val="24"/>
        </w:rPr>
        <w:t xml:space="preserve"> (Accessed March 6, 2018).</w:t>
      </w:r>
      <w:bookmarkEnd w:id="1"/>
    </w:p>
    <w:sectPr w:rsidR="00770735" w:rsidSect="0081579B">
      <w:headerReference w:type="default" r:id="rId22"/>
      <w:footerReference w:type="default" r:id="rId23"/>
      <w:pgSz w:w="11906" w:h="16838"/>
      <w:pgMar w:top="1440" w:right="1440" w:bottom="1992" w:left="1440" w:header="0" w:footer="1440" w:gutter="0"/>
      <w:pgNumType w:start="0"/>
      <w:cols w:space="720"/>
      <w:formProt w:val="0"/>
      <w:titlePg/>
      <w:docGrid w:linePitch="360" w:charSpace="409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5223" w:rsidRDefault="00C05223">
      <w:pPr>
        <w:spacing w:after="0" w:line="240" w:lineRule="auto"/>
      </w:pPr>
      <w:r>
        <w:separator/>
      </w:r>
    </w:p>
  </w:endnote>
  <w:endnote w:type="continuationSeparator" w:id="0">
    <w:p w:rsidR="00C05223" w:rsidRDefault="00C05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Liberation Serif">
    <w:altName w:val="Times New Roman"/>
    <w:charset w:val="00"/>
    <w:family w:val="roman"/>
    <w:pitch w:val="default"/>
    <w:sig w:usb0="00000000" w:usb1="00000000" w:usb2="00000021" w:usb3="00000000" w:csb0="000001B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Liberation Sans">
    <w:altName w:val="Arial"/>
    <w:charset w:val="00"/>
    <w:family w:val="swiss"/>
    <w:pitch w:val="default"/>
    <w:sig w:usb0="00000000" w:usb1="00000000" w:usb2="00000021" w:usb3="00000000" w:csb0="000001BF" w:csb1="00000000"/>
  </w:font>
  <w:font w:name="Microsoft YaHei">
    <w:panose1 w:val="020B0503020204020204"/>
    <w:charset w:val="86"/>
    <w:family w:val="swiss"/>
    <w:pitch w:val="variable"/>
    <w:sig w:usb0="A0000287" w:usb1="28CF3C52"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Symbol">
    <w:altName w:val="Calibri"/>
    <w:charset w:val="00"/>
    <w:family w:val="auto"/>
    <w:pitch w:val="default"/>
    <w:sig w:usb0="00000000" w:usb1="00000000" w:usb2="00000000" w:usb3="00000000" w:csb0="00000001" w:csb1="00000000"/>
  </w:font>
  <w:font w:name="Open Sans;Helvetica Neue;Arial;">
    <w:altName w:val="Segoe UI"/>
    <w:charset w:val="00"/>
    <w:family w:val="roman"/>
    <w:pitch w:val="default"/>
  </w:font>
  <w:font w:name="Sabon-Roman">
    <w:altName w:val="Cambria"/>
    <w:charset w:val="00"/>
    <w:family w:val="roman"/>
    <w:pitch w:val="default"/>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alias w:val="Author"/>
      <w:id w:val="1571050791"/>
      <w:dataBinding w:prefixMappings="xmlns:ns0='http://purl.org/dc/elements/1.1/' xmlns:ns1='http://schemas.openxmlformats.org/package/2006/metadata/core-properties' " w:xpath="/ns1:coreProperties[1]/ns0:creator[1]" w:storeItemID="{6C3C8BC8-F283-45AE-878A-BAB7291924A1}"/>
      <w:text/>
    </w:sdtPr>
    <w:sdtEndPr/>
    <w:sdtContent>
      <w:p w:rsidR="00770735" w:rsidRDefault="001E042E">
        <w:pPr>
          <w:pStyle w:val="Footer"/>
          <w:rPr>
            <w:rFonts w:ascii="Times New Roman" w:hAnsi="Times New Roman" w:cs="Times New Roman"/>
          </w:rPr>
        </w:pPr>
        <w:r>
          <w:rPr>
            <w:rFonts w:ascii="Times New Roman" w:hAnsi="Times New Roman" w:cs="Times New Roman"/>
          </w:rPr>
          <w:t>Jeremy Gluck (P151365)</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5223" w:rsidRDefault="00C05223">
      <w:pPr>
        <w:spacing w:after="0" w:line="240" w:lineRule="auto"/>
      </w:pPr>
      <w:r>
        <w:separator/>
      </w:r>
    </w:p>
  </w:footnote>
  <w:footnote w:type="continuationSeparator" w:id="0">
    <w:p w:rsidR="00C05223" w:rsidRDefault="00C052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313653"/>
      <w:docPartObj>
        <w:docPartGallery w:val="Page Numbers (Top of Page)"/>
        <w:docPartUnique/>
      </w:docPartObj>
    </w:sdtPr>
    <w:sdtEndPr>
      <w:rPr>
        <w:noProof/>
      </w:rPr>
    </w:sdtEndPr>
    <w:sdtContent>
      <w:p w:rsidR="000E5891" w:rsidRDefault="000E5891">
        <w:pPr>
          <w:pStyle w:val="Header"/>
        </w:pPr>
        <w:r>
          <w:fldChar w:fldCharType="begin"/>
        </w:r>
        <w:r>
          <w:instrText xml:space="preserve"> PAGE   \* MERGEFORMAT </w:instrText>
        </w:r>
        <w:r>
          <w:fldChar w:fldCharType="separate"/>
        </w:r>
        <w:r>
          <w:rPr>
            <w:noProof/>
          </w:rPr>
          <w:t>2</w:t>
        </w:r>
        <w:r>
          <w:rPr>
            <w:noProof/>
          </w:rPr>
          <w:fldChar w:fldCharType="end"/>
        </w:r>
      </w:p>
    </w:sdtContent>
  </w:sdt>
  <w:p w:rsidR="000E5891" w:rsidRDefault="000E58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AE4CB1"/>
    <w:multiLevelType w:val="multilevel"/>
    <w:tmpl w:val="30AE4CB1"/>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5291"/>
    <w:rsid w:val="000067ED"/>
    <w:rsid w:val="000139E0"/>
    <w:rsid w:val="00015291"/>
    <w:rsid w:val="00026634"/>
    <w:rsid w:val="0005661D"/>
    <w:rsid w:val="000577C7"/>
    <w:rsid w:val="0006530A"/>
    <w:rsid w:val="0007351E"/>
    <w:rsid w:val="00073DEE"/>
    <w:rsid w:val="00087EF4"/>
    <w:rsid w:val="000958EC"/>
    <w:rsid w:val="000976C3"/>
    <w:rsid w:val="000A25EF"/>
    <w:rsid w:val="000B6BC6"/>
    <w:rsid w:val="000D0CA5"/>
    <w:rsid w:val="000E5891"/>
    <w:rsid w:val="000F4786"/>
    <w:rsid w:val="00107BFD"/>
    <w:rsid w:val="001120F1"/>
    <w:rsid w:val="00116769"/>
    <w:rsid w:val="00127048"/>
    <w:rsid w:val="0013467B"/>
    <w:rsid w:val="00140A27"/>
    <w:rsid w:val="00141E00"/>
    <w:rsid w:val="00162F93"/>
    <w:rsid w:val="00166ABD"/>
    <w:rsid w:val="00171E5A"/>
    <w:rsid w:val="001811C6"/>
    <w:rsid w:val="001857EF"/>
    <w:rsid w:val="001A11C7"/>
    <w:rsid w:val="001A3061"/>
    <w:rsid w:val="001A416F"/>
    <w:rsid w:val="001A6187"/>
    <w:rsid w:val="001B3EF6"/>
    <w:rsid w:val="001B7727"/>
    <w:rsid w:val="001D4AEE"/>
    <w:rsid w:val="001E042E"/>
    <w:rsid w:val="001F699C"/>
    <w:rsid w:val="0024228D"/>
    <w:rsid w:val="00243F36"/>
    <w:rsid w:val="00253C20"/>
    <w:rsid w:val="0026538D"/>
    <w:rsid w:val="00290571"/>
    <w:rsid w:val="002938CD"/>
    <w:rsid w:val="002B002D"/>
    <w:rsid w:val="0031560C"/>
    <w:rsid w:val="00315898"/>
    <w:rsid w:val="00326553"/>
    <w:rsid w:val="003425AF"/>
    <w:rsid w:val="00347A03"/>
    <w:rsid w:val="00350635"/>
    <w:rsid w:val="00353897"/>
    <w:rsid w:val="00353A6E"/>
    <w:rsid w:val="00371112"/>
    <w:rsid w:val="00373CD8"/>
    <w:rsid w:val="003747F8"/>
    <w:rsid w:val="003854A6"/>
    <w:rsid w:val="00392AA1"/>
    <w:rsid w:val="003B3912"/>
    <w:rsid w:val="003C448F"/>
    <w:rsid w:val="003C6A6C"/>
    <w:rsid w:val="003C71B0"/>
    <w:rsid w:val="003D6BCA"/>
    <w:rsid w:val="003E0136"/>
    <w:rsid w:val="003E231A"/>
    <w:rsid w:val="003E6A08"/>
    <w:rsid w:val="003F0CA2"/>
    <w:rsid w:val="003F5110"/>
    <w:rsid w:val="003F79E4"/>
    <w:rsid w:val="00401C37"/>
    <w:rsid w:val="00403CA7"/>
    <w:rsid w:val="00406F4A"/>
    <w:rsid w:val="00407D41"/>
    <w:rsid w:val="00410581"/>
    <w:rsid w:val="004110F5"/>
    <w:rsid w:val="0041397B"/>
    <w:rsid w:val="00422A15"/>
    <w:rsid w:val="00435F4F"/>
    <w:rsid w:val="0044097E"/>
    <w:rsid w:val="00444DEC"/>
    <w:rsid w:val="00475905"/>
    <w:rsid w:val="00484AD1"/>
    <w:rsid w:val="0049013C"/>
    <w:rsid w:val="0049670D"/>
    <w:rsid w:val="004A0360"/>
    <w:rsid w:val="004A5C4A"/>
    <w:rsid w:val="004A6B0B"/>
    <w:rsid w:val="004A77DE"/>
    <w:rsid w:val="004B13F6"/>
    <w:rsid w:val="004C7177"/>
    <w:rsid w:val="005032B9"/>
    <w:rsid w:val="00506AAB"/>
    <w:rsid w:val="005310F5"/>
    <w:rsid w:val="005470B4"/>
    <w:rsid w:val="00547C9A"/>
    <w:rsid w:val="00563E93"/>
    <w:rsid w:val="0057349C"/>
    <w:rsid w:val="00585BFD"/>
    <w:rsid w:val="00594317"/>
    <w:rsid w:val="00596F7F"/>
    <w:rsid w:val="005A0181"/>
    <w:rsid w:val="005A370E"/>
    <w:rsid w:val="005C040B"/>
    <w:rsid w:val="005C47BA"/>
    <w:rsid w:val="005D4338"/>
    <w:rsid w:val="005D74E3"/>
    <w:rsid w:val="005E1B4A"/>
    <w:rsid w:val="005E7CC1"/>
    <w:rsid w:val="005F1161"/>
    <w:rsid w:val="005F31EC"/>
    <w:rsid w:val="00613F1A"/>
    <w:rsid w:val="00616B2E"/>
    <w:rsid w:val="006260ED"/>
    <w:rsid w:val="00635FE8"/>
    <w:rsid w:val="00646A51"/>
    <w:rsid w:val="00653411"/>
    <w:rsid w:val="006561D9"/>
    <w:rsid w:val="00675FE7"/>
    <w:rsid w:val="006A1640"/>
    <w:rsid w:val="006B0B9D"/>
    <w:rsid w:val="006B71D9"/>
    <w:rsid w:val="006D5E40"/>
    <w:rsid w:val="006D743D"/>
    <w:rsid w:val="006D76F4"/>
    <w:rsid w:val="007238A0"/>
    <w:rsid w:val="0073455F"/>
    <w:rsid w:val="007360B0"/>
    <w:rsid w:val="007419AC"/>
    <w:rsid w:val="00741A59"/>
    <w:rsid w:val="00761A14"/>
    <w:rsid w:val="00770735"/>
    <w:rsid w:val="007762FF"/>
    <w:rsid w:val="00776CB4"/>
    <w:rsid w:val="00781823"/>
    <w:rsid w:val="00796DDC"/>
    <w:rsid w:val="007A2B50"/>
    <w:rsid w:val="007C1421"/>
    <w:rsid w:val="007C39E7"/>
    <w:rsid w:val="007D6D87"/>
    <w:rsid w:val="0081579B"/>
    <w:rsid w:val="00815FC8"/>
    <w:rsid w:val="00817824"/>
    <w:rsid w:val="008228F2"/>
    <w:rsid w:val="00832126"/>
    <w:rsid w:val="008336CA"/>
    <w:rsid w:val="00843CB6"/>
    <w:rsid w:val="008529BC"/>
    <w:rsid w:val="008558D0"/>
    <w:rsid w:val="00864740"/>
    <w:rsid w:val="00865329"/>
    <w:rsid w:val="00865659"/>
    <w:rsid w:val="00874E69"/>
    <w:rsid w:val="00876419"/>
    <w:rsid w:val="0088764D"/>
    <w:rsid w:val="00894371"/>
    <w:rsid w:val="00895CD6"/>
    <w:rsid w:val="008A0E9C"/>
    <w:rsid w:val="008A5EA4"/>
    <w:rsid w:val="008A65D0"/>
    <w:rsid w:val="008B088F"/>
    <w:rsid w:val="008B4E32"/>
    <w:rsid w:val="008D27E3"/>
    <w:rsid w:val="008D37E9"/>
    <w:rsid w:val="008D4AEC"/>
    <w:rsid w:val="008E69DF"/>
    <w:rsid w:val="008F4A30"/>
    <w:rsid w:val="008F58A9"/>
    <w:rsid w:val="0090006B"/>
    <w:rsid w:val="009052B9"/>
    <w:rsid w:val="0090605B"/>
    <w:rsid w:val="0091009F"/>
    <w:rsid w:val="009230FD"/>
    <w:rsid w:val="00936F56"/>
    <w:rsid w:val="009553B4"/>
    <w:rsid w:val="009819BF"/>
    <w:rsid w:val="00985604"/>
    <w:rsid w:val="00985606"/>
    <w:rsid w:val="00990B3B"/>
    <w:rsid w:val="00990FFB"/>
    <w:rsid w:val="00991592"/>
    <w:rsid w:val="0099561B"/>
    <w:rsid w:val="009C4E5B"/>
    <w:rsid w:val="009D0EBA"/>
    <w:rsid w:val="009D4B2F"/>
    <w:rsid w:val="009E7940"/>
    <w:rsid w:val="009F7090"/>
    <w:rsid w:val="00A020D6"/>
    <w:rsid w:val="00A128AF"/>
    <w:rsid w:val="00A14FE2"/>
    <w:rsid w:val="00A20B70"/>
    <w:rsid w:val="00A23A1E"/>
    <w:rsid w:val="00A23B90"/>
    <w:rsid w:val="00A3282A"/>
    <w:rsid w:val="00A3673C"/>
    <w:rsid w:val="00A52143"/>
    <w:rsid w:val="00A55AEA"/>
    <w:rsid w:val="00A573DF"/>
    <w:rsid w:val="00A61645"/>
    <w:rsid w:val="00A62DC1"/>
    <w:rsid w:val="00A81384"/>
    <w:rsid w:val="00AB0ABD"/>
    <w:rsid w:val="00AB688A"/>
    <w:rsid w:val="00AC2D9A"/>
    <w:rsid w:val="00AC44C8"/>
    <w:rsid w:val="00AC747B"/>
    <w:rsid w:val="00AE521A"/>
    <w:rsid w:val="00AE5CF9"/>
    <w:rsid w:val="00AF0BA5"/>
    <w:rsid w:val="00AF18C8"/>
    <w:rsid w:val="00AF5E98"/>
    <w:rsid w:val="00B016F3"/>
    <w:rsid w:val="00B10EAA"/>
    <w:rsid w:val="00B40714"/>
    <w:rsid w:val="00B60B68"/>
    <w:rsid w:val="00B6767F"/>
    <w:rsid w:val="00B845BC"/>
    <w:rsid w:val="00B9745E"/>
    <w:rsid w:val="00BB6C33"/>
    <w:rsid w:val="00BB7279"/>
    <w:rsid w:val="00BE0C3A"/>
    <w:rsid w:val="00BF623C"/>
    <w:rsid w:val="00C05223"/>
    <w:rsid w:val="00C06D73"/>
    <w:rsid w:val="00C11EA5"/>
    <w:rsid w:val="00C1326B"/>
    <w:rsid w:val="00C27566"/>
    <w:rsid w:val="00C55BF3"/>
    <w:rsid w:val="00C605A5"/>
    <w:rsid w:val="00C65CED"/>
    <w:rsid w:val="00C73C3F"/>
    <w:rsid w:val="00C95BA7"/>
    <w:rsid w:val="00C970E8"/>
    <w:rsid w:val="00CA7AD8"/>
    <w:rsid w:val="00CC67A2"/>
    <w:rsid w:val="00CF7128"/>
    <w:rsid w:val="00D0357A"/>
    <w:rsid w:val="00D06353"/>
    <w:rsid w:val="00D227F7"/>
    <w:rsid w:val="00D2513F"/>
    <w:rsid w:val="00D36225"/>
    <w:rsid w:val="00D36495"/>
    <w:rsid w:val="00D659FE"/>
    <w:rsid w:val="00D65B0C"/>
    <w:rsid w:val="00D85ABF"/>
    <w:rsid w:val="00D96D02"/>
    <w:rsid w:val="00DD1F31"/>
    <w:rsid w:val="00DE31F0"/>
    <w:rsid w:val="00DF724B"/>
    <w:rsid w:val="00E05BDB"/>
    <w:rsid w:val="00E20529"/>
    <w:rsid w:val="00E35AE3"/>
    <w:rsid w:val="00E45EA7"/>
    <w:rsid w:val="00E865F8"/>
    <w:rsid w:val="00E87D25"/>
    <w:rsid w:val="00E947CD"/>
    <w:rsid w:val="00EA1899"/>
    <w:rsid w:val="00EC31B8"/>
    <w:rsid w:val="00EC5569"/>
    <w:rsid w:val="00ED61EC"/>
    <w:rsid w:val="00ED697A"/>
    <w:rsid w:val="00EE6664"/>
    <w:rsid w:val="00EF126D"/>
    <w:rsid w:val="00F169FB"/>
    <w:rsid w:val="00F20DC4"/>
    <w:rsid w:val="00F27DD4"/>
    <w:rsid w:val="00F315C5"/>
    <w:rsid w:val="00F34169"/>
    <w:rsid w:val="00F34FEF"/>
    <w:rsid w:val="00F3517C"/>
    <w:rsid w:val="00F43CFC"/>
    <w:rsid w:val="00F54002"/>
    <w:rsid w:val="00F66B6E"/>
    <w:rsid w:val="00F72E3B"/>
    <w:rsid w:val="00F77D2E"/>
    <w:rsid w:val="00F976AB"/>
    <w:rsid w:val="00FA7D5F"/>
    <w:rsid w:val="00FD4547"/>
    <w:rsid w:val="17022E0D"/>
    <w:rsid w:val="17556CEC"/>
    <w:rsid w:val="2B6C7E92"/>
    <w:rsid w:val="452D7E50"/>
    <w:rsid w:val="5CBF464E"/>
  </w:rsids>
  <m:mathPr>
    <m:mathFont m:val="Cambria Math"/>
    <m:brkBin m:val="before"/>
    <m:brkBinSub m:val="--"/>
    <m:smallFrac m:val="0"/>
    <m:dispDef/>
    <m:lMargin m:val="0"/>
    <m:rMargin m:val="0"/>
    <m:defJc m:val="centerGroup"/>
    <m:wrapIndent m:val="1440"/>
    <m:intLim m:val="subSup"/>
    <m:naryLim m:val="undOvr"/>
  </m:mathPr>
  <w:themeFontLang w:val="en-GB" w:eastAsia="zh-CN" w:bidi="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72AB5298"/>
  <w15:docId w15:val="{CE7D11A4-8DCA-426D-B0BA-90ADB3778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unhideWhenUsed="1" w:qFormat="1"/>
    <w:lsdException w:name="footer" w:qFormat="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qFormat="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uiPriority="0" w:qFormat="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Theme="minorHAnsi" w:eastAsiaTheme="minorHAnsi" w:hAnsiTheme="minorHAnsi" w:cstheme="minorBidi"/>
      <w:color w:val="00000A"/>
      <w:sz w:val="22"/>
      <w:szCs w:val="22"/>
      <w:lang w:eastAsia="en-US"/>
    </w:rPr>
  </w:style>
  <w:style w:type="paragraph" w:styleId="Heading1">
    <w:name w:val="heading 1"/>
    <w:basedOn w:val="Normal"/>
    <w:next w:val="Normal"/>
    <w:qFormat/>
    <w:pPr>
      <w:spacing w:beforeAutospacing="1" w:afterAutospacing="1" w:line="240" w:lineRule="auto"/>
      <w:outlineLvl w:val="0"/>
    </w:pPr>
    <w:rPr>
      <w:rFonts w:ascii="Times New Roman" w:eastAsia="Times New Roman" w:hAnsi="Times New Roman" w:cs="Times New Roman"/>
      <w:b/>
      <w:bCs/>
      <w:kern w:val="2"/>
      <w:sz w:val="48"/>
      <w:szCs w:val="48"/>
    </w:rPr>
  </w:style>
  <w:style w:type="paragraph" w:styleId="Heading2">
    <w:name w:val="heading 2"/>
    <w:basedOn w:val="Normal"/>
    <w:next w:val="Normal"/>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Heading"/>
    <w:next w:val="Normal"/>
    <w:qFormat/>
    <w:pPr>
      <w:numPr>
        <w:ilvl w:val="2"/>
        <w:numId w:val="1"/>
      </w:numPr>
      <w:spacing w:before="140"/>
      <w:outlineLvl w:val="2"/>
    </w:pPr>
    <w:rPr>
      <w:rFonts w:ascii="Liberation Serif" w:eastAsia="Segoe UI" w:hAnsi="Liberation Serif" w:cs="Tahoma"/>
      <w:b/>
      <w:bCs/>
    </w:rPr>
  </w:style>
  <w:style w:type="paragraph" w:styleId="Heading4">
    <w:name w:val="heading 4"/>
    <w:basedOn w:val="Normal"/>
    <w:next w:val="Normal"/>
    <w:link w:val="Heading4Char"/>
    <w:uiPriority w:val="9"/>
    <w:qFormat/>
    <w:pPr>
      <w:spacing w:beforeAutospacing="1"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88" w:lineRule="auto"/>
    </w:pPr>
  </w:style>
  <w:style w:type="paragraph" w:styleId="BalloonText">
    <w:name w:val="Balloon Text"/>
    <w:basedOn w:val="Normal"/>
    <w:link w:val="BalloonTextChar"/>
    <w:uiPriority w:val="99"/>
    <w:unhideWhenUsed/>
    <w:pPr>
      <w:spacing w:after="0" w:line="240" w:lineRule="auto"/>
    </w:pPr>
    <w:rPr>
      <w:rFonts w:ascii="Segoe UI" w:hAnsi="Segoe UI" w:cs="Segoe UI"/>
      <w:sz w:val="18"/>
      <w:szCs w:val="18"/>
    </w:rPr>
  </w:style>
  <w:style w:type="paragraph" w:styleId="Caption">
    <w:name w:val="caption"/>
    <w:basedOn w:val="Normal"/>
    <w:next w:val="Normal"/>
    <w:qFormat/>
    <w:pPr>
      <w:spacing w:after="200" w:line="240" w:lineRule="auto"/>
    </w:pPr>
    <w:rPr>
      <w:i/>
      <w:iCs/>
      <w:color w:val="44546A" w:themeColor="text2"/>
      <w:sz w:val="18"/>
      <w:szCs w:val="18"/>
    </w:rPr>
  </w:style>
  <w:style w:type="paragraph" w:styleId="CommentText">
    <w:name w:val="annotation text"/>
    <w:basedOn w:val="Normal"/>
    <w:link w:val="CommentTextChar"/>
    <w:uiPriority w:val="99"/>
    <w:unhideWhenUsed/>
    <w:qFormat/>
    <w:pPr>
      <w:spacing w:line="240" w:lineRule="auto"/>
    </w:pPr>
    <w:rPr>
      <w:sz w:val="20"/>
      <w:szCs w:val="20"/>
    </w:rPr>
  </w:style>
  <w:style w:type="paragraph" w:styleId="CommentSubject">
    <w:name w:val="annotation subject"/>
    <w:basedOn w:val="CommentText"/>
    <w:next w:val="CommentText"/>
    <w:link w:val="CommentSubjectChar"/>
    <w:uiPriority w:val="99"/>
    <w:unhideWhenUsed/>
    <w:qFormat/>
    <w:rPr>
      <w:b/>
      <w:bCs/>
    </w:rPr>
  </w:style>
  <w:style w:type="paragraph" w:styleId="Footer">
    <w:name w:val="footer"/>
    <w:basedOn w:val="Normal"/>
    <w:link w:val="FooterChar"/>
    <w:uiPriority w:val="99"/>
    <w:qFormat/>
    <w:pPr>
      <w:suppressLineNumbers/>
      <w:tabs>
        <w:tab w:val="center" w:pos="4513"/>
        <w:tab w:val="right" w:pos="9026"/>
      </w:tabs>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List">
    <w:name w:val="List"/>
    <w:basedOn w:val="BodyText"/>
    <w:qFormat/>
    <w:rPr>
      <w:rFonts w:cs="Lucida Sans"/>
    </w:rPr>
  </w:style>
  <w:style w:type="paragraph" w:styleId="NormalWeb">
    <w:name w:val="Normal (Web)"/>
    <w:basedOn w:val="Normal"/>
    <w:uiPriority w:val="99"/>
    <w:unhideWhenUsed/>
    <w:qFormat/>
    <w:pPr>
      <w:spacing w:beforeAutospacing="1"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unhideWhenUsed/>
    <w:qFormat/>
    <w:rPr>
      <w:sz w:val="16"/>
      <w:szCs w:val="16"/>
    </w:rPr>
  </w:style>
  <w:style w:type="character" w:styleId="Emphasis">
    <w:name w:val="Emphasis"/>
    <w:basedOn w:val="DefaultParagraphFont"/>
    <w:qFormat/>
    <w:rPr>
      <w:i/>
      <w:iCs/>
    </w:rPr>
  </w:style>
  <w:style w:type="character" w:styleId="HTMLCite">
    <w:name w:val="HTML Cite"/>
    <w:basedOn w:val="DefaultParagraphFont"/>
    <w:qFormat/>
    <w:rPr>
      <w:i/>
      <w:iCs/>
    </w:rPr>
  </w:style>
  <w:style w:type="character" w:styleId="Hyperlink">
    <w:name w:val="Hyperlink"/>
    <w:basedOn w:val="DefaultParagraphFont"/>
    <w:uiPriority w:val="99"/>
    <w:unhideWhenUsed/>
    <w:qFormat/>
    <w:rPr>
      <w:color w:val="0563C1" w:themeColor="hyperlink"/>
      <w:u w:val="single"/>
    </w:rPr>
  </w:style>
  <w:style w:type="character" w:styleId="Strong">
    <w:name w:val="Strong"/>
    <w:basedOn w:val="DefaultParagraphFont"/>
    <w:uiPriority w:val="22"/>
    <w:qFormat/>
    <w:rPr>
      <w:b/>
      <w:bCs/>
    </w:rPr>
  </w:style>
  <w:style w:type="character" w:customStyle="1" w:styleId="Heading4Char">
    <w:name w:val="Heading 4 Char"/>
    <w:basedOn w:val="DefaultParagraphFont"/>
    <w:link w:val="Heading4"/>
    <w:uiPriority w:val="9"/>
    <w:qFormat/>
    <w:rPr>
      <w:rFonts w:ascii="Times New Roman" w:eastAsia="Times New Roman" w:hAnsi="Times New Roman" w:cs="Times New Roman"/>
      <w:b/>
      <w:bCs/>
      <w:sz w:val="24"/>
      <w:szCs w:val="24"/>
      <w:lang w:eastAsia="en-GB"/>
    </w:rPr>
  </w:style>
  <w:style w:type="character" w:customStyle="1" w:styleId="publicationcontentepubdate">
    <w:name w:val="publicationcontentepubdate"/>
    <w:basedOn w:val="DefaultParagraphFont"/>
    <w:qFormat/>
  </w:style>
  <w:style w:type="character" w:customStyle="1" w:styleId="InternetLink">
    <w:name w:val="Internet Link"/>
    <w:basedOn w:val="DefaultParagraphFont"/>
    <w:uiPriority w:val="99"/>
    <w:unhideWhenUsed/>
    <w:qFormat/>
    <w:rPr>
      <w:color w:val="0000FF"/>
      <w:u w:val="single"/>
    </w:rPr>
  </w:style>
  <w:style w:type="character" w:customStyle="1" w:styleId="ListLabel1">
    <w:name w:val="ListLabel 1"/>
    <w:qFormat/>
    <w:rPr>
      <w:rFonts w:eastAsia="Calibri" w:cs="Calibri"/>
    </w:rPr>
  </w:style>
  <w:style w:type="character" w:customStyle="1" w:styleId="ListLabel2">
    <w:name w:val="ListLabel 2"/>
    <w:qFormat/>
    <w:rPr>
      <w:rFonts w:cs="Courier New"/>
    </w:rPr>
  </w:style>
  <w:style w:type="character" w:customStyle="1" w:styleId="ListLabel3">
    <w:name w:val="ListLabel 3"/>
    <w:qFormat/>
    <w:rPr>
      <w:rFonts w:cs="Courier New"/>
    </w:rPr>
  </w:style>
  <w:style w:type="character" w:customStyle="1" w:styleId="ListLabel4">
    <w:name w:val="ListLabel 4"/>
    <w:qFormat/>
    <w:rPr>
      <w:rFonts w:cs="Courier New"/>
    </w:rPr>
  </w:style>
  <w:style w:type="character" w:customStyle="1" w:styleId="ListLabel5">
    <w:name w:val="ListLabel 5"/>
    <w:qFormat/>
    <w:rPr>
      <w:rFonts w:cs="Courier New"/>
    </w:rPr>
  </w:style>
  <w:style w:type="character" w:customStyle="1" w:styleId="ListLabel6">
    <w:name w:val="ListLabel 6"/>
    <w:qFormat/>
    <w:rPr>
      <w:rFonts w:cs="Courier New"/>
    </w:rPr>
  </w:style>
  <w:style w:type="character" w:customStyle="1" w:styleId="ListLabel7">
    <w:name w:val="ListLabel 7"/>
    <w:qFormat/>
    <w:rPr>
      <w:rFonts w:cs="Courier New"/>
    </w:rPr>
  </w:style>
  <w:style w:type="character" w:customStyle="1" w:styleId="VisitedInternetLink">
    <w:name w:val="Visited Internet Link"/>
    <w:qFormat/>
    <w:rPr>
      <w:color w:val="800000"/>
      <w:u w:val="single"/>
    </w:rPr>
  </w:style>
  <w:style w:type="character" w:customStyle="1" w:styleId="StrongEmphasis">
    <w:name w:val="Strong Emphasis"/>
    <w:qFormat/>
    <w:rPr>
      <w:b/>
      <w:bCs/>
    </w:rPr>
  </w:style>
  <w:style w:type="character" w:customStyle="1" w:styleId="author">
    <w:name w:val="author"/>
    <w:basedOn w:val="DefaultParagraphFont"/>
    <w:qFormat/>
  </w:style>
  <w:style w:type="character" w:customStyle="1" w:styleId="a-size-large">
    <w:name w:val="a-size-large"/>
    <w:basedOn w:val="DefaultParagraphFont"/>
    <w:qFormat/>
  </w:style>
  <w:style w:type="character" w:customStyle="1" w:styleId="a-size-medium">
    <w:name w:val="a-size-medium"/>
    <w:basedOn w:val="DefaultParagraphFont"/>
    <w:qFormat/>
  </w:style>
  <w:style w:type="character" w:customStyle="1" w:styleId="fn">
    <w:name w:val="fn"/>
    <w:basedOn w:val="DefaultParagraphFont"/>
    <w:qFormat/>
  </w:style>
  <w:style w:type="character" w:customStyle="1" w:styleId="reference-text">
    <w:name w:val="reference-text"/>
    <w:basedOn w:val="DefaultParagraphFont"/>
    <w:qFormat/>
  </w:style>
  <w:style w:type="character" w:customStyle="1" w:styleId="selectable">
    <w:name w:val="selectable"/>
    <w:basedOn w:val="DefaultParagraphFont"/>
    <w:qFormat/>
  </w:style>
  <w:style w:type="character" w:customStyle="1" w:styleId="csl-item">
    <w:name w:val="csl-item"/>
    <w:basedOn w:val="DefaultParagraphFont"/>
    <w:qFormat/>
  </w:style>
  <w:style w:type="character" w:customStyle="1" w:styleId="csl-suffix">
    <w:name w:val="csl-suffix"/>
    <w:basedOn w:val="DefaultParagraphFont"/>
    <w:qFormat/>
  </w:style>
  <w:style w:type="character" w:customStyle="1" w:styleId="Quotation">
    <w:name w:val="Quotation"/>
    <w:qFormat/>
    <w:rPr>
      <w:i/>
      <w:iCs/>
    </w:rPr>
  </w:style>
  <w:style w:type="character" w:customStyle="1" w:styleId="ListLabel8">
    <w:name w:val="ListLabel 8"/>
    <w:qFormat/>
    <w:rPr>
      <w:rFonts w:cs="Calibri"/>
    </w:rPr>
  </w:style>
  <w:style w:type="character" w:customStyle="1" w:styleId="ListLabel9">
    <w:name w:val="ListLabel 9"/>
    <w:qFormat/>
    <w:rPr>
      <w:rFonts w:cs="Courier New"/>
    </w:rPr>
  </w:style>
  <w:style w:type="character" w:customStyle="1" w:styleId="ListLabel10">
    <w:name w:val="ListLabel 10"/>
    <w:qFormat/>
    <w:rPr>
      <w:rFonts w:cs="Wingdings"/>
    </w:rPr>
  </w:style>
  <w:style w:type="character" w:customStyle="1" w:styleId="ListLabel11">
    <w:name w:val="ListLabel 11"/>
    <w:qFormat/>
    <w:rPr>
      <w:rFonts w:cs="Symbol"/>
    </w:rPr>
  </w:style>
  <w:style w:type="character" w:customStyle="1" w:styleId="ListLabel12">
    <w:name w:val="ListLabel 12"/>
    <w:qFormat/>
    <w:rPr>
      <w:rFonts w:cs="Courier New"/>
    </w:rPr>
  </w:style>
  <w:style w:type="character" w:customStyle="1" w:styleId="ListLabel13">
    <w:name w:val="ListLabel 13"/>
    <w:qFormat/>
    <w:rPr>
      <w:rFonts w:cs="Wingdings"/>
    </w:rPr>
  </w:style>
  <w:style w:type="character" w:customStyle="1" w:styleId="ListLabel14">
    <w:name w:val="ListLabel 14"/>
    <w:qFormat/>
    <w:rPr>
      <w:rFonts w:cs="Symbol"/>
    </w:rPr>
  </w:style>
  <w:style w:type="character" w:customStyle="1" w:styleId="ListLabel15">
    <w:name w:val="ListLabel 15"/>
    <w:qFormat/>
    <w:rPr>
      <w:rFonts w:cs="Courier New"/>
    </w:rPr>
  </w:style>
  <w:style w:type="character" w:customStyle="1" w:styleId="ListLabel16">
    <w:name w:val="ListLabel 16"/>
    <w:qFormat/>
    <w:rPr>
      <w:rFonts w:cs="Wingdings"/>
    </w:rPr>
  </w:style>
  <w:style w:type="character" w:customStyle="1" w:styleId="ListLabel17">
    <w:name w:val="ListLabel 17"/>
    <w:qFormat/>
    <w:rPr>
      <w:rFonts w:cs="Symbol"/>
    </w:rPr>
  </w:style>
  <w:style w:type="character" w:customStyle="1" w:styleId="ListLabel18">
    <w:name w:val="ListLabel 18"/>
    <w:qFormat/>
    <w:rPr>
      <w:rFonts w:cs="Courier New"/>
    </w:rPr>
  </w:style>
  <w:style w:type="character" w:customStyle="1" w:styleId="ListLabel19">
    <w:name w:val="ListLabel 19"/>
    <w:qFormat/>
    <w:rPr>
      <w:rFonts w:cs="Wingdings"/>
    </w:rPr>
  </w:style>
  <w:style w:type="character" w:customStyle="1" w:styleId="ListLabel20">
    <w:name w:val="ListLabel 20"/>
    <w:qFormat/>
    <w:rPr>
      <w:rFonts w:cs="Symbol"/>
    </w:rPr>
  </w:style>
  <w:style w:type="character" w:customStyle="1" w:styleId="ListLabel21">
    <w:name w:val="ListLabel 21"/>
    <w:qFormat/>
    <w:rPr>
      <w:rFonts w:cs="Courier New"/>
    </w:rPr>
  </w:style>
  <w:style w:type="character" w:customStyle="1" w:styleId="ListLabel22">
    <w:name w:val="ListLabel 22"/>
    <w:qFormat/>
    <w:rPr>
      <w:rFonts w:cs="Wingdings"/>
    </w:rPr>
  </w:style>
  <w:style w:type="character" w:customStyle="1" w:styleId="ListLabel23">
    <w:name w:val="ListLabel 23"/>
    <w:qFormat/>
    <w:rPr>
      <w:rFonts w:cs="Symbol"/>
    </w:rPr>
  </w:style>
  <w:style w:type="character" w:customStyle="1" w:styleId="ListLabel24">
    <w:name w:val="ListLabel 24"/>
    <w:qFormat/>
    <w:rPr>
      <w:rFonts w:cs="Courier New"/>
    </w:rPr>
  </w:style>
  <w:style w:type="character" w:customStyle="1" w:styleId="ListLabel25">
    <w:name w:val="ListLabel 25"/>
    <w:qFormat/>
    <w:rPr>
      <w:rFonts w:cs="Wingdings"/>
    </w:rPr>
  </w:style>
  <w:style w:type="character" w:customStyle="1" w:styleId="ListLabel26">
    <w:name w:val="ListLabel 26"/>
    <w:qFormat/>
    <w:rPr>
      <w:rFonts w:cs="Calibri"/>
    </w:rPr>
  </w:style>
  <w:style w:type="character" w:customStyle="1" w:styleId="ListLabel27">
    <w:name w:val="ListLabel 27"/>
    <w:qFormat/>
    <w:rPr>
      <w:rFonts w:cs="Courier New"/>
    </w:rPr>
  </w:style>
  <w:style w:type="character" w:customStyle="1" w:styleId="ListLabel28">
    <w:name w:val="ListLabel 28"/>
    <w:qFormat/>
    <w:rPr>
      <w:rFonts w:cs="Wingdings"/>
    </w:rPr>
  </w:style>
  <w:style w:type="character" w:customStyle="1" w:styleId="ListLabel29">
    <w:name w:val="ListLabel 29"/>
    <w:qFormat/>
    <w:rPr>
      <w:rFonts w:cs="Symbol"/>
    </w:rPr>
  </w:style>
  <w:style w:type="character" w:customStyle="1" w:styleId="ListLabel30">
    <w:name w:val="ListLabel 30"/>
    <w:qFormat/>
    <w:rPr>
      <w:rFonts w:cs="Courier New"/>
    </w:rPr>
  </w:style>
  <w:style w:type="character" w:customStyle="1" w:styleId="ListLabel31">
    <w:name w:val="ListLabel 31"/>
    <w:qFormat/>
    <w:rPr>
      <w:rFonts w:cs="Wingdings"/>
    </w:rPr>
  </w:style>
  <w:style w:type="character" w:customStyle="1" w:styleId="ListLabel32">
    <w:name w:val="ListLabel 32"/>
    <w:qFormat/>
    <w:rPr>
      <w:rFonts w:cs="Symbol"/>
    </w:rPr>
  </w:style>
  <w:style w:type="character" w:customStyle="1" w:styleId="ListLabel33">
    <w:name w:val="ListLabel 33"/>
    <w:qFormat/>
    <w:rPr>
      <w:rFonts w:cs="Courier New"/>
    </w:rPr>
  </w:style>
  <w:style w:type="character" w:customStyle="1" w:styleId="ListLabel34">
    <w:name w:val="ListLabel 34"/>
    <w:qFormat/>
    <w:rPr>
      <w:rFonts w:cs="Wingdings"/>
    </w:rPr>
  </w:style>
  <w:style w:type="character" w:customStyle="1" w:styleId="ListLabel35">
    <w:name w:val="ListLabel 35"/>
    <w:qFormat/>
    <w:rPr>
      <w:rFonts w:cs="Symbol"/>
    </w:rPr>
  </w:style>
  <w:style w:type="character" w:customStyle="1" w:styleId="ListLabel36">
    <w:name w:val="ListLabel 36"/>
    <w:qFormat/>
    <w:rPr>
      <w:rFonts w:cs="Courier New"/>
    </w:rPr>
  </w:style>
  <w:style w:type="character" w:customStyle="1" w:styleId="ListLabel37">
    <w:name w:val="ListLabel 37"/>
    <w:qFormat/>
    <w:rPr>
      <w:rFonts w:cs="Wingdings"/>
    </w:rPr>
  </w:style>
  <w:style w:type="character" w:customStyle="1" w:styleId="ListLabel38">
    <w:name w:val="ListLabel 38"/>
    <w:qFormat/>
    <w:rPr>
      <w:rFonts w:cs="Symbol"/>
    </w:rPr>
  </w:style>
  <w:style w:type="character" w:customStyle="1" w:styleId="ListLabel39">
    <w:name w:val="ListLabel 39"/>
    <w:qFormat/>
    <w:rPr>
      <w:rFonts w:cs="Courier New"/>
    </w:rPr>
  </w:style>
  <w:style w:type="character" w:customStyle="1" w:styleId="ListLabel40">
    <w:name w:val="ListLabel 40"/>
    <w:qFormat/>
    <w:rPr>
      <w:rFonts w:cs="Wingdings"/>
    </w:rPr>
  </w:style>
  <w:style w:type="character" w:customStyle="1" w:styleId="ListLabel41">
    <w:name w:val="ListLabel 41"/>
    <w:qFormat/>
    <w:rPr>
      <w:rFonts w:cs="Symbol"/>
    </w:rPr>
  </w:style>
  <w:style w:type="character" w:customStyle="1" w:styleId="ListLabel42">
    <w:name w:val="ListLabel 42"/>
    <w:qFormat/>
    <w:rPr>
      <w:rFonts w:cs="Courier New"/>
    </w:rPr>
  </w:style>
  <w:style w:type="character" w:customStyle="1" w:styleId="ListLabel43">
    <w:name w:val="ListLabel 43"/>
    <w:qFormat/>
    <w:rPr>
      <w:rFonts w:cs="Wingdings"/>
    </w:rPr>
  </w:style>
  <w:style w:type="character" w:customStyle="1" w:styleId="ListLabel44">
    <w:name w:val="ListLabel 44"/>
    <w:qFormat/>
    <w:rPr>
      <w:rFonts w:cs="Calibri"/>
    </w:rPr>
  </w:style>
  <w:style w:type="character" w:customStyle="1" w:styleId="ListLabel45">
    <w:name w:val="ListLabel 45"/>
    <w:qFormat/>
    <w:rPr>
      <w:rFonts w:cs="Courier New"/>
    </w:rPr>
  </w:style>
  <w:style w:type="character" w:customStyle="1" w:styleId="ListLabel46">
    <w:name w:val="ListLabel 46"/>
    <w:qFormat/>
    <w:rPr>
      <w:rFonts w:cs="Wingdings"/>
    </w:rPr>
  </w:style>
  <w:style w:type="character" w:customStyle="1" w:styleId="ListLabel47">
    <w:name w:val="ListLabel 47"/>
    <w:qFormat/>
    <w:rPr>
      <w:rFonts w:cs="Symbol"/>
    </w:rPr>
  </w:style>
  <w:style w:type="character" w:customStyle="1" w:styleId="ListLabel48">
    <w:name w:val="ListLabel 48"/>
    <w:qFormat/>
    <w:rPr>
      <w:rFonts w:cs="Courier New"/>
    </w:rPr>
  </w:style>
  <w:style w:type="character" w:customStyle="1" w:styleId="ListLabel49">
    <w:name w:val="ListLabel 49"/>
    <w:qFormat/>
    <w:rPr>
      <w:rFonts w:cs="Wingdings"/>
    </w:rPr>
  </w:style>
  <w:style w:type="character" w:customStyle="1" w:styleId="ListLabel50">
    <w:name w:val="ListLabel 50"/>
    <w:qFormat/>
    <w:rPr>
      <w:rFonts w:cs="Symbol"/>
    </w:rPr>
  </w:style>
  <w:style w:type="character" w:customStyle="1" w:styleId="ListLabel51">
    <w:name w:val="ListLabel 51"/>
    <w:qFormat/>
    <w:rPr>
      <w:rFonts w:cs="Courier New"/>
    </w:rPr>
  </w:style>
  <w:style w:type="character" w:customStyle="1" w:styleId="ListLabel52">
    <w:name w:val="ListLabel 52"/>
    <w:qFormat/>
    <w:rPr>
      <w:rFonts w:cs="Wingdings"/>
    </w:rPr>
  </w:style>
  <w:style w:type="character" w:customStyle="1" w:styleId="ListLabel53">
    <w:name w:val="ListLabel 53"/>
    <w:qFormat/>
    <w:rPr>
      <w:rFonts w:cs="Symbol"/>
    </w:rPr>
  </w:style>
  <w:style w:type="character" w:customStyle="1" w:styleId="ListLabel54">
    <w:name w:val="ListLabel 54"/>
    <w:qFormat/>
    <w:rPr>
      <w:rFonts w:cs="Courier New"/>
    </w:rPr>
  </w:style>
  <w:style w:type="character" w:customStyle="1" w:styleId="ListLabel55">
    <w:name w:val="ListLabel 55"/>
    <w:qFormat/>
    <w:rPr>
      <w:rFonts w:cs="Wingdings"/>
    </w:rPr>
  </w:style>
  <w:style w:type="character" w:customStyle="1" w:styleId="ListLabel56">
    <w:name w:val="ListLabel 56"/>
    <w:qFormat/>
    <w:rPr>
      <w:rFonts w:cs="Symbol"/>
    </w:rPr>
  </w:style>
  <w:style w:type="character" w:customStyle="1" w:styleId="ListLabel57">
    <w:name w:val="ListLabel 57"/>
    <w:qFormat/>
    <w:rPr>
      <w:rFonts w:cs="Courier New"/>
    </w:rPr>
  </w:style>
  <w:style w:type="character" w:customStyle="1" w:styleId="ListLabel58">
    <w:name w:val="ListLabel 58"/>
    <w:qFormat/>
    <w:rPr>
      <w:rFonts w:cs="Wingdings"/>
    </w:rPr>
  </w:style>
  <w:style w:type="character" w:customStyle="1" w:styleId="ListLabel59">
    <w:name w:val="ListLabel 59"/>
    <w:qFormat/>
    <w:rPr>
      <w:rFonts w:cs="Symbol"/>
    </w:rPr>
  </w:style>
  <w:style w:type="character" w:customStyle="1" w:styleId="ListLabel60">
    <w:name w:val="ListLabel 60"/>
    <w:qFormat/>
    <w:rPr>
      <w:rFonts w:cs="Courier New"/>
    </w:rPr>
  </w:style>
  <w:style w:type="character" w:customStyle="1" w:styleId="ListLabel61">
    <w:name w:val="ListLabel 61"/>
    <w:qFormat/>
    <w:rPr>
      <w:rFonts w:cs="Wingdings"/>
    </w:rPr>
  </w:style>
  <w:style w:type="character" w:customStyle="1" w:styleId="ListLabel62">
    <w:name w:val="ListLabel 62"/>
    <w:qFormat/>
    <w:rPr>
      <w:rFonts w:cs="Calibri"/>
    </w:rPr>
  </w:style>
  <w:style w:type="character" w:customStyle="1" w:styleId="ListLabel63">
    <w:name w:val="ListLabel 63"/>
    <w:qFormat/>
    <w:rPr>
      <w:rFonts w:cs="Courier New"/>
    </w:rPr>
  </w:style>
  <w:style w:type="character" w:customStyle="1" w:styleId="ListLabel64">
    <w:name w:val="ListLabel 64"/>
    <w:qFormat/>
    <w:rPr>
      <w:rFonts w:cs="Wingdings"/>
    </w:rPr>
  </w:style>
  <w:style w:type="character" w:customStyle="1" w:styleId="ListLabel65">
    <w:name w:val="ListLabel 65"/>
    <w:qFormat/>
    <w:rPr>
      <w:rFonts w:cs="Symbol"/>
    </w:rPr>
  </w:style>
  <w:style w:type="character" w:customStyle="1" w:styleId="ListLabel66">
    <w:name w:val="ListLabel 66"/>
    <w:qFormat/>
    <w:rPr>
      <w:rFonts w:cs="Courier New"/>
    </w:rPr>
  </w:style>
  <w:style w:type="character" w:customStyle="1" w:styleId="ListLabel67">
    <w:name w:val="ListLabel 67"/>
    <w:qFormat/>
    <w:rPr>
      <w:rFonts w:cs="Wingdings"/>
    </w:rPr>
  </w:style>
  <w:style w:type="character" w:customStyle="1" w:styleId="ListLabel68">
    <w:name w:val="ListLabel 68"/>
    <w:qFormat/>
    <w:rPr>
      <w:rFonts w:cs="Symbol"/>
    </w:rPr>
  </w:style>
  <w:style w:type="character" w:customStyle="1" w:styleId="ListLabel69">
    <w:name w:val="ListLabel 69"/>
    <w:qFormat/>
    <w:rPr>
      <w:rFonts w:cs="Courier New"/>
    </w:rPr>
  </w:style>
  <w:style w:type="character" w:customStyle="1" w:styleId="ListLabel70">
    <w:name w:val="ListLabel 70"/>
    <w:qFormat/>
    <w:rPr>
      <w:rFonts w:cs="Wingdings"/>
    </w:rPr>
  </w:style>
  <w:style w:type="character" w:customStyle="1" w:styleId="ListLabel71">
    <w:name w:val="ListLabel 71"/>
    <w:qFormat/>
    <w:rPr>
      <w:rFonts w:cs="Symbol"/>
    </w:rPr>
  </w:style>
  <w:style w:type="character" w:customStyle="1" w:styleId="ListLabel72">
    <w:name w:val="ListLabel 72"/>
    <w:qFormat/>
    <w:rPr>
      <w:rFonts w:cs="Courier New"/>
    </w:rPr>
  </w:style>
  <w:style w:type="character" w:customStyle="1" w:styleId="ListLabel73">
    <w:name w:val="ListLabel 73"/>
    <w:qFormat/>
    <w:rPr>
      <w:rFonts w:cs="Wingdings"/>
    </w:rPr>
  </w:style>
  <w:style w:type="character" w:customStyle="1" w:styleId="ListLabel74">
    <w:name w:val="ListLabel 74"/>
    <w:qFormat/>
    <w:rPr>
      <w:rFonts w:cs="Symbol"/>
    </w:rPr>
  </w:style>
  <w:style w:type="character" w:customStyle="1" w:styleId="ListLabel75">
    <w:name w:val="ListLabel 75"/>
    <w:qFormat/>
    <w:rPr>
      <w:rFonts w:cs="Courier New"/>
    </w:rPr>
  </w:style>
  <w:style w:type="character" w:customStyle="1" w:styleId="ListLabel76">
    <w:name w:val="ListLabel 76"/>
    <w:qFormat/>
    <w:rPr>
      <w:rFonts w:cs="Wingdings"/>
    </w:rPr>
  </w:style>
  <w:style w:type="character" w:customStyle="1" w:styleId="ListLabel77">
    <w:name w:val="ListLabel 77"/>
    <w:qFormat/>
    <w:rPr>
      <w:rFonts w:cs="Symbol"/>
    </w:rPr>
  </w:style>
  <w:style w:type="character" w:customStyle="1" w:styleId="ListLabel78">
    <w:name w:val="ListLabel 78"/>
    <w:qFormat/>
    <w:rPr>
      <w:rFonts w:cs="Courier New"/>
    </w:rPr>
  </w:style>
  <w:style w:type="character" w:customStyle="1" w:styleId="ListLabel79">
    <w:name w:val="ListLabel 79"/>
    <w:qFormat/>
    <w:rPr>
      <w:rFonts w:cs="Wingdings"/>
    </w:rPr>
  </w:style>
  <w:style w:type="character" w:customStyle="1" w:styleId="ListLabel80">
    <w:name w:val="ListLabel 80"/>
    <w:qFormat/>
    <w:rPr>
      <w:rFonts w:cs="Calibri"/>
    </w:rPr>
  </w:style>
  <w:style w:type="character" w:customStyle="1" w:styleId="ListLabel81">
    <w:name w:val="ListLabel 81"/>
    <w:qFormat/>
    <w:rPr>
      <w:rFonts w:cs="Courier New"/>
    </w:rPr>
  </w:style>
  <w:style w:type="character" w:customStyle="1" w:styleId="ListLabel82">
    <w:name w:val="ListLabel 82"/>
    <w:qFormat/>
    <w:rPr>
      <w:rFonts w:cs="Wingdings"/>
    </w:rPr>
  </w:style>
  <w:style w:type="character" w:customStyle="1" w:styleId="ListLabel83">
    <w:name w:val="ListLabel 83"/>
    <w:qFormat/>
    <w:rPr>
      <w:rFonts w:cs="Symbol"/>
    </w:rPr>
  </w:style>
  <w:style w:type="character" w:customStyle="1" w:styleId="ListLabel84">
    <w:name w:val="ListLabel 84"/>
    <w:qFormat/>
    <w:rPr>
      <w:rFonts w:cs="Courier New"/>
    </w:rPr>
  </w:style>
  <w:style w:type="character" w:customStyle="1" w:styleId="ListLabel85">
    <w:name w:val="ListLabel 85"/>
    <w:qFormat/>
    <w:rPr>
      <w:rFonts w:cs="Wingdings"/>
    </w:rPr>
  </w:style>
  <w:style w:type="character" w:customStyle="1" w:styleId="ListLabel86">
    <w:name w:val="ListLabel 86"/>
    <w:qFormat/>
    <w:rPr>
      <w:rFonts w:cs="Symbol"/>
    </w:rPr>
  </w:style>
  <w:style w:type="character" w:customStyle="1" w:styleId="ListLabel87">
    <w:name w:val="ListLabel 87"/>
    <w:qFormat/>
    <w:rPr>
      <w:rFonts w:cs="Courier New"/>
    </w:rPr>
  </w:style>
  <w:style w:type="character" w:customStyle="1" w:styleId="ListLabel88">
    <w:name w:val="ListLabel 88"/>
    <w:qFormat/>
    <w:rPr>
      <w:rFonts w:cs="Wingdings"/>
    </w:rPr>
  </w:style>
  <w:style w:type="character" w:customStyle="1" w:styleId="ListLabel89">
    <w:name w:val="ListLabel 89"/>
    <w:qFormat/>
    <w:rPr>
      <w:rFonts w:cs="Symbol"/>
    </w:rPr>
  </w:style>
  <w:style w:type="character" w:customStyle="1" w:styleId="ListLabel90">
    <w:name w:val="ListLabel 90"/>
    <w:qFormat/>
    <w:rPr>
      <w:rFonts w:cs="Courier New"/>
    </w:rPr>
  </w:style>
  <w:style w:type="character" w:customStyle="1" w:styleId="ListLabel91">
    <w:name w:val="ListLabel 91"/>
    <w:qFormat/>
    <w:rPr>
      <w:rFonts w:cs="Wingdings"/>
    </w:rPr>
  </w:style>
  <w:style w:type="character" w:customStyle="1" w:styleId="ListLabel92">
    <w:name w:val="ListLabel 92"/>
    <w:qFormat/>
    <w:rPr>
      <w:rFonts w:cs="Symbol"/>
    </w:rPr>
  </w:style>
  <w:style w:type="character" w:customStyle="1" w:styleId="ListLabel93">
    <w:name w:val="ListLabel 93"/>
    <w:qFormat/>
    <w:rPr>
      <w:rFonts w:cs="Courier New"/>
    </w:rPr>
  </w:style>
  <w:style w:type="character" w:customStyle="1" w:styleId="ListLabel94">
    <w:name w:val="ListLabel 94"/>
    <w:qFormat/>
    <w:rPr>
      <w:rFonts w:cs="Wingdings"/>
    </w:rPr>
  </w:style>
  <w:style w:type="character" w:customStyle="1" w:styleId="ListLabel95">
    <w:name w:val="ListLabel 95"/>
    <w:qFormat/>
    <w:rPr>
      <w:rFonts w:cs="Symbol"/>
    </w:rPr>
  </w:style>
  <w:style w:type="character" w:customStyle="1" w:styleId="ListLabel96">
    <w:name w:val="ListLabel 96"/>
    <w:qFormat/>
    <w:rPr>
      <w:rFonts w:cs="Courier New"/>
    </w:rPr>
  </w:style>
  <w:style w:type="character" w:customStyle="1" w:styleId="ListLabel97">
    <w:name w:val="ListLabel 97"/>
    <w:qFormat/>
    <w:rPr>
      <w:rFonts w:cs="Wingdings"/>
    </w:rPr>
  </w:style>
  <w:style w:type="character" w:customStyle="1" w:styleId="Bullets">
    <w:name w:val="Bullets"/>
    <w:qFormat/>
    <w:rPr>
      <w:rFonts w:ascii="OpenSymbol" w:eastAsia="OpenSymbol" w:hAnsi="OpenSymbol" w:cs="OpenSymbol"/>
    </w:rPr>
  </w:style>
  <w:style w:type="character" w:customStyle="1" w:styleId="ListLabel98">
    <w:name w:val="ListLabel 98"/>
    <w:qFormat/>
    <w:rPr>
      <w:rFonts w:cs="Calibri"/>
    </w:rPr>
  </w:style>
  <w:style w:type="character" w:customStyle="1" w:styleId="ListLabel99">
    <w:name w:val="ListLabel 99"/>
    <w:qFormat/>
    <w:rPr>
      <w:rFonts w:cs="Courier New"/>
    </w:rPr>
  </w:style>
  <w:style w:type="character" w:customStyle="1" w:styleId="ListLabel100">
    <w:name w:val="ListLabel 100"/>
    <w:qFormat/>
    <w:rPr>
      <w:rFonts w:cs="Wingdings"/>
    </w:rPr>
  </w:style>
  <w:style w:type="character" w:customStyle="1" w:styleId="ListLabel101">
    <w:name w:val="ListLabel 101"/>
    <w:qFormat/>
    <w:rPr>
      <w:rFonts w:cs="Symbol"/>
    </w:rPr>
  </w:style>
  <w:style w:type="character" w:customStyle="1" w:styleId="ListLabel102">
    <w:name w:val="ListLabel 102"/>
    <w:qFormat/>
    <w:rPr>
      <w:rFonts w:cs="Courier New"/>
    </w:rPr>
  </w:style>
  <w:style w:type="character" w:customStyle="1" w:styleId="ListLabel103">
    <w:name w:val="ListLabel 103"/>
    <w:qFormat/>
    <w:rPr>
      <w:rFonts w:cs="Wingdings"/>
    </w:rPr>
  </w:style>
  <w:style w:type="character" w:customStyle="1" w:styleId="ListLabel104">
    <w:name w:val="ListLabel 104"/>
    <w:qFormat/>
    <w:rPr>
      <w:rFonts w:cs="Symbol"/>
    </w:rPr>
  </w:style>
  <w:style w:type="character" w:customStyle="1" w:styleId="ListLabel105">
    <w:name w:val="ListLabel 105"/>
    <w:qFormat/>
    <w:rPr>
      <w:rFonts w:cs="Courier New"/>
    </w:rPr>
  </w:style>
  <w:style w:type="character" w:customStyle="1" w:styleId="ListLabel106">
    <w:name w:val="ListLabel 106"/>
    <w:qFormat/>
    <w:rPr>
      <w:rFonts w:cs="Wingdings"/>
    </w:rPr>
  </w:style>
  <w:style w:type="character" w:customStyle="1" w:styleId="ListLabel107">
    <w:name w:val="ListLabel 107"/>
    <w:qFormat/>
    <w:rPr>
      <w:rFonts w:cs="Symbol"/>
    </w:rPr>
  </w:style>
  <w:style w:type="character" w:customStyle="1" w:styleId="ListLabel108">
    <w:name w:val="ListLabel 108"/>
    <w:qFormat/>
    <w:rPr>
      <w:rFonts w:cs="Courier New"/>
    </w:rPr>
  </w:style>
  <w:style w:type="character" w:customStyle="1" w:styleId="ListLabel109">
    <w:name w:val="ListLabel 109"/>
    <w:qFormat/>
    <w:rPr>
      <w:rFonts w:cs="Wingdings"/>
    </w:rPr>
  </w:style>
  <w:style w:type="character" w:customStyle="1" w:styleId="ListLabel110">
    <w:name w:val="ListLabel 110"/>
    <w:qFormat/>
    <w:rPr>
      <w:rFonts w:cs="Symbol"/>
    </w:rPr>
  </w:style>
  <w:style w:type="character" w:customStyle="1" w:styleId="ListLabel111">
    <w:name w:val="ListLabel 111"/>
    <w:qFormat/>
    <w:rPr>
      <w:rFonts w:cs="Courier New"/>
    </w:rPr>
  </w:style>
  <w:style w:type="character" w:customStyle="1" w:styleId="ListLabel112">
    <w:name w:val="ListLabel 112"/>
    <w:qFormat/>
    <w:rPr>
      <w:rFonts w:cs="Wingdings"/>
    </w:rPr>
  </w:style>
  <w:style w:type="character" w:customStyle="1" w:styleId="ListLabel113">
    <w:name w:val="ListLabel 113"/>
    <w:qFormat/>
    <w:rPr>
      <w:rFonts w:cs="Symbol"/>
    </w:rPr>
  </w:style>
  <w:style w:type="character" w:customStyle="1" w:styleId="ListLabel114">
    <w:name w:val="ListLabel 114"/>
    <w:qFormat/>
    <w:rPr>
      <w:rFonts w:cs="Courier New"/>
    </w:rPr>
  </w:style>
  <w:style w:type="character" w:customStyle="1" w:styleId="ListLabel115">
    <w:name w:val="ListLabel 115"/>
    <w:qFormat/>
    <w:rPr>
      <w:rFonts w:cs="Wingdings"/>
    </w:rPr>
  </w:style>
  <w:style w:type="character" w:customStyle="1" w:styleId="ListLabel116">
    <w:name w:val="ListLabel 116"/>
    <w:qFormat/>
    <w:rPr>
      <w:rFonts w:ascii="Times New Roman" w:hAnsi="Times New Roman" w:cs="Calibri"/>
      <w:sz w:val="24"/>
    </w:rPr>
  </w:style>
  <w:style w:type="character" w:customStyle="1" w:styleId="ListLabel117">
    <w:name w:val="ListLabel 117"/>
    <w:qFormat/>
    <w:rPr>
      <w:rFonts w:cs="Courier New"/>
    </w:rPr>
  </w:style>
  <w:style w:type="character" w:customStyle="1" w:styleId="ListLabel118">
    <w:name w:val="ListLabel 118"/>
    <w:qFormat/>
    <w:rPr>
      <w:rFonts w:cs="Wingdings"/>
    </w:rPr>
  </w:style>
  <w:style w:type="character" w:customStyle="1" w:styleId="ListLabel119">
    <w:name w:val="ListLabel 119"/>
    <w:qFormat/>
    <w:rPr>
      <w:rFonts w:cs="Symbol"/>
    </w:rPr>
  </w:style>
  <w:style w:type="character" w:customStyle="1" w:styleId="ListLabel120">
    <w:name w:val="ListLabel 120"/>
    <w:qFormat/>
    <w:rPr>
      <w:rFonts w:cs="Courier New"/>
    </w:rPr>
  </w:style>
  <w:style w:type="character" w:customStyle="1" w:styleId="ListLabel121">
    <w:name w:val="ListLabel 121"/>
    <w:qFormat/>
    <w:rPr>
      <w:rFonts w:cs="Wingdings"/>
    </w:rPr>
  </w:style>
  <w:style w:type="character" w:customStyle="1" w:styleId="ListLabel122">
    <w:name w:val="ListLabel 122"/>
    <w:qFormat/>
    <w:rPr>
      <w:rFonts w:cs="Symbol"/>
    </w:rPr>
  </w:style>
  <w:style w:type="character" w:customStyle="1" w:styleId="ListLabel123">
    <w:name w:val="ListLabel 123"/>
    <w:qFormat/>
    <w:rPr>
      <w:rFonts w:cs="Courier New"/>
    </w:rPr>
  </w:style>
  <w:style w:type="character" w:customStyle="1" w:styleId="ListLabel124">
    <w:name w:val="ListLabel 124"/>
    <w:qFormat/>
    <w:rPr>
      <w:rFonts w:cs="Wingdings"/>
    </w:rPr>
  </w:style>
  <w:style w:type="character" w:customStyle="1" w:styleId="ListLabel125">
    <w:name w:val="ListLabel 125"/>
    <w:qFormat/>
    <w:rPr>
      <w:rFonts w:ascii="Times New Roman" w:hAnsi="Times New Roman" w:cs="Calibri"/>
      <w:sz w:val="24"/>
    </w:rPr>
  </w:style>
  <w:style w:type="character" w:customStyle="1" w:styleId="ListLabel126">
    <w:name w:val="ListLabel 126"/>
    <w:qFormat/>
    <w:rPr>
      <w:rFonts w:cs="Courier New"/>
    </w:rPr>
  </w:style>
  <w:style w:type="character" w:customStyle="1" w:styleId="ListLabel127">
    <w:name w:val="ListLabel 127"/>
    <w:qFormat/>
    <w:rPr>
      <w:rFonts w:cs="Wingdings"/>
    </w:rPr>
  </w:style>
  <w:style w:type="character" w:customStyle="1" w:styleId="ListLabel128">
    <w:name w:val="ListLabel 128"/>
    <w:qFormat/>
    <w:rPr>
      <w:rFonts w:cs="Symbol"/>
    </w:rPr>
  </w:style>
  <w:style w:type="character" w:customStyle="1" w:styleId="ListLabel129">
    <w:name w:val="ListLabel 129"/>
    <w:qFormat/>
    <w:rPr>
      <w:rFonts w:cs="Courier New"/>
    </w:rPr>
  </w:style>
  <w:style w:type="character" w:customStyle="1" w:styleId="ListLabel130">
    <w:name w:val="ListLabel 130"/>
    <w:qFormat/>
    <w:rPr>
      <w:rFonts w:cs="Wingdings"/>
    </w:rPr>
  </w:style>
  <w:style w:type="character" w:customStyle="1" w:styleId="ListLabel131">
    <w:name w:val="ListLabel 131"/>
    <w:qFormat/>
    <w:rPr>
      <w:rFonts w:cs="Symbol"/>
    </w:rPr>
  </w:style>
  <w:style w:type="character" w:customStyle="1" w:styleId="ListLabel132">
    <w:name w:val="ListLabel 132"/>
    <w:qFormat/>
    <w:rPr>
      <w:rFonts w:cs="Courier New"/>
    </w:rPr>
  </w:style>
  <w:style w:type="character" w:customStyle="1" w:styleId="ListLabel133">
    <w:name w:val="ListLabel 133"/>
    <w:qFormat/>
    <w:rPr>
      <w:rFonts w:cs="Wingdings"/>
    </w:rPr>
  </w:style>
  <w:style w:type="character" w:customStyle="1" w:styleId="ListLabel134">
    <w:name w:val="ListLabel 134"/>
    <w:qFormat/>
    <w:rPr>
      <w:rFonts w:ascii="Times New Roman" w:hAnsi="Times New Roman" w:cs="Calibri"/>
      <w:sz w:val="24"/>
    </w:rPr>
  </w:style>
  <w:style w:type="character" w:customStyle="1" w:styleId="ListLabel135">
    <w:name w:val="ListLabel 135"/>
    <w:qFormat/>
    <w:rPr>
      <w:rFonts w:cs="Courier New"/>
    </w:rPr>
  </w:style>
  <w:style w:type="character" w:customStyle="1" w:styleId="ListLabel136">
    <w:name w:val="ListLabel 136"/>
    <w:qFormat/>
    <w:rPr>
      <w:rFonts w:cs="Wingdings"/>
    </w:rPr>
  </w:style>
  <w:style w:type="character" w:customStyle="1" w:styleId="ListLabel137">
    <w:name w:val="ListLabel 137"/>
    <w:qFormat/>
    <w:rPr>
      <w:rFonts w:cs="Symbol"/>
    </w:rPr>
  </w:style>
  <w:style w:type="character" w:customStyle="1" w:styleId="ListLabel138">
    <w:name w:val="ListLabel 138"/>
    <w:qFormat/>
    <w:rPr>
      <w:rFonts w:cs="Courier New"/>
    </w:rPr>
  </w:style>
  <w:style w:type="character" w:customStyle="1" w:styleId="ListLabel139">
    <w:name w:val="ListLabel 139"/>
    <w:qFormat/>
    <w:rPr>
      <w:rFonts w:cs="Wingdings"/>
    </w:rPr>
  </w:style>
  <w:style w:type="character" w:customStyle="1" w:styleId="ListLabel140">
    <w:name w:val="ListLabel 140"/>
    <w:qFormat/>
    <w:rPr>
      <w:rFonts w:cs="Symbol"/>
    </w:rPr>
  </w:style>
  <w:style w:type="character" w:customStyle="1" w:styleId="ListLabel141">
    <w:name w:val="ListLabel 141"/>
    <w:qFormat/>
    <w:rPr>
      <w:rFonts w:cs="Courier New"/>
    </w:rPr>
  </w:style>
  <w:style w:type="character" w:customStyle="1" w:styleId="ListLabel142">
    <w:name w:val="ListLabel 142"/>
    <w:qFormat/>
    <w:rPr>
      <w:rFonts w:cs="Wingdings"/>
    </w:rPr>
  </w:style>
  <w:style w:type="character" w:customStyle="1" w:styleId="ListLabel143">
    <w:name w:val="ListLabel 143"/>
    <w:qFormat/>
    <w:rPr>
      <w:rFonts w:ascii="Times New Roman" w:hAnsi="Times New Roman" w:cs="Calibri"/>
      <w:sz w:val="24"/>
    </w:rPr>
  </w:style>
  <w:style w:type="character" w:customStyle="1" w:styleId="ListLabel144">
    <w:name w:val="ListLabel 144"/>
    <w:qFormat/>
    <w:rPr>
      <w:rFonts w:cs="Courier New"/>
    </w:rPr>
  </w:style>
  <w:style w:type="character" w:customStyle="1" w:styleId="ListLabel145">
    <w:name w:val="ListLabel 145"/>
    <w:qFormat/>
    <w:rPr>
      <w:rFonts w:cs="Wingdings"/>
    </w:rPr>
  </w:style>
  <w:style w:type="character" w:customStyle="1" w:styleId="ListLabel146">
    <w:name w:val="ListLabel 146"/>
    <w:qFormat/>
    <w:rPr>
      <w:rFonts w:cs="Symbol"/>
    </w:rPr>
  </w:style>
  <w:style w:type="character" w:customStyle="1" w:styleId="ListLabel147">
    <w:name w:val="ListLabel 147"/>
    <w:qFormat/>
    <w:rPr>
      <w:rFonts w:cs="Courier New"/>
    </w:rPr>
  </w:style>
  <w:style w:type="character" w:customStyle="1" w:styleId="ListLabel148">
    <w:name w:val="ListLabel 148"/>
    <w:qFormat/>
    <w:rPr>
      <w:rFonts w:cs="Wingdings"/>
    </w:rPr>
  </w:style>
  <w:style w:type="character" w:customStyle="1" w:styleId="ListLabel149">
    <w:name w:val="ListLabel 149"/>
    <w:qFormat/>
    <w:rPr>
      <w:rFonts w:cs="Symbol"/>
    </w:rPr>
  </w:style>
  <w:style w:type="character" w:customStyle="1" w:styleId="ListLabel150">
    <w:name w:val="ListLabel 150"/>
    <w:qFormat/>
    <w:rPr>
      <w:rFonts w:cs="Courier New"/>
    </w:rPr>
  </w:style>
  <w:style w:type="character" w:customStyle="1" w:styleId="ListLabel151">
    <w:name w:val="ListLabel 151"/>
    <w:qFormat/>
    <w:rPr>
      <w:rFonts w:cs="Wingdings"/>
    </w:rPr>
  </w:style>
  <w:style w:type="character" w:customStyle="1" w:styleId="ListLabel152">
    <w:name w:val="ListLabel 152"/>
    <w:qFormat/>
    <w:rPr>
      <w:rFonts w:ascii="Times New Roman" w:hAnsi="Times New Roman" w:cs="Calibri"/>
      <w:sz w:val="24"/>
    </w:rPr>
  </w:style>
  <w:style w:type="character" w:customStyle="1" w:styleId="ListLabel153">
    <w:name w:val="ListLabel 153"/>
    <w:qFormat/>
    <w:rPr>
      <w:rFonts w:cs="Courier New"/>
    </w:rPr>
  </w:style>
  <w:style w:type="character" w:customStyle="1" w:styleId="ListLabel154">
    <w:name w:val="ListLabel 154"/>
    <w:qFormat/>
    <w:rPr>
      <w:rFonts w:cs="Wingdings"/>
    </w:rPr>
  </w:style>
  <w:style w:type="character" w:customStyle="1" w:styleId="ListLabel155">
    <w:name w:val="ListLabel 155"/>
    <w:qFormat/>
    <w:rPr>
      <w:rFonts w:cs="Symbol"/>
    </w:rPr>
  </w:style>
  <w:style w:type="character" w:customStyle="1" w:styleId="ListLabel156">
    <w:name w:val="ListLabel 156"/>
    <w:qFormat/>
    <w:rPr>
      <w:rFonts w:cs="Courier New"/>
    </w:rPr>
  </w:style>
  <w:style w:type="character" w:customStyle="1" w:styleId="ListLabel157">
    <w:name w:val="ListLabel 157"/>
    <w:qFormat/>
    <w:rPr>
      <w:rFonts w:cs="Wingdings"/>
    </w:rPr>
  </w:style>
  <w:style w:type="character" w:customStyle="1" w:styleId="ListLabel158">
    <w:name w:val="ListLabel 158"/>
    <w:qFormat/>
    <w:rPr>
      <w:rFonts w:cs="Symbol"/>
    </w:rPr>
  </w:style>
  <w:style w:type="character" w:customStyle="1" w:styleId="ListLabel159">
    <w:name w:val="ListLabel 159"/>
    <w:qFormat/>
    <w:rPr>
      <w:rFonts w:cs="Courier New"/>
    </w:rPr>
  </w:style>
  <w:style w:type="character" w:customStyle="1" w:styleId="ListLabel160">
    <w:name w:val="ListLabel 160"/>
    <w:qFormat/>
    <w:rPr>
      <w:rFonts w:cs="Wingdings"/>
    </w:rPr>
  </w:style>
  <w:style w:type="character" w:customStyle="1" w:styleId="ListLabel161">
    <w:name w:val="ListLabel 161"/>
    <w:qFormat/>
    <w:rPr>
      <w:rFonts w:ascii="Open Sans;Helvetica Neue;Arial;" w:hAnsi="Open Sans;Helvetica Neue;Arial;" w:cs="OpenSymbol"/>
      <w:b/>
      <w:sz w:val="19"/>
    </w:rPr>
  </w:style>
  <w:style w:type="character" w:customStyle="1" w:styleId="ListLabel162">
    <w:name w:val="ListLabel 162"/>
    <w:qFormat/>
    <w:rPr>
      <w:rFonts w:cs="OpenSymbol"/>
    </w:rPr>
  </w:style>
  <w:style w:type="character" w:customStyle="1" w:styleId="ListLabel163">
    <w:name w:val="ListLabel 163"/>
    <w:qFormat/>
    <w:rPr>
      <w:rFonts w:cs="OpenSymbol"/>
    </w:rPr>
  </w:style>
  <w:style w:type="character" w:customStyle="1" w:styleId="ListLabel164">
    <w:name w:val="ListLabel 164"/>
    <w:qFormat/>
    <w:rPr>
      <w:rFonts w:cs="OpenSymbol"/>
    </w:rPr>
  </w:style>
  <w:style w:type="character" w:customStyle="1" w:styleId="ListLabel165">
    <w:name w:val="ListLabel 165"/>
    <w:qFormat/>
    <w:rPr>
      <w:rFonts w:cs="OpenSymbol"/>
    </w:rPr>
  </w:style>
  <w:style w:type="character" w:customStyle="1" w:styleId="ListLabel166">
    <w:name w:val="ListLabel 166"/>
    <w:qFormat/>
    <w:rPr>
      <w:rFonts w:cs="OpenSymbol"/>
    </w:rPr>
  </w:style>
  <w:style w:type="character" w:customStyle="1" w:styleId="ListLabel167">
    <w:name w:val="ListLabel 167"/>
    <w:qFormat/>
    <w:rPr>
      <w:rFonts w:cs="OpenSymbol"/>
    </w:rPr>
  </w:style>
  <w:style w:type="character" w:customStyle="1" w:styleId="ListLabel168">
    <w:name w:val="ListLabel 168"/>
    <w:qFormat/>
    <w:rPr>
      <w:rFonts w:cs="OpenSymbol"/>
    </w:rPr>
  </w:style>
  <w:style w:type="character" w:customStyle="1" w:styleId="ListLabel169">
    <w:name w:val="ListLabel 169"/>
    <w:qFormat/>
    <w:rPr>
      <w:rFonts w:cs="OpenSymbol"/>
    </w:rPr>
  </w:style>
  <w:style w:type="character" w:customStyle="1" w:styleId="ListLabel170">
    <w:name w:val="ListLabel 170"/>
    <w:qFormat/>
    <w:rPr>
      <w:rFonts w:cs="OpenSymbol"/>
    </w:rPr>
  </w:style>
  <w:style w:type="character" w:customStyle="1" w:styleId="ListLabel171">
    <w:name w:val="ListLabel 171"/>
    <w:qFormat/>
    <w:rPr>
      <w:rFonts w:cs="OpenSymbol"/>
    </w:rPr>
  </w:style>
  <w:style w:type="character" w:customStyle="1" w:styleId="ListLabel172">
    <w:name w:val="ListLabel 172"/>
    <w:qFormat/>
    <w:rPr>
      <w:rFonts w:cs="OpenSymbol"/>
    </w:rPr>
  </w:style>
  <w:style w:type="character" w:customStyle="1" w:styleId="ListLabel173">
    <w:name w:val="ListLabel 173"/>
    <w:qFormat/>
    <w:rPr>
      <w:rFonts w:cs="OpenSymbol"/>
    </w:rPr>
  </w:style>
  <w:style w:type="character" w:customStyle="1" w:styleId="ListLabel174">
    <w:name w:val="ListLabel 174"/>
    <w:qFormat/>
    <w:rPr>
      <w:rFonts w:cs="OpenSymbol"/>
    </w:rPr>
  </w:style>
  <w:style w:type="character" w:customStyle="1" w:styleId="ListLabel175">
    <w:name w:val="ListLabel 175"/>
    <w:qFormat/>
    <w:rPr>
      <w:rFonts w:cs="OpenSymbol"/>
    </w:rPr>
  </w:style>
  <w:style w:type="character" w:customStyle="1" w:styleId="ListLabel176">
    <w:name w:val="ListLabel 176"/>
    <w:qFormat/>
    <w:rPr>
      <w:rFonts w:cs="OpenSymbol"/>
    </w:rPr>
  </w:style>
  <w:style w:type="character" w:customStyle="1" w:styleId="ListLabel177">
    <w:name w:val="ListLabel 177"/>
    <w:qFormat/>
    <w:rPr>
      <w:rFonts w:cs="OpenSymbol"/>
    </w:rPr>
  </w:style>
  <w:style w:type="character" w:customStyle="1" w:styleId="ListLabel178">
    <w:name w:val="ListLabel 178"/>
    <w:qFormat/>
    <w:rPr>
      <w:rFonts w:cs="OpenSymbol"/>
    </w:rPr>
  </w:style>
  <w:style w:type="character" w:customStyle="1" w:styleId="ListLabel179">
    <w:name w:val="ListLabel 179"/>
    <w:qFormat/>
    <w:rPr>
      <w:rFonts w:ascii="Times New Roman" w:hAnsi="Times New Roman" w:cs="Calibri"/>
      <w:sz w:val="24"/>
    </w:rPr>
  </w:style>
  <w:style w:type="character" w:customStyle="1" w:styleId="ListLabel180">
    <w:name w:val="ListLabel 180"/>
    <w:qFormat/>
    <w:rPr>
      <w:rFonts w:cs="Courier New"/>
    </w:rPr>
  </w:style>
  <w:style w:type="character" w:customStyle="1" w:styleId="ListLabel181">
    <w:name w:val="ListLabel 181"/>
    <w:qFormat/>
    <w:rPr>
      <w:rFonts w:cs="Wingdings"/>
    </w:rPr>
  </w:style>
  <w:style w:type="character" w:customStyle="1" w:styleId="ListLabel182">
    <w:name w:val="ListLabel 182"/>
    <w:qFormat/>
    <w:rPr>
      <w:rFonts w:cs="Symbol"/>
    </w:rPr>
  </w:style>
  <w:style w:type="character" w:customStyle="1" w:styleId="ListLabel183">
    <w:name w:val="ListLabel 183"/>
    <w:qFormat/>
    <w:rPr>
      <w:rFonts w:cs="Courier New"/>
    </w:rPr>
  </w:style>
  <w:style w:type="character" w:customStyle="1" w:styleId="ListLabel184">
    <w:name w:val="ListLabel 184"/>
    <w:qFormat/>
    <w:rPr>
      <w:rFonts w:cs="Wingdings"/>
    </w:rPr>
  </w:style>
  <w:style w:type="character" w:customStyle="1" w:styleId="ListLabel185">
    <w:name w:val="ListLabel 185"/>
    <w:qFormat/>
    <w:rPr>
      <w:rFonts w:cs="Symbol"/>
    </w:rPr>
  </w:style>
  <w:style w:type="character" w:customStyle="1" w:styleId="ListLabel186">
    <w:name w:val="ListLabel 186"/>
    <w:qFormat/>
    <w:rPr>
      <w:rFonts w:cs="Courier New"/>
    </w:rPr>
  </w:style>
  <w:style w:type="character" w:customStyle="1" w:styleId="ListLabel187">
    <w:name w:val="ListLabel 187"/>
    <w:qFormat/>
    <w:rPr>
      <w:rFonts w:cs="Wingdings"/>
    </w:rPr>
  </w:style>
  <w:style w:type="character" w:customStyle="1" w:styleId="ListLabel188">
    <w:name w:val="ListLabel 188"/>
    <w:qFormat/>
    <w:rPr>
      <w:rFonts w:cs="OpenSymbol"/>
      <w:b/>
      <w:sz w:val="19"/>
    </w:rPr>
  </w:style>
  <w:style w:type="character" w:customStyle="1" w:styleId="ListLabel189">
    <w:name w:val="ListLabel 189"/>
    <w:qFormat/>
    <w:rPr>
      <w:rFonts w:cs="OpenSymbol"/>
    </w:rPr>
  </w:style>
  <w:style w:type="character" w:customStyle="1" w:styleId="ListLabel190">
    <w:name w:val="ListLabel 190"/>
    <w:qFormat/>
    <w:rPr>
      <w:rFonts w:cs="OpenSymbol"/>
    </w:rPr>
  </w:style>
  <w:style w:type="character" w:customStyle="1" w:styleId="ListLabel191">
    <w:name w:val="ListLabel 191"/>
    <w:qFormat/>
    <w:rPr>
      <w:rFonts w:cs="OpenSymbol"/>
    </w:rPr>
  </w:style>
  <w:style w:type="character" w:customStyle="1" w:styleId="ListLabel192">
    <w:name w:val="ListLabel 192"/>
    <w:qFormat/>
    <w:rPr>
      <w:rFonts w:cs="OpenSymbol"/>
    </w:rPr>
  </w:style>
  <w:style w:type="character" w:customStyle="1" w:styleId="ListLabel193">
    <w:name w:val="ListLabel 193"/>
    <w:qFormat/>
    <w:rPr>
      <w:rFonts w:cs="OpenSymbol"/>
    </w:rPr>
  </w:style>
  <w:style w:type="character" w:customStyle="1" w:styleId="ListLabel194">
    <w:name w:val="ListLabel 194"/>
    <w:qFormat/>
    <w:rPr>
      <w:rFonts w:cs="OpenSymbol"/>
    </w:rPr>
  </w:style>
  <w:style w:type="character" w:customStyle="1" w:styleId="ListLabel195">
    <w:name w:val="ListLabel 195"/>
    <w:qFormat/>
    <w:rPr>
      <w:rFonts w:cs="OpenSymbol"/>
    </w:rPr>
  </w:style>
  <w:style w:type="character" w:customStyle="1" w:styleId="ListLabel196">
    <w:name w:val="ListLabel 196"/>
    <w:qFormat/>
    <w:rPr>
      <w:rFonts w:cs="OpenSymbol"/>
    </w:rPr>
  </w:style>
  <w:style w:type="character" w:customStyle="1" w:styleId="ListLabel197">
    <w:name w:val="ListLabel 197"/>
    <w:qFormat/>
    <w:rPr>
      <w:rFonts w:cs="OpenSymbol"/>
    </w:rPr>
  </w:style>
  <w:style w:type="character" w:customStyle="1" w:styleId="ListLabel198">
    <w:name w:val="ListLabel 198"/>
    <w:qFormat/>
    <w:rPr>
      <w:rFonts w:cs="OpenSymbol"/>
    </w:rPr>
  </w:style>
  <w:style w:type="character" w:customStyle="1" w:styleId="ListLabel199">
    <w:name w:val="ListLabel 199"/>
    <w:qFormat/>
    <w:rPr>
      <w:rFonts w:cs="OpenSymbol"/>
    </w:rPr>
  </w:style>
  <w:style w:type="character" w:customStyle="1" w:styleId="ListLabel200">
    <w:name w:val="ListLabel 200"/>
    <w:qFormat/>
    <w:rPr>
      <w:rFonts w:cs="OpenSymbol"/>
    </w:rPr>
  </w:style>
  <w:style w:type="character" w:customStyle="1" w:styleId="ListLabel201">
    <w:name w:val="ListLabel 201"/>
    <w:qFormat/>
    <w:rPr>
      <w:rFonts w:cs="OpenSymbol"/>
    </w:rPr>
  </w:style>
  <w:style w:type="character" w:customStyle="1" w:styleId="ListLabel202">
    <w:name w:val="ListLabel 202"/>
    <w:qFormat/>
    <w:rPr>
      <w:rFonts w:cs="OpenSymbol"/>
    </w:rPr>
  </w:style>
  <w:style w:type="character" w:customStyle="1" w:styleId="ListLabel203">
    <w:name w:val="ListLabel 203"/>
    <w:qFormat/>
    <w:rPr>
      <w:rFonts w:cs="OpenSymbol"/>
    </w:rPr>
  </w:style>
  <w:style w:type="character" w:customStyle="1" w:styleId="ListLabel204">
    <w:name w:val="ListLabel 204"/>
    <w:qFormat/>
    <w:rPr>
      <w:rFonts w:cs="OpenSymbol"/>
    </w:rPr>
  </w:style>
  <w:style w:type="character" w:customStyle="1" w:styleId="ListLabel205">
    <w:name w:val="ListLabel 205"/>
    <w:qFormat/>
    <w:rPr>
      <w:rFonts w:cs="OpenSymbol"/>
    </w:rPr>
  </w:style>
  <w:style w:type="paragraph" w:customStyle="1" w:styleId="Index">
    <w:name w:val="Index"/>
    <w:basedOn w:val="Normal"/>
    <w:qFormat/>
    <w:pPr>
      <w:suppressLineNumbers/>
    </w:pPr>
    <w:rPr>
      <w:rFonts w:cs="Lucida Sans"/>
    </w:rPr>
  </w:style>
  <w:style w:type="paragraph" w:customStyle="1" w:styleId="ListParagraph1">
    <w:name w:val="List Paragraph1"/>
    <w:basedOn w:val="Normal"/>
    <w:uiPriority w:val="34"/>
    <w:qFormat/>
    <w:pPr>
      <w:ind w:left="720"/>
      <w:contextualSpacing/>
    </w:pPr>
  </w:style>
  <w:style w:type="paragraph" w:customStyle="1" w:styleId="TableContents">
    <w:name w:val="Table Contents"/>
    <w:basedOn w:val="Normal"/>
    <w:qFormat/>
    <w:pPr>
      <w:suppressLineNumbers/>
    </w:pPr>
  </w:style>
  <w:style w:type="paragraph" w:customStyle="1" w:styleId="TableHeading">
    <w:name w:val="Table Heading"/>
    <w:basedOn w:val="TableContents"/>
    <w:qFormat/>
    <w:pPr>
      <w:jc w:val="center"/>
    </w:pPr>
    <w:rPr>
      <w:b/>
      <w:bCs/>
    </w:rPr>
  </w:style>
  <w:style w:type="character" w:customStyle="1" w:styleId="BalloonTextChar">
    <w:name w:val="Balloon Text Char"/>
    <w:basedOn w:val="DefaultParagraphFont"/>
    <w:link w:val="BalloonText"/>
    <w:uiPriority w:val="99"/>
    <w:semiHidden/>
    <w:qFormat/>
    <w:rPr>
      <w:rFonts w:ascii="Segoe UI" w:hAnsi="Segoe UI" w:cs="Segoe UI"/>
      <w:color w:val="00000A"/>
      <w:sz w:val="18"/>
      <w:szCs w:val="18"/>
    </w:rPr>
  </w:style>
  <w:style w:type="character" w:customStyle="1" w:styleId="CommentTextChar">
    <w:name w:val="Comment Text Char"/>
    <w:basedOn w:val="DefaultParagraphFont"/>
    <w:link w:val="CommentText"/>
    <w:uiPriority w:val="99"/>
    <w:semiHidden/>
    <w:qFormat/>
    <w:rPr>
      <w:color w:val="00000A"/>
      <w:szCs w:val="20"/>
    </w:rPr>
  </w:style>
  <w:style w:type="character" w:customStyle="1" w:styleId="CommentSubjectChar">
    <w:name w:val="Comment Subject Char"/>
    <w:basedOn w:val="CommentTextChar"/>
    <w:link w:val="CommentSubject"/>
    <w:uiPriority w:val="99"/>
    <w:semiHidden/>
    <w:qFormat/>
    <w:rPr>
      <w:b/>
      <w:bCs/>
      <w:color w:val="00000A"/>
      <w:szCs w:val="20"/>
    </w:rPr>
  </w:style>
  <w:style w:type="character" w:customStyle="1" w:styleId="HeaderChar">
    <w:name w:val="Header Char"/>
    <w:basedOn w:val="DefaultParagraphFont"/>
    <w:link w:val="Header"/>
    <w:uiPriority w:val="99"/>
    <w:qFormat/>
    <w:rPr>
      <w:color w:val="00000A"/>
      <w:sz w:val="22"/>
    </w:rPr>
  </w:style>
  <w:style w:type="character" w:customStyle="1" w:styleId="fontstyle01">
    <w:name w:val="fontstyle01"/>
    <w:basedOn w:val="DefaultParagraphFont"/>
    <w:qFormat/>
    <w:rPr>
      <w:rFonts w:ascii="Sabon-Roman" w:hAnsi="Sabon-Roman" w:hint="default"/>
      <w:color w:val="231F1F"/>
      <w:sz w:val="20"/>
      <w:szCs w:val="20"/>
    </w:rPr>
  </w:style>
  <w:style w:type="character" w:customStyle="1" w:styleId="UnresolvedMention1">
    <w:name w:val="Unresolved Mention1"/>
    <w:basedOn w:val="DefaultParagraphFont"/>
    <w:uiPriority w:val="99"/>
    <w:unhideWhenUsed/>
    <w:qFormat/>
    <w:rPr>
      <w:color w:val="808080"/>
      <w:shd w:val="clear" w:color="auto" w:fill="E6E6E6"/>
    </w:rPr>
  </w:style>
  <w:style w:type="character" w:customStyle="1" w:styleId="FooterChar">
    <w:name w:val="Footer Char"/>
    <w:basedOn w:val="DefaultParagraphFont"/>
    <w:link w:val="Footer"/>
    <w:uiPriority w:val="99"/>
    <w:rPr>
      <w:color w:val="00000A"/>
      <w:sz w:val="22"/>
    </w:rPr>
  </w:style>
  <w:style w:type="paragraph" w:styleId="NoSpacing">
    <w:name w:val="No Spacing"/>
    <w:link w:val="NoSpacingChar"/>
    <w:uiPriority w:val="1"/>
    <w:qFormat/>
    <w:rsid w:val="0081579B"/>
    <w:pPr>
      <w:spacing w:after="0" w:line="240" w:lineRule="auto"/>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81579B"/>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thewire.co.uk/news/45943/gustav-metzger-has-died-aged-90" TargetMode="External"/><Relationship Id="rId3" Type="http://schemas.openxmlformats.org/officeDocument/2006/relationships/numbering" Target="numbering.xml"/><Relationship Id="rId21" Type="http://schemas.openxmlformats.org/officeDocument/2006/relationships/hyperlink" Target="https://www.haaretz.com/israel-news/culture/.premium-a-radical-artist-s-work-come-to-tel-aviv-1.5323267"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haaretz.com/israel-news/culture/.premium-a-radical-artist-s-work-come-to-tel-aviv-1.5323267"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artishockrevista.com/2015/09/09/debemos-convertirnos-idealistas-morir-gustav-metzger/" TargetMode="External"/><Relationship Id="rId20" Type="http://schemas.openxmlformats.org/officeDocument/2006/relationships/hyperlink" Target="https://www.theguardian.com/artanddesign/2017/mar/03/gustav-metzger-obituar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www.serpentinegalleries.org/exhibitions-events/gustav-metzger-mass-media-todayandyesterdaycouk" TargetMode="External"/><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s://frieze.com/article/gustav-metzger"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Using the keywords religiosity, revolution and revolution, the impact of his life on the practice of Gustav Metzger is explored.</Abstract>
  <CompanyAddress/>
  <CompanyPhone/>
  <CompanyFax/>
  <CompanyEmail/>
</CoverPageProperties>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17</Pages>
  <Words>3061</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practices</dc:title>
  <dc:subject>M5X01571</dc:subject>
  <dc:creator>Jeremy Gluck (P151365)</dc:creator>
  <cp:lastModifiedBy>JSG58</cp:lastModifiedBy>
  <cp:revision>19</cp:revision>
  <dcterms:created xsi:type="dcterms:W3CDTF">2018-05-01T13:52:00Z</dcterms:created>
  <dcterms:modified xsi:type="dcterms:W3CDTF">2018-05-09T14:33:00Z</dcterms:modified>
  <cp:category>Contextual Practices</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KSOProductBuildVer">
    <vt:lpwstr>1033-10.2.0.6020</vt:lpwstr>
  </property>
</Properties>
</file>