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FF4BD7" w14:textId="0202F8EE" w:rsidR="00E104ED" w:rsidRDefault="00F80FE5">
      <w:pPr>
        <w:rPr>
          <w:b/>
          <w:bCs/>
        </w:rPr>
      </w:pPr>
      <w:r w:rsidRPr="00F80FE5">
        <w:rPr>
          <w:b/>
          <w:bCs/>
        </w:rPr>
        <w:t>‘His Son not sparing’</w:t>
      </w:r>
    </w:p>
    <w:p w14:paraId="5DE82F08" w14:textId="77777777" w:rsidR="00F80FE5" w:rsidRDefault="00F80FE5">
      <w:pPr>
        <w:rPr>
          <w:b/>
          <w:bCs/>
        </w:rPr>
      </w:pPr>
    </w:p>
    <w:p w14:paraId="5951A03F" w14:textId="420841AF" w:rsidR="00D67F54" w:rsidRDefault="00A00F2E">
      <w:r>
        <w:t>From a Christian perspective, the priority that the episodes of the Abraham story demands</w:t>
      </w:r>
      <w:r w:rsidR="00F90B87">
        <w:t xml:space="preserve"> </w:t>
      </w:r>
      <w:proofErr w:type="gramStart"/>
      <w:r>
        <w:t>is</w:t>
      </w:r>
      <w:proofErr w:type="gramEnd"/>
      <w:r>
        <w:t xml:space="preserve">, first, the story of the Akedah – the binding of his son Isaac for sacrifice to God – then the story of the visitation at Mamre, and lastly the promise of land for Abraham’s offspring. The last of these </w:t>
      </w:r>
      <w:r w:rsidR="00C71367">
        <w:t>is recorded</w:t>
      </w:r>
      <w:r>
        <w:t xml:space="preserve"> first (in Genesis, Chap.12 vv. 2-3</w:t>
      </w:r>
      <w:r>
        <w:rPr>
          <w:rStyle w:val="FootnoteReference"/>
        </w:rPr>
        <w:footnoteReference w:id="1"/>
      </w:r>
      <w:r>
        <w:t xml:space="preserve">), but may be seen to have the most pressing currency </w:t>
      </w:r>
      <w:r w:rsidR="00F90B87">
        <w:t>in the modern day; the divine visitation at Mamre was early on interpreted in the Christian era as an allegory of the coming of Christ, with the hospitality that Abraham offers his guest as a foreshadowing of the Eucharist; and the near-sacrifice of his son by Abraham, as a symbol of the sacrifice that God makes in his Son Jesus Christ. The</w:t>
      </w:r>
      <w:r w:rsidR="00D67F54">
        <w:t xml:space="preserve"> present aim is to examine critically some of the ways in which the three stories have been received and determine why it is that certain reception ‘stories’ are unsuccessful.</w:t>
      </w:r>
    </w:p>
    <w:p w14:paraId="06A65583" w14:textId="77777777" w:rsidR="00D67F54" w:rsidRDefault="00D67F54"/>
    <w:p w14:paraId="4E66FB1C" w14:textId="41470FEE" w:rsidR="00682E64" w:rsidRDefault="00A65990">
      <w:r>
        <w:t xml:space="preserve">We may begin with the story of the Akedah. </w:t>
      </w:r>
      <w:r w:rsidR="00F505AB">
        <w:t>Curley Edwin has nothing but outrage at the idea of a moral God setting</w:t>
      </w:r>
      <w:r w:rsidR="00824CE7">
        <w:t xml:space="preserve"> a trial for Abraham such that he </w:t>
      </w:r>
      <w:proofErr w:type="gramStart"/>
      <w:r w:rsidR="00824CE7">
        <w:t>offer</w:t>
      </w:r>
      <w:proofErr w:type="gramEnd"/>
      <w:r w:rsidR="00824CE7">
        <w:t xml:space="preserve"> up his son Isaac as a sacrifice to him.</w:t>
      </w:r>
      <w:r w:rsidR="00824CE7">
        <w:rPr>
          <w:rStyle w:val="FootnoteReference"/>
        </w:rPr>
        <w:footnoteReference w:id="2"/>
      </w:r>
      <w:r w:rsidR="00824CE7">
        <w:t xml:space="preserve"> </w:t>
      </w:r>
      <w:r>
        <w:t xml:space="preserve">Not least because </w:t>
      </w:r>
      <w:r>
        <w:t>it is God (apparently) who has chosen Abraham to be the patriarch and founder of the Jewish nation.</w:t>
      </w:r>
      <w:r>
        <w:t xml:space="preserve"> </w:t>
      </w:r>
      <w:r w:rsidRPr="00A65990">
        <w:t xml:space="preserve">His concern is whether the God that promotes filicide (and genocide) can exist. </w:t>
      </w:r>
      <w:r w:rsidR="00824CE7">
        <w:t>He asks, ‘Don’t we need to make some judgments about God’s moral character…?’</w:t>
      </w:r>
      <w:r w:rsidR="00824CE7">
        <w:rPr>
          <w:rStyle w:val="FootnoteReference"/>
        </w:rPr>
        <w:footnoteReference w:id="3"/>
      </w:r>
      <w:r>
        <w:t xml:space="preserve"> It turns out that Walter Moberly has an answer, by in turn questioning whether it is right to ‘suppose that … modern moral judgment must also apply to the story in its ancient context.</w:t>
      </w:r>
      <w:r w:rsidR="00AF3C46">
        <w:t>’</w:t>
      </w:r>
      <w:r>
        <w:rPr>
          <w:rStyle w:val="FootnoteReference"/>
        </w:rPr>
        <w:footnoteReference w:id="4"/>
      </w:r>
      <w:r w:rsidR="0091537D">
        <w:t xml:space="preserve"> </w:t>
      </w:r>
      <w:r w:rsidR="00AC4629">
        <w:t>Further, a</w:t>
      </w:r>
      <w:r w:rsidR="00824CE7">
        <w:t xml:space="preserve"> not wholly convincing rebuttal </w:t>
      </w:r>
      <w:r w:rsidR="0091537D">
        <w:t xml:space="preserve">to Edwin’s case comes </w:t>
      </w:r>
      <w:r w:rsidR="00824CE7">
        <w:t xml:space="preserve">from Peter van Inwagen </w:t>
      </w:r>
      <w:r w:rsidR="0091537D">
        <w:t xml:space="preserve">(an abstruse argument about a people’s growing sense of justice over time) </w:t>
      </w:r>
      <w:r w:rsidR="00824CE7">
        <w:t>with the valuable insight however, that ‘God… can reach into you and touch you and guide your thoughts.’</w:t>
      </w:r>
      <w:r w:rsidR="00824CE7" w:rsidRPr="000D6AB2">
        <w:rPr>
          <w:rStyle w:val="FootnoteReference"/>
        </w:rPr>
        <w:t xml:space="preserve"> </w:t>
      </w:r>
      <w:r w:rsidR="00824CE7">
        <w:rPr>
          <w:rStyle w:val="FootnoteReference"/>
        </w:rPr>
        <w:footnoteReference w:id="5"/>
      </w:r>
      <w:r>
        <w:t xml:space="preserve"> </w:t>
      </w:r>
    </w:p>
    <w:p w14:paraId="0A89E129" w14:textId="77777777" w:rsidR="0091537D" w:rsidRDefault="0091537D"/>
    <w:p w14:paraId="2B0F29F5" w14:textId="6F630B79" w:rsidR="0091537D" w:rsidRDefault="0091537D">
      <w:r>
        <w:t xml:space="preserve">Moberly has a desire to normalize the moral and cultural landscape of the ancient past by suggesting that fathers were in a position to make life and death decisions about their offspring, thus </w:t>
      </w:r>
      <w:r w:rsidR="00D40BB0">
        <w:t>tempering</w:t>
      </w:r>
      <w:r>
        <w:t xml:space="preserve"> the harshness of God’s test.</w:t>
      </w:r>
      <w:r>
        <w:rPr>
          <w:rStyle w:val="FootnoteReference"/>
        </w:rPr>
        <w:footnoteReference w:id="6"/>
      </w:r>
      <w:r>
        <w:t xml:space="preserve"> A similar mitigating argument is presented by </w:t>
      </w:r>
      <w:r w:rsidRPr="0091537D">
        <w:t>Morschauser</w:t>
      </w:r>
      <w:r>
        <w:t>, who suggests that</w:t>
      </w:r>
      <w:r w:rsidR="00F608DD">
        <w:t>, following the custom of the Amarna dispatches, the events around the Akedah might be viewed as ‘reminiscent of a ‘courtly testimonial’ to, rather than a ‘test’ of, the patriarch’s loyalty.’</w:t>
      </w:r>
      <w:r w:rsidR="00F608DD">
        <w:rPr>
          <w:rStyle w:val="FootnoteReference"/>
        </w:rPr>
        <w:footnoteReference w:id="7"/>
      </w:r>
      <w:r w:rsidR="00F608DD">
        <w:t xml:space="preserve"> The problem</w:t>
      </w:r>
      <w:r w:rsidR="00AF3C46">
        <w:t xml:space="preserve"> with both these viewpoints</w:t>
      </w:r>
      <w:r w:rsidR="00F608DD">
        <w:t xml:space="preserve"> is that mitigation</w:t>
      </w:r>
      <w:r w:rsidR="00AF3C46">
        <w:t xml:space="preserve"> of the test reduces its significance in the story. </w:t>
      </w:r>
      <w:r w:rsidR="00AF3C46">
        <w:lastRenderedPageBreak/>
        <w:t>Isaac is Abraham’s one (and only)</w:t>
      </w:r>
      <w:r w:rsidR="00AF3C46">
        <w:rPr>
          <w:rStyle w:val="FootnoteReference"/>
        </w:rPr>
        <w:footnoteReference w:id="8"/>
      </w:r>
      <w:r w:rsidR="00AF3C46">
        <w:t xml:space="preserve"> son and rightful heir, and thus the route to making</w:t>
      </w:r>
      <w:r w:rsidR="00AF3C46">
        <w:t xml:space="preserve"> </w:t>
      </w:r>
      <w:r w:rsidR="00AF3C46">
        <w:t>his ‘</w:t>
      </w:r>
      <w:r w:rsidR="00AF3C46">
        <w:t>descendants as numerous as the starts in the sky</w:t>
      </w:r>
      <w:r w:rsidR="00AF3C46">
        <w:t>.’</w:t>
      </w:r>
      <w:r w:rsidR="00AF3C46">
        <w:rPr>
          <w:rStyle w:val="FootnoteReference"/>
        </w:rPr>
        <w:footnoteReference w:id="9"/>
      </w:r>
      <w:r w:rsidR="00AF3C46">
        <w:t xml:space="preserve"> The stakes could not be higher (the prospect of shutting down the promised future), and it is hard to see this as anything other than Abraham’s heroic submission to the will of God.</w:t>
      </w:r>
      <w:r w:rsidR="00D40BB0">
        <w:t xml:space="preserve"> It is not hard, however, to see how the Son of God in Jesus Christ became the ultimate ‘type’ for such a sacrifice.</w:t>
      </w:r>
    </w:p>
    <w:p w14:paraId="7FF444CE" w14:textId="77777777" w:rsidR="00682E64" w:rsidRDefault="00682E64"/>
    <w:p w14:paraId="767BB954" w14:textId="74C13384" w:rsidR="00A95B22" w:rsidRDefault="00894E26" w:rsidP="0085423D">
      <w:r w:rsidRPr="00284C51">
        <w:t xml:space="preserve">Zanne Domoney-Lyttle’s study of Abraham as the father figure focuses on the gradual erasure of the women in the Abraham story as the Hebrew Bible progresses. </w:t>
      </w:r>
      <w:r>
        <w:t>She also notes that Abraham has little personal relationship with his sons.</w:t>
      </w:r>
      <w:r>
        <w:rPr>
          <w:rStyle w:val="FootnoteReference"/>
        </w:rPr>
        <w:footnoteReference w:id="10"/>
      </w:r>
      <w:r>
        <w:t xml:space="preserve"> There are two things to note here: the first is the implication that the role of fathers in ancient cultures ought to correspond in some way with paternal roles as conceived contemporaneously. Secondly that the absence of comment (as in the so-called erasure of Hagar, Sarah and Keturah, the mothers of Abraham’s sons) is evidence of something more than their </w:t>
      </w:r>
      <w:r w:rsidR="00D40BB0">
        <w:t xml:space="preserve">being not pertinent </w:t>
      </w:r>
      <w:r>
        <w:t xml:space="preserve">to the subsequent story. </w:t>
      </w:r>
      <w:r w:rsidRPr="00284C51">
        <w:t>The suggestion is that Abraham achieves revered status as a father</w:t>
      </w:r>
      <w:r>
        <w:t xml:space="preserve"> </w:t>
      </w:r>
      <w:r w:rsidR="00F90B87">
        <w:t>figure as the history of the Jewish nation unfolds, perhaps most so during the exile after the destruction of Jerusalem</w:t>
      </w:r>
      <w:r w:rsidR="00D40BB0">
        <w:t>, and further that this is an unearned honour. She also points out that</w:t>
      </w:r>
      <w:r w:rsidR="00F90B87">
        <w:t xml:space="preserve"> </w:t>
      </w:r>
      <w:r>
        <w:t>evidence of his active role as father is meagre</w:t>
      </w:r>
      <w:r w:rsidRPr="00284C51">
        <w:t xml:space="preserve">: </w:t>
      </w:r>
      <w:r>
        <w:t xml:space="preserve">it is Sarah who actively encourages Abraham to have a son through her maid Hagar, and then she who insists on their banishment. Abraham is seen to fail in playing the role of the father. </w:t>
      </w:r>
      <w:r w:rsidR="0085423D">
        <w:t xml:space="preserve">Haddox </w:t>
      </w:r>
      <w:r w:rsidR="00D40BB0">
        <w:t>takes</w:t>
      </w:r>
      <w:r w:rsidR="0085423D">
        <w:t xml:space="preserve"> a ‘</w:t>
      </w:r>
      <w:proofErr w:type="spellStart"/>
      <w:r w:rsidR="0085423D">
        <w:t>masculist</w:t>
      </w:r>
      <w:proofErr w:type="spellEnd"/>
      <w:r w:rsidR="0085423D">
        <w:t xml:space="preserve">’ approach </w:t>
      </w:r>
      <w:r w:rsidR="00D40BB0">
        <w:t xml:space="preserve">and argues that </w:t>
      </w:r>
      <w:r w:rsidR="00A95B22">
        <w:t xml:space="preserve">what we see in </w:t>
      </w:r>
      <w:r w:rsidR="00D40BB0">
        <w:t xml:space="preserve">the submissive male figure before God </w:t>
      </w:r>
      <w:r w:rsidR="00A95B22">
        <w:t>illustrates the relationship with the divine as much as the political and geographical inferiority of Israel and Judah at the time.</w:t>
      </w:r>
      <w:r w:rsidR="00A95B22">
        <w:rPr>
          <w:rStyle w:val="FootnoteReference"/>
        </w:rPr>
        <w:footnoteReference w:id="11"/>
      </w:r>
      <w:r w:rsidR="00A95B22">
        <w:t xml:space="preserve"> However, whatever counterweight is offered by this latter approach to the feminist school of criticism, there remains a difficulty with the ascription of gender to the theological issues at hand.  </w:t>
      </w:r>
    </w:p>
    <w:p w14:paraId="22154E2D" w14:textId="77777777" w:rsidR="00A95B22" w:rsidRDefault="00A95B22" w:rsidP="0085423D"/>
    <w:p w14:paraId="71E5AFFB" w14:textId="13386558" w:rsidR="005908C5" w:rsidRDefault="005908C5" w:rsidP="0085423D">
      <w:r>
        <w:t xml:space="preserve">Moving to the visitation at Mamre, Bogdan Bucur </w:t>
      </w:r>
      <w:r w:rsidR="0070309D">
        <w:t>notes that the earliest Christian understanding of the event (as a literal epiphany, describing ‘direct divine presence and action’) morphed over time into a demonstration of ‘theological and spiritual realities.’</w:t>
      </w:r>
      <w:r w:rsidR="0070309D">
        <w:rPr>
          <w:rStyle w:val="FootnoteReference"/>
        </w:rPr>
        <w:footnoteReference w:id="12"/>
      </w:r>
      <w:r w:rsidR="0070309D">
        <w:t xml:space="preserve"> He notes how Christ is said to precede Abraham</w:t>
      </w:r>
      <w:r w:rsidR="0070309D">
        <w:rPr>
          <w:rStyle w:val="FootnoteReference"/>
        </w:rPr>
        <w:footnoteReference w:id="13"/>
      </w:r>
      <w:r w:rsidR="0070309D">
        <w:t xml:space="preserve">, and argues for the literal identity of the Christ figure with one of the three Mamre visitors. </w:t>
      </w:r>
      <w:r w:rsidR="0011287F">
        <w:t xml:space="preserve">The three-in-one elements that make the loaf that Sarah prepares for the guests at Mamre become over time a more </w:t>
      </w:r>
      <w:r w:rsidR="0011287F">
        <w:lastRenderedPageBreak/>
        <w:t xml:space="preserve">powerful illustration of the Godhead’s visit as by the Trinity, diminishing the Christological emphasis. It may be noted that Haddox quotes </w:t>
      </w:r>
      <w:r w:rsidR="00C71367">
        <w:t xml:space="preserve">Michael </w:t>
      </w:r>
      <w:r w:rsidR="0011287F">
        <w:t>Herzfeld on the question of Abraham’s hospitality and what that shows about the patriarch’s manhood.</w:t>
      </w:r>
      <w:r w:rsidR="0011287F">
        <w:rPr>
          <w:rStyle w:val="FootnoteReference"/>
        </w:rPr>
        <w:footnoteReference w:id="14"/>
      </w:r>
    </w:p>
    <w:p w14:paraId="70EADBB6" w14:textId="6276CF69" w:rsidR="0085423D" w:rsidRDefault="0085423D" w:rsidP="00C71367"/>
    <w:p w14:paraId="29CE3D38" w14:textId="6DA85C1D" w:rsidR="00C71367" w:rsidRDefault="00C71367" w:rsidP="00C71367">
      <w:r>
        <w:t>The trinitarian view of Abraham’s hospitality at Mamre is graphically demonstrated in the following art works: ‘</w:t>
      </w:r>
      <w:r w:rsidRPr="00AD7855">
        <w:t>The Hospitality of Abraham</w:t>
      </w:r>
      <w:r>
        <w:t xml:space="preserve">’ by Andrey Rublyov and </w:t>
      </w:r>
      <w:r w:rsidRPr="00AD7855">
        <w:t>Marc Chagall</w:t>
      </w:r>
      <w:r w:rsidRPr="00C71367">
        <w:t>’s ‘</w:t>
      </w:r>
      <w:r w:rsidRPr="00AD7855">
        <w:t>Abraham and the Three Angels</w:t>
      </w:r>
      <w:r w:rsidRPr="00C71367">
        <w:t>’</w:t>
      </w:r>
      <w:r>
        <w:t xml:space="preserve">. </w:t>
      </w:r>
    </w:p>
    <w:p w14:paraId="365BEFE0" w14:textId="77777777" w:rsidR="00C71367" w:rsidRDefault="00C71367" w:rsidP="00C71367"/>
    <w:p w14:paraId="3E2AAD81" w14:textId="2BF8DBCA" w:rsidR="00C71367" w:rsidRPr="00C71367" w:rsidRDefault="00C71367" w:rsidP="00C71367">
      <w:pPr>
        <w:jc w:val="center"/>
      </w:pPr>
      <w:r w:rsidRPr="00C71367">
        <w:drawing>
          <wp:inline distT="0" distB="0" distL="0" distR="0" wp14:anchorId="0514987F" wp14:editId="2AB1FAEE">
            <wp:extent cx="3843355" cy="4698380"/>
            <wp:effectExtent l="0" t="0" r="5080" b="635"/>
            <wp:docPr id="343360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60327" name=""/>
                    <pic:cNvPicPr/>
                  </pic:nvPicPr>
                  <pic:blipFill>
                    <a:blip r:embed="rId8"/>
                    <a:stretch>
                      <a:fillRect/>
                    </a:stretch>
                  </pic:blipFill>
                  <pic:spPr>
                    <a:xfrm>
                      <a:off x="0" y="0"/>
                      <a:ext cx="3858674" cy="4717107"/>
                    </a:xfrm>
                    <a:prstGeom prst="rect">
                      <a:avLst/>
                    </a:prstGeom>
                  </pic:spPr>
                </pic:pic>
              </a:graphicData>
            </a:graphic>
          </wp:inline>
        </w:drawing>
      </w:r>
    </w:p>
    <w:p w14:paraId="318FB3A0" w14:textId="77777777" w:rsidR="0085423D" w:rsidRPr="00284C51" w:rsidRDefault="0085423D" w:rsidP="00894E26"/>
    <w:p w14:paraId="07FE6266" w14:textId="732CF67D" w:rsidR="00682E64" w:rsidRDefault="00C71367">
      <w:r>
        <w:t xml:space="preserve">Rublyov’s work is an icon, which already places it apart from Western art: it is </w:t>
      </w:r>
      <w:proofErr w:type="gramStart"/>
      <w:r>
        <w:t>in itself an</w:t>
      </w:r>
      <w:proofErr w:type="gramEnd"/>
      <w:r>
        <w:t xml:space="preserve"> instrument of worship. At the heart of the Abrahamic hospitality is the Eucharistic cup, and </w:t>
      </w:r>
      <w:r w:rsidR="005501D7">
        <w:t xml:space="preserve">it is taken to be </w:t>
      </w:r>
      <w:r>
        <w:t xml:space="preserve">Christ </w:t>
      </w:r>
      <w:r w:rsidR="005501D7">
        <w:t xml:space="preserve">who </w:t>
      </w:r>
      <w:r>
        <w:t xml:space="preserve">sits in the central </w:t>
      </w:r>
      <w:r w:rsidR="005501D7">
        <w:t>(</w:t>
      </w:r>
      <w:r>
        <w:t>dominating</w:t>
      </w:r>
      <w:r w:rsidR="005501D7">
        <w:t>)</w:t>
      </w:r>
      <w:r>
        <w:t xml:space="preserve"> position. </w:t>
      </w:r>
      <w:r w:rsidR="005501D7">
        <w:t xml:space="preserve">The work is included in this study as exemplifying an alternative ‘reception’ of the Mamre story. It has been noted that Abraham himself is absent, and Aaron Rosen sees this as a deliberate invitation to the viewer to assume that ‘hospitable’ role. The apparent lack of characterization of the visitors, the lack of action and narrative leave the viewer with an uncertainty about what they are looking at: what is going on? </w:t>
      </w:r>
    </w:p>
    <w:p w14:paraId="2EC699D6" w14:textId="77777777" w:rsidR="005501D7" w:rsidRDefault="005501D7"/>
    <w:p w14:paraId="237939FA" w14:textId="77777777" w:rsidR="005501D7" w:rsidRDefault="005501D7"/>
    <w:p w14:paraId="531A46E1" w14:textId="404BD55B" w:rsidR="005501D7" w:rsidRDefault="005501D7">
      <w:r w:rsidRPr="005501D7">
        <w:drawing>
          <wp:inline distT="0" distB="0" distL="0" distR="0" wp14:anchorId="3844D488" wp14:editId="66779FA1">
            <wp:extent cx="5731510" cy="3768725"/>
            <wp:effectExtent l="0" t="0" r="0" b="3175"/>
            <wp:docPr id="1685757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57937" name=""/>
                    <pic:cNvPicPr/>
                  </pic:nvPicPr>
                  <pic:blipFill>
                    <a:blip r:embed="rId9"/>
                    <a:stretch>
                      <a:fillRect/>
                    </a:stretch>
                  </pic:blipFill>
                  <pic:spPr>
                    <a:xfrm>
                      <a:off x="0" y="0"/>
                      <a:ext cx="5731510" cy="3768725"/>
                    </a:xfrm>
                    <a:prstGeom prst="rect">
                      <a:avLst/>
                    </a:prstGeom>
                  </pic:spPr>
                </pic:pic>
              </a:graphicData>
            </a:graphic>
          </wp:inline>
        </w:drawing>
      </w:r>
    </w:p>
    <w:p w14:paraId="7CE97ABD" w14:textId="77777777" w:rsidR="00C71367" w:rsidRDefault="00C71367"/>
    <w:p w14:paraId="14E796A4" w14:textId="77777777" w:rsidR="00C71367" w:rsidRDefault="00C71367"/>
    <w:p w14:paraId="4D4660CD" w14:textId="2FAFD340" w:rsidR="00C71367" w:rsidRDefault="005501D7">
      <w:r>
        <w:t xml:space="preserve">Chagall’s work contains more of a narrative: we are in the presence of angels, and of Abraham, but we also see the figure of Sarah bringing her baking to the visitors, and the forewarning of the impending doom of Sodom and Gomorrah (to the upper right of the picture.) The uncertainty of the </w:t>
      </w:r>
      <w:proofErr w:type="spellStart"/>
      <w:r>
        <w:t>Rublyov</w:t>
      </w:r>
      <w:proofErr w:type="spellEnd"/>
      <w:r>
        <w:t xml:space="preserve"> icon </w:t>
      </w:r>
      <w:r w:rsidR="000720B9">
        <w:t xml:space="preserve">is wholly absent: it is a though Chagall had just too much he wanted to say about the story. It is also a very domestic scene, with identifiable furniture and other signs of domesticity. </w:t>
      </w:r>
    </w:p>
    <w:p w14:paraId="71613817" w14:textId="77777777" w:rsidR="000720B9" w:rsidRDefault="000720B9"/>
    <w:p w14:paraId="70ACB00C" w14:textId="0546059B" w:rsidR="000720B9" w:rsidRDefault="000720B9">
      <w:r>
        <w:t xml:space="preserve">It is worth considering if either of the two works – which both reveal something in their author’s respective reception of the Genesis story – has theological import beyond an illustrative purpose. </w:t>
      </w:r>
    </w:p>
    <w:p w14:paraId="5B78C90E" w14:textId="77777777" w:rsidR="000720B9" w:rsidRDefault="000720B9"/>
    <w:p w14:paraId="1E2980BC" w14:textId="1045306E" w:rsidR="000720B9" w:rsidRDefault="000720B9">
      <w:r>
        <w:t>The third area of study is the wider question of land: what in God’s promise to Abraham was the offer of his ‘becoming a nation’?</w:t>
      </w:r>
      <w:r>
        <w:rPr>
          <w:rStyle w:val="FootnoteReference"/>
        </w:rPr>
        <w:footnoteReference w:id="15"/>
      </w:r>
    </w:p>
    <w:p w14:paraId="33BFCCF7" w14:textId="77777777" w:rsidR="00C71367" w:rsidRDefault="00C71367"/>
    <w:p w14:paraId="13E4F15A" w14:textId="75E3FEEC" w:rsidR="00A46C63" w:rsidRDefault="00824204">
      <w:r>
        <w:t xml:space="preserve">Ulrike Bechmann </w:t>
      </w:r>
      <w:r w:rsidR="000720B9">
        <w:t>offers an</w:t>
      </w:r>
      <w:r>
        <w:t xml:space="preserve"> insightful analysis of the ‘land issue’ in contemporary Israeli/Palestinian politics.</w:t>
      </w:r>
      <w:r>
        <w:rPr>
          <w:rStyle w:val="FootnoteReference"/>
        </w:rPr>
        <w:footnoteReference w:id="16"/>
      </w:r>
      <w:r>
        <w:t xml:space="preserve"> She notes how the founding of Israel in 1948 successfully blurred the distinction between the Biblical Israel and the newly-founded state of Israel, but that at the time, the United Nations support for it was based on European antisemitism, or at least a prevailing sense that </w:t>
      </w:r>
      <w:r w:rsidR="00274D36">
        <w:t xml:space="preserve">Jewish assimilation in Europe would not </w:t>
      </w:r>
      <w:r w:rsidR="00274D36">
        <w:lastRenderedPageBreak/>
        <w:t>be successful. The Torah was referred to in the declaration, but the religious justification for land acquisition only came into full force after the Six Day War of 1967.</w:t>
      </w:r>
      <w:r w:rsidR="00274D36">
        <w:rPr>
          <w:rStyle w:val="FootnoteReference"/>
        </w:rPr>
        <w:footnoteReference w:id="17"/>
      </w:r>
      <w:r w:rsidR="00274D36">
        <w:t xml:space="preserve"> This happened despite the delegitimization of the occupations by the UN</w:t>
      </w:r>
      <w:r w:rsidR="00274D36">
        <w:rPr>
          <w:rStyle w:val="FootnoteReference"/>
        </w:rPr>
        <w:footnoteReference w:id="18"/>
      </w:r>
      <w:r w:rsidR="00274D36">
        <w:t>. Israel led the charge, but with the support of Christian Zionists, touting the authority of Biblical texts, notably the promises to and covenant with Abraham in Genesis.</w:t>
      </w:r>
      <w:r w:rsidR="00274D36">
        <w:rPr>
          <w:rStyle w:val="FootnoteReference"/>
        </w:rPr>
        <w:footnoteReference w:id="19"/>
      </w:r>
      <w:r w:rsidR="00F63D5D">
        <w:t xml:space="preserve"> As Bechmann points out, however, particularly in the original covenant of Genesis 12</w:t>
      </w:r>
      <w:r w:rsidR="00F63D5D">
        <w:rPr>
          <w:rStyle w:val="FootnoteReference"/>
        </w:rPr>
        <w:footnoteReference w:id="20"/>
      </w:r>
      <w:r w:rsidR="00F63D5D">
        <w:t>, the call to Abraham is to a land where God will make him into a great nation</w:t>
      </w:r>
      <w:r w:rsidR="007C7534">
        <w:t xml:space="preserve"> and make his name great: it is not about Abraham’s rule over a foreign land. She backs this up by reference to the modern conception of land ownership, including borders, in contrast to the different culture of the historic period(s) of the Abraham story; and by noting the different perception of exclusive land in Deuteronomy (and Joshua) where she argues that the cause of the Jewish </w:t>
      </w:r>
      <w:r w:rsidR="00A46C63">
        <w:t xml:space="preserve">defeat and </w:t>
      </w:r>
      <w:r w:rsidR="007C7534">
        <w:t>exil</w:t>
      </w:r>
      <w:r w:rsidR="00A46C63">
        <w:t>e</w:t>
      </w:r>
      <w:r w:rsidR="007C7534">
        <w:t xml:space="preserve"> can be </w:t>
      </w:r>
      <w:r w:rsidR="00A46C63">
        <w:t xml:space="preserve">laid at the feet of the Jewish people and their failure to live </w:t>
      </w:r>
      <w:r w:rsidR="0062590A">
        <w:t>‘</w:t>
      </w:r>
      <w:r w:rsidR="00A46C63">
        <w:t>according to the law</w:t>
      </w:r>
      <w:r w:rsidR="0062590A">
        <w:t>’</w:t>
      </w:r>
      <w:r w:rsidR="00A46C63">
        <w:t xml:space="preserve">. The post-exilic conception of land was coupled with </w:t>
      </w:r>
      <w:r w:rsidR="0062590A">
        <w:t>an</w:t>
      </w:r>
      <w:r w:rsidR="00A46C63">
        <w:t xml:space="preserve"> acute sense of ‘land lost.’</w:t>
      </w:r>
      <w:r w:rsidR="00A46C63">
        <w:rPr>
          <w:rStyle w:val="FootnoteReference"/>
        </w:rPr>
        <w:footnoteReference w:id="21"/>
      </w:r>
      <w:r w:rsidR="00A46C63">
        <w:t xml:space="preserve"> The politicized notion of the ‘promised land’ has no one meaning in the Torah, and even within Genesis itself.</w:t>
      </w:r>
      <w:r w:rsidR="00542701">
        <w:t xml:space="preserve"> This point alone presents good reason to doubt the strength of the current land claims of the Israeli settlers, but when coupled with both the many variants of the covenantal promises to Abraham</w:t>
      </w:r>
      <w:r w:rsidR="0011741F">
        <w:t>, and the evident manipulation of said texts for (quite other) contemporary justification, Bergmann’s article is a compelling ‘call to action’</w:t>
      </w:r>
      <w:r w:rsidR="00542701">
        <w:t xml:space="preserve">. </w:t>
      </w:r>
    </w:p>
    <w:p w14:paraId="0A6F14B6" w14:textId="77777777" w:rsidR="00A46C63" w:rsidRDefault="00A46C63"/>
    <w:p w14:paraId="3760D62E" w14:textId="02664A0B" w:rsidR="000E20BD" w:rsidRDefault="0011741F" w:rsidP="000E20BD">
      <w:r>
        <w:t>This</w:t>
      </w:r>
      <w:r w:rsidR="00A46C63">
        <w:t xml:space="preserve"> study offers caution for any reception of Genesis. As </w:t>
      </w:r>
      <w:r>
        <w:t>Bergmann</w:t>
      </w:r>
      <w:r w:rsidR="00A46C63">
        <w:t xml:space="preserve"> notes, the definitive Abraham story (historically and archeologically authorized)</w:t>
      </w:r>
      <w:r w:rsidR="0089644A">
        <w:t xml:space="preserve">, were it ever to be achieved, would not necessarily bring greater comfort or justification for the religious communities that appeal to it. The texts as they </w:t>
      </w:r>
      <w:proofErr w:type="gramStart"/>
      <w:r w:rsidR="0089644A">
        <w:t>are can be</w:t>
      </w:r>
      <w:proofErr w:type="gramEnd"/>
      <w:r w:rsidR="0089644A">
        <w:t xml:space="preserve"> used to justify all manner of moral or political positions. But, in relation to the occupied territories in the Middle East, she is right to </w:t>
      </w:r>
      <w:r>
        <w:t>stress</w:t>
      </w:r>
      <w:r w:rsidR="0089644A">
        <w:t xml:space="preserve"> that </w:t>
      </w:r>
      <w:r w:rsidR="00AC4629">
        <w:t xml:space="preserve">it is not </w:t>
      </w:r>
      <w:r w:rsidR="0089644A">
        <w:t>the story of God’s promise to Abraham</w:t>
      </w:r>
      <w:r w:rsidR="00AC4629">
        <w:t xml:space="preserve"> that</w:t>
      </w:r>
      <w:r>
        <w:t xml:space="preserve"> </w:t>
      </w:r>
      <w:r w:rsidR="0089644A">
        <w:t xml:space="preserve">brought about the conflict, though it may </w:t>
      </w:r>
      <w:r>
        <w:t>appear</w:t>
      </w:r>
      <w:r w:rsidR="0089644A">
        <w:t xml:space="preserve"> to be legitimated by that: it is the preconceptions of </w:t>
      </w:r>
      <w:r w:rsidR="000E20BD">
        <w:t xml:space="preserve">the </w:t>
      </w:r>
      <w:r w:rsidR="0089644A">
        <w:t xml:space="preserve">settlers that </w:t>
      </w:r>
      <w:r w:rsidR="000E20BD">
        <w:t>endorse</w:t>
      </w:r>
      <w:r w:rsidR="0089644A">
        <w:t xml:space="preserve"> the various Jewish and Christian groups. </w:t>
      </w:r>
      <w:r>
        <w:t xml:space="preserve">It is in this respect that she queries the spirit in which the texts in Genesis are read. Do they exist as an example for others to follow? Or (as it perhaps more likely) as an illustration of where hatred and violence may lead (not to mention patriarchalism). </w:t>
      </w:r>
      <w:r w:rsidR="000E20BD">
        <w:t>A way ahead is offered: ‘</w:t>
      </w:r>
      <w:r w:rsidR="000E20BD" w:rsidRPr="000E20BD">
        <w:t>it requires the resistance of all other Christian communities to stand firm against an interpretation that supports oppression and violence in the name of Abraham and God’s promise.</w:t>
      </w:r>
      <w:r w:rsidR="000E20BD">
        <w:t>’</w:t>
      </w:r>
      <w:r w:rsidR="000E20BD">
        <w:rPr>
          <w:rStyle w:val="FootnoteReference"/>
        </w:rPr>
        <w:footnoteReference w:id="22"/>
      </w:r>
      <w:r w:rsidR="000E20BD" w:rsidRPr="000E20BD">
        <w:t xml:space="preserve"> </w:t>
      </w:r>
    </w:p>
    <w:p w14:paraId="2BF0B47B" w14:textId="77777777" w:rsidR="00AC4629" w:rsidRDefault="00AC4629" w:rsidP="000E20BD"/>
    <w:p w14:paraId="17AE2948" w14:textId="56E79C99" w:rsidR="00AC4629" w:rsidRPr="000E20BD" w:rsidRDefault="00AC4629" w:rsidP="000E20BD">
      <w:r>
        <w:t xml:space="preserve">Besides, there is support for a non-violent interpretation of God’s land promise to Abraham. Gary Anderson addresses the question of the invasion of Canaan with the claim backed up by archaeological findings that the Israelite population </w:t>
      </w:r>
      <w:proofErr w:type="gramStart"/>
      <w:r>
        <w:t>actually arose</w:t>
      </w:r>
      <w:proofErr w:type="gramEnd"/>
      <w:r>
        <w:t xml:space="preserve"> from the indigenous population, which makes the stories</w:t>
      </w:r>
      <w:r w:rsidR="0079062B">
        <w:t xml:space="preserve"> ‘after-the-fact literary </w:t>
      </w:r>
      <w:proofErr w:type="gramStart"/>
      <w:r w:rsidR="0079062B">
        <w:lastRenderedPageBreak/>
        <w:t>fictions’</w:t>
      </w:r>
      <w:proofErr w:type="gramEnd"/>
      <w:r w:rsidR="0079062B">
        <w:t>.</w:t>
      </w:r>
      <w:r w:rsidR="0079062B">
        <w:rPr>
          <w:rStyle w:val="FootnoteReference"/>
        </w:rPr>
        <w:footnoteReference w:id="23"/>
      </w:r>
      <w:r w:rsidR="0079062B">
        <w:t xml:space="preserve"> He finds that the ‘elimination of the Canaanites’ was another way of describing the ‘purity of heart’ that Israel owed to the one God (by unsourced reference to Origen.)</w:t>
      </w:r>
      <w:r w:rsidR="0079062B">
        <w:rPr>
          <w:rStyle w:val="FootnoteReference"/>
        </w:rPr>
        <w:footnoteReference w:id="24"/>
      </w:r>
      <w:r w:rsidR="0079062B">
        <w:t xml:space="preserve"> </w:t>
      </w:r>
      <w:r w:rsidR="00F75D86">
        <w:t>By adducing examples of Abraham’s generosity, h</w:t>
      </w:r>
      <w:r w:rsidR="0079062B">
        <w:t xml:space="preserve">e </w:t>
      </w:r>
      <w:r w:rsidR="00F75D86">
        <w:t>claims in conclusion that</w:t>
      </w:r>
      <w:r w:rsidR="0079062B">
        <w:t xml:space="preserve"> ‘The biblical story in its full canonical witness</w:t>
      </w:r>
      <w:r w:rsidR="00F75D86">
        <w:t xml:space="preserve"> does not provide a charter for the stealing of another people’s land.’</w:t>
      </w:r>
      <w:r w:rsidR="00F75D86">
        <w:rPr>
          <w:rStyle w:val="FootnoteReference"/>
        </w:rPr>
        <w:footnoteReference w:id="25"/>
      </w:r>
    </w:p>
    <w:p w14:paraId="5E78D525" w14:textId="19057FED" w:rsidR="0089644A" w:rsidRDefault="0089644A" w:rsidP="0089644A"/>
    <w:p w14:paraId="0E71DF55" w14:textId="77777777" w:rsidR="00F75D86" w:rsidRDefault="00F75D86" w:rsidP="00F75D86">
      <w:r>
        <w:t>Iain Provan’s study of Genesis offers a comprehensive review of the phases of reception history in relation to the first book of the Bible.</w:t>
      </w:r>
      <w:r>
        <w:rPr>
          <w:rStyle w:val="FootnoteReference"/>
        </w:rPr>
        <w:footnoteReference w:id="26"/>
      </w:r>
      <w:r>
        <w:t xml:space="preserve">  He warns against the imposition of our contemporary views on texts that cannot be made to support them.</w:t>
      </w:r>
      <w:r>
        <w:rPr>
          <w:rStyle w:val="FootnoteReference"/>
        </w:rPr>
        <w:footnoteReference w:id="27"/>
      </w:r>
      <w:r>
        <w:t xml:space="preserve"> In this he echoes Moberly (quoted at note 4.)</w:t>
      </w:r>
    </w:p>
    <w:p w14:paraId="3850831F" w14:textId="77777777" w:rsidR="00E95B22" w:rsidRDefault="00E95B22"/>
    <w:p w14:paraId="62854C9E" w14:textId="54BB8ED4" w:rsidR="0085423D" w:rsidRDefault="00EF7F76" w:rsidP="0085423D">
      <w:r>
        <w:t>In the current study, t</w:t>
      </w:r>
      <w:r w:rsidR="00CC3CF5">
        <w:t xml:space="preserve">hree elements </w:t>
      </w:r>
      <w:r w:rsidR="00E95B22">
        <w:t>within</w:t>
      </w:r>
      <w:r w:rsidR="00CC3CF5">
        <w:t xml:space="preserve"> the Abraham story have been selected to demonstrate the </w:t>
      </w:r>
      <w:r w:rsidR="000F7672">
        <w:t>validity</w:t>
      </w:r>
      <w:r w:rsidR="00CC3CF5">
        <w:t xml:space="preserve"> of this. </w:t>
      </w:r>
      <w:r w:rsidR="000D6AB2">
        <w:t xml:space="preserve">It may be noted that Edwin seems unaware that his moral certainty </w:t>
      </w:r>
      <w:r w:rsidR="00C668C2">
        <w:t xml:space="preserve">(nay absolutism) </w:t>
      </w:r>
      <w:r w:rsidR="000D6AB2">
        <w:t>is derived from the culture of our time</w:t>
      </w:r>
      <w:r w:rsidR="00C668C2">
        <w:t>s</w:t>
      </w:r>
      <w:r w:rsidR="000D6AB2">
        <w:t xml:space="preserve">. </w:t>
      </w:r>
      <w:r w:rsidR="00C668C2">
        <w:t>Further h</w:t>
      </w:r>
      <w:r w:rsidR="000D6AB2">
        <w:t>e seems to be deaf to the literary ambition of the writer(s) of Genesis, and what Auerbach</w:t>
      </w:r>
      <w:r w:rsidR="00C668C2">
        <w:t xml:space="preserve"> </w:t>
      </w:r>
      <w:r w:rsidR="000D6AB2">
        <w:t xml:space="preserve">recognizes as the </w:t>
      </w:r>
      <w:r w:rsidR="00C668C2">
        <w:t>moral authority and truthfulness therein.</w:t>
      </w:r>
      <w:r w:rsidR="00C668C2">
        <w:rPr>
          <w:rStyle w:val="FootnoteReference"/>
        </w:rPr>
        <w:footnoteReference w:id="28"/>
      </w:r>
      <w:r w:rsidR="00C668C2">
        <w:t xml:space="preserve"> </w:t>
      </w:r>
      <w:r w:rsidR="00C668C2">
        <w:t xml:space="preserve"> It is Edwin’s </w:t>
      </w:r>
      <w:r w:rsidR="000D6AB2">
        <w:t xml:space="preserve">assumptions </w:t>
      </w:r>
      <w:r w:rsidR="00C668C2">
        <w:t xml:space="preserve">that </w:t>
      </w:r>
      <w:r w:rsidR="000D6AB2">
        <w:t xml:space="preserve">have settled the case </w:t>
      </w:r>
      <w:r>
        <w:t xml:space="preserve">as far as he is concerned </w:t>
      </w:r>
      <w:r w:rsidR="000D6AB2">
        <w:t xml:space="preserve">against </w:t>
      </w:r>
      <w:r>
        <w:t>not only t</w:t>
      </w:r>
      <w:r w:rsidR="000D6AB2">
        <w:t>he moral authority of the Godhead</w:t>
      </w:r>
      <w:r>
        <w:t>, but also its existence</w:t>
      </w:r>
      <w:r w:rsidR="000D6AB2">
        <w:t xml:space="preserve">. </w:t>
      </w:r>
      <w:r w:rsidR="00933463">
        <w:t xml:space="preserve">The studies from a gender perspective </w:t>
      </w:r>
      <w:proofErr w:type="gramStart"/>
      <w:r w:rsidR="00933463">
        <w:t>lead</w:t>
      </w:r>
      <w:proofErr w:type="gramEnd"/>
      <w:r w:rsidR="00933463">
        <w:t xml:space="preserve"> to similar </w:t>
      </w:r>
      <w:r w:rsidR="00F13392">
        <w:t>difficulties</w:t>
      </w:r>
      <w:r w:rsidR="00933463">
        <w:t xml:space="preserve">. </w:t>
      </w:r>
      <w:r w:rsidR="00933463">
        <w:t xml:space="preserve">There is of course much evidence of patriarchalism in the Abraham story, and the absence of the women </w:t>
      </w:r>
      <w:r w:rsidR="00933463">
        <w:t xml:space="preserve">(as noted by Zanne Domoney-Lyttle) </w:t>
      </w:r>
      <w:r w:rsidR="00933463">
        <w:t xml:space="preserve">attest to that. </w:t>
      </w:r>
      <w:r w:rsidR="0085423D">
        <w:t>Haddox offers a counterbalance to the feminist view with her ‘</w:t>
      </w:r>
      <w:proofErr w:type="spellStart"/>
      <w:r w:rsidR="0085423D">
        <w:t>masculist</w:t>
      </w:r>
      <w:proofErr w:type="spellEnd"/>
      <w:r w:rsidR="0085423D">
        <w:t>’ approach.</w:t>
      </w:r>
      <w:proofErr w:type="spellStart"/>
      <w:r w:rsidR="0085423D">
        <w:t xml:space="preserve"> </w:t>
      </w:r>
      <w:proofErr w:type="spellEnd"/>
      <w:r w:rsidR="00F13392">
        <w:t xml:space="preserve">But the wider picture presented by J Cheryl Exum if anything leads to doubt about the validity of </w:t>
      </w:r>
      <w:r w:rsidR="00AC4629">
        <w:t xml:space="preserve">any of </w:t>
      </w:r>
      <w:r w:rsidR="00F13392">
        <w:t>the gender perspective quest: ‘I endeavour… to expose the difficulty the Bible has in justifying women’s subjugation.’</w:t>
      </w:r>
      <w:r w:rsidR="00F13392">
        <w:rPr>
          <w:rStyle w:val="FootnoteReference"/>
        </w:rPr>
        <w:footnoteReference w:id="29"/>
      </w:r>
      <w:r w:rsidR="00F13392">
        <w:t xml:space="preserve"> </w:t>
      </w:r>
      <w:r w:rsidR="004A319C">
        <w:t xml:space="preserve">It </w:t>
      </w:r>
      <w:proofErr w:type="spellStart"/>
      <w:r w:rsidR="004A319C">
        <w:t>wa</w:t>
      </w:r>
      <w:r w:rsidR="004A319C">
        <w:t xml:space="preserve">s </w:t>
      </w:r>
      <w:proofErr w:type="spellEnd"/>
      <w:r w:rsidR="004A319C">
        <w:t xml:space="preserve">feminist critic Mary Daly </w:t>
      </w:r>
      <w:r w:rsidR="004A319C">
        <w:t xml:space="preserve">who </w:t>
      </w:r>
      <w:r w:rsidR="004A319C">
        <w:t>alleged, ‘When god is male the male is god.’</w:t>
      </w:r>
      <w:r w:rsidR="004A319C">
        <w:rPr>
          <w:rStyle w:val="FootnoteReference"/>
        </w:rPr>
        <w:footnoteReference w:id="30"/>
      </w:r>
      <w:r w:rsidR="004A319C">
        <w:t xml:space="preserve"> </w:t>
      </w:r>
      <w:r w:rsidR="004A319C">
        <w:t xml:space="preserve"> </w:t>
      </w:r>
      <w:r w:rsidR="008469AC">
        <w:t>Th</w:t>
      </w:r>
      <w:r w:rsidR="00E95B22">
        <w:t>us th</w:t>
      </w:r>
      <w:r w:rsidR="008469AC">
        <w:t>e overarching question needs to be asked: does gender perspective</w:t>
      </w:r>
      <w:r w:rsidR="004A319C">
        <w:t>,</w:t>
      </w:r>
      <w:r w:rsidR="008469AC">
        <w:t xml:space="preserve"> here evidenced</w:t>
      </w:r>
      <w:r w:rsidR="004A319C">
        <w:t>,</w:t>
      </w:r>
      <w:r w:rsidR="008469AC">
        <w:t xml:space="preserve"> inhibit </w:t>
      </w:r>
      <w:r w:rsidR="0012578C">
        <w:t>our understanding of</w:t>
      </w:r>
      <w:r w:rsidR="008469AC">
        <w:t xml:space="preserve"> God? </w:t>
      </w:r>
      <w:r w:rsidR="004A319C">
        <w:t>Further,</w:t>
      </w:r>
      <w:r w:rsidR="0012578C">
        <w:t xml:space="preserve"> does it subvert a personal relationship with God?</w:t>
      </w:r>
    </w:p>
    <w:p w14:paraId="64078E39" w14:textId="77777777" w:rsidR="00E95B22" w:rsidRDefault="00E95B22" w:rsidP="0085423D"/>
    <w:p w14:paraId="331869C4" w14:textId="5E920C78" w:rsidR="00E95B22" w:rsidRDefault="00E95B22" w:rsidP="0085423D">
      <w:r>
        <w:t>Our final consideration takes us into what is currently little other than a war zone: the predication of political (and military) action on how the Bible may be used to endorse territorial ambitions. Th</w:t>
      </w:r>
      <w:r w:rsidR="0012578C">
        <w:t>e reason this needs to be included in the present discussion is that it illustrates most graphically the real-life effects of ‘pre-conceiving’ the meaning of the Abraham story.</w:t>
      </w:r>
      <w:r w:rsidR="000F7672">
        <w:t xml:space="preserve"> </w:t>
      </w:r>
    </w:p>
    <w:p w14:paraId="558BC06B" w14:textId="77777777" w:rsidR="00F75D86" w:rsidRDefault="00F75D86" w:rsidP="0085423D"/>
    <w:p w14:paraId="39DDD666" w14:textId="07CF5496" w:rsidR="00F75D86" w:rsidRDefault="00F75D86" w:rsidP="00F75D86">
      <w:r>
        <w:lastRenderedPageBreak/>
        <w:t>The quotation ‘His Son not sparing’ comes from a verse of the English language version of the original Swedish hymn ‘O Store Gud’, by missionary Stuart W Hine</w:t>
      </w:r>
      <w:r w:rsidRPr="00F80FE5">
        <w:rPr>
          <w:rStyle w:val="FootnoteReference"/>
          <w:b/>
          <w:bCs/>
        </w:rPr>
        <w:footnoteReference w:id="31"/>
      </w:r>
      <w:r>
        <w:t>: the Son in this case is of course the Son of God. The full couplet reads: ‘</w:t>
      </w:r>
      <w:r w:rsidRPr="00A06934">
        <w:t>And when I think that God, His Son not sparing,</w:t>
      </w:r>
      <w:r>
        <w:t xml:space="preserve"> s</w:t>
      </w:r>
      <w:r w:rsidRPr="00A06934">
        <w:t>ent Him to die, I scarce can take it in</w:t>
      </w:r>
      <w:r>
        <w:t xml:space="preserve">.’ Here there is a sense of God’s mystery suggested by the words, ‘I scarce can take it in.’ </w:t>
      </w:r>
    </w:p>
    <w:p w14:paraId="0D468D58" w14:textId="77777777" w:rsidR="00F75D86" w:rsidRDefault="00F75D86" w:rsidP="00F75D86"/>
    <w:p w14:paraId="581A4AE4" w14:textId="77777777" w:rsidR="00EA7C5B" w:rsidRDefault="00F75D86" w:rsidP="00F75D86">
      <w:r>
        <w:t xml:space="preserve">And this is surely the point about all ‘reception’ of the Bible: what I can scarce take in is a mystery, the ultimate mystery of the Divine. When the morals, culture (gender-based or otherwise) and politics of our time fail to align with those of the past, especially the ancient past, then we have a choice: judge the past, or, in acknowledgment of our own limitations, </w:t>
      </w:r>
      <w:r w:rsidR="00EA7C5B">
        <w:t xml:space="preserve">embrace the mystery. That is why the contrast between the </w:t>
      </w:r>
      <w:proofErr w:type="spellStart"/>
      <w:r w:rsidR="00EA7C5B">
        <w:t>Rublyov</w:t>
      </w:r>
      <w:proofErr w:type="spellEnd"/>
      <w:r w:rsidR="00EA7C5B">
        <w:t xml:space="preserve"> </w:t>
      </w:r>
      <w:proofErr w:type="gramStart"/>
      <w:r w:rsidR="00EA7C5B">
        <w:t>icon</w:t>
      </w:r>
      <w:proofErr w:type="gramEnd"/>
      <w:r w:rsidR="00EA7C5B">
        <w:t xml:space="preserve"> and the Chagall painting is so telling: the latter is a product of its time, doubtless beautiful in its way, but lacking in the kind of timeless mystery of the icon. </w:t>
      </w:r>
    </w:p>
    <w:p w14:paraId="44439B53" w14:textId="77777777" w:rsidR="00EA7C5B" w:rsidRDefault="00EA7C5B" w:rsidP="00F75D86"/>
    <w:p w14:paraId="7E98AB65" w14:textId="03B7FBCD" w:rsidR="00F75D86" w:rsidRDefault="00EA7C5B" w:rsidP="00F75D86">
      <w:r>
        <w:t xml:space="preserve">Where reception of the Bible turns us from God, or turns us to our sexual or gender disposition, or even serves as legitimation for our political misdeeds, then it fails in the singular purpose it is meant to serve: that is to strengthen our faith, and build our relationship with God. </w:t>
      </w:r>
    </w:p>
    <w:p w14:paraId="01BB4193" w14:textId="77777777" w:rsidR="00F75D86" w:rsidRDefault="00F75D86" w:rsidP="00F75D86"/>
    <w:p w14:paraId="573E5FAF" w14:textId="77777777" w:rsidR="00F75D86" w:rsidRDefault="00F75D86" w:rsidP="0085423D"/>
    <w:p w14:paraId="35F4BF2D" w14:textId="77777777" w:rsidR="00682E64" w:rsidRDefault="00682E64"/>
    <w:p w14:paraId="69930ABC" w14:textId="77777777" w:rsidR="00682E64" w:rsidRDefault="00682E64"/>
    <w:p w14:paraId="402EF471" w14:textId="70D57336" w:rsidR="00F80FE5" w:rsidRPr="00F80FE5" w:rsidRDefault="00E6373C">
      <w:r>
        <w:t xml:space="preserve"> </w:t>
      </w:r>
    </w:p>
    <w:sectPr w:rsidR="00F80FE5" w:rsidRPr="00F80F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C74C4" w14:textId="77777777" w:rsidR="005A4584" w:rsidRDefault="005A4584" w:rsidP="00F80FE5">
      <w:r>
        <w:separator/>
      </w:r>
    </w:p>
  </w:endnote>
  <w:endnote w:type="continuationSeparator" w:id="0">
    <w:p w14:paraId="7AAB5884" w14:textId="77777777" w:rsidR="005A4584" w:rsidRDefault="005A4584" w:rsidP="00F80F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D24B3" w14:textId="77777777" w:rsidR="005A4584" w:rsidRDefault="005A4584" w:rsidP="00F80FE5">
      <w:r>
        <w:separator/>
      </w:r>
    </w:p>
  </w:footnote>
  <w:footnote w:type="continuationSeparator" w:id="0">
    <w:p w14:paraId="6EA75084" w14:textId="77777777" w:rsidR="005A4584" w:rsidRDefault="005A4584" w:rsidP="00F80FE5">
      <w:r>
        <w:continuationSeparator/>
      </w:r>
    </w:p>
  </w:footnote>
  <w:footnote w:id="1">
    <w:p w14:paraId="5FF1DD45" w14:textId="77777777" w:rsidR="00A00F2E" w:rsidRDefault="00A00F2E" w:rsidP="00A00F2E">
      <w:pPr>
        <w:pStyle w:val="FootnoteText"/>
      </w:pPr>
      <w:r>
        <w:rPr>
          <w:rStyle w:val="FootnoteReference"/>
        </w:rPr>
        <w:footnoteRef/>
      </w:r>
      <w:r>
        <w:t xml:space="preserve"> ‘I will make you into a great nation, and I will bless you; I will make your name great, and you will be a blessing. I will bless those who bless you, and whoever curses you I will curse; and all peoples on earth will be blessed through you.’ – Genesis Chap. 12, vv. 2-3, NIV</w:t>
      </w:r>
    </w:p>
  </w:footnote>
  <w:footnote w:id="2">
    <w:p w14:paraId="68A45FA8" w14:textId="77777777" w:rsidR="00824CE7" w:rsidRDefault="00824CE7" w:rsidP="00824CE7">
      <w:pPr>
        <w:pStyle w:val="FootnoteText"/>
      </w:pPr>
      <w:r>
        <w:rPr>
          <w:rStyle w:val="FootnoteReference"/>
        </w:rPr>
        <w:footnoteRef/>
      </w:r>
      <w:r>
        <w:t xml:space="preserve"> </w:t>
      </w:r>
      <w:r w:rsidRPr="00764853">
        <w:t>Edwin, Curley, 'The God of Abraham, Isaac, and Jacob', in Michael Bergmann, Michael J. Murray, and Michael C. Rea (eds), </w:t>
      </w:r>
      <w:r w:rsidRPr="00764853">
        <w:rPr>
          <w:i/>
          <w:iCs/>
        </w:rPr>
        <w:t>Divine Evil? The Moral Character of the God of Abraham</w:t>
      </w:r>
      <w:r w:rsidRPr="00764853">
        <w:t xml:space="preserve"> (Oxford, 2010; online </w:t>
      </w:r>
      <w:proofErr w:type="spellStart"/>
      <w:r w:rsidRPr="00764853">
        <w:t>edn</w:t>
      </w:r>
      <w:proofErr w:type="spellEnd"/>
      <w:r w:rsidRPr="00764853">
        <w:t>, Oxford Academic, 1 Jan. 2011).</w:t>
      </w:r>
    </w:p>
  </w:footnote>
  <w:footnote w:id="3">
    <w:p w14:paraId="4C1FE81E" w14:textId="282CBA2C" w:rsidR="00824CE7" w:rsidRDefault="00824CE7">
      <w:pPr>
        <w:pStyle w:val="FootnoteText"/>
      </w:pPr>
      <w:r>
        <w:rPr>
          <w:rStyle w:val="FootnoteReference"/>
        </w:rPr>
        <w:footnoteRef/>
      </w:r>
      <w:r>
        <w:t xml:space="preserve"> Ibid., p. 68.</w:t>
      </w:r>
    </w:p>
  </w:footnote>
  <w:footnote w:id="4">
    <w:p w14:paraId="300A5F1E" w14:textId="0FBBAE4F" w:rsidR="00A65990" w:rsidRDefault="00A65990">
      <w:pPr>
        <w:pStyle w:val="FootnoteText"/>
      </w:pPr>
      <w:r>
        <w:rPr>
          <w:rStyle w:val="FootnoteReference"/>
        </w:rPr>
        <w:footnoteRef/>
      </w:r>
      <w:r>
        <w:t xml:space="preserve"> </w:t>
      </w:r>
      <w:r w:rsidR="0091537D">
        <w:t>Moberly, Walter,</w:t>
      </w:r>
      <w:r w:rsidR="0091537D" w:rsidRPr="0091537D">
        <w:t> </w:t>
      </w:r>
      <w:r w:rsidR="0091537D" w:rsidRPr="0091537D">
        <w:rPr>
          <w:i/>
          <w:iCs/>
        </w:rPr>
        <w:t>The Old Testament of the Old Testament: Patriarchal Narratives and Mosaic Yahwism</w:t>
      </w:r>
      <w:r w:rsidR="0091537D" w:rsidRPr="0091537D">
        <w:t>. Minneapolis: Fortress Press</w:t>
      </w:r>
      <w:r w:rsidR="0091537D">
        <w:t>, 1992), p. 126.</w:t>
      </w:r>
    </w:p>
  </w:footnote>
  <w:footnote w:id="5">
    <w:p w14:paraId="3153D826" w14:textId="77777777" w:rsidR="00824CE7" w:rsidRDefault="00824CE7" w:rsidP="00824CE7">
      <w:pPr>
        <w:pStyle w:val="FootnoteText"/>
      </w:pPr>
      <w:r>
        <w:rPr>
          <w:rStyle w:val="FootnoteReference"/>
        </w:rPr>
        <w:footnoteRef/>
      </w:r>
      <w:r>
        <w:t xml:space="preserve"> </w:t>
      </w:r>
      <w:r w:rsidRPr="00764853">
        <w:t>Inwagen, Peter van, 'Comments on ‘The God of Abraham, Isaac, and Jacob’', in Michael Bergmann, Michael J. Murray, and Michael C. Rea (eds), </w:t>
      </w:r>
      <w:r w:rsidRPr="00764853">
        <w:rPr>
          <w:i/>
          <w:iCs/>
        </w:rPr>
        <w:t>Divine Evil? The Moral Character of the God of Abraham</w:t>
      </w:r>
      <w:r w:rsidRPr="00764853">
        <w:t xml:space="preserve"> (Oxford, 2010; online </w:t>
      </w:r>
      <w:proofErr w:type="spellStart"/>
      <w:r w:rsidRPr="00764853">
        <w:t>edn</w:t>
      </w:r>
      <w:proofErr w:type="spellEnd"/>
      <w:r w:rsidRPr="00764853">
        <w:t>, Oxford Academic, 1 Jan. 2011)</w:t>
      </w:r>
      <w:r>
        <w:t>.</w:t>
      </w:r>
    </w:p>
  </w:footnote>
  <w:footnote w:id="6">
    <w:p w14:paraId="2DC6F707" w14:textId="264B795C" w:rsidR="00F608DD" w:rsidRDefault="0091537D">
      <w:pPr>
        <w:pStyle w:val="FootnoteText"/>
      </w:pPr>
      <w:r>
        <w:rPr>
          <w:rStyle w:val="FootnoteReference"/>
        </w:rPr>
        <w:footnoteRef/>
      </w:r>
      <w:r>
        <w:t xml:space="preserve"> Op. cit., p127</w:t>
      </w:r>
    </w:p>
  </w:footnote>
  <w:footnote w:id="7">
    <w:p w14:paraId="55B5A232" w14:textId="4C1E4DE1" w:rsidR="00F608DD" w:rsidRPr="00F608DD" w:rsidRDefault="00F608DD" w:rsidP="00F608DD">
      <w:pPr>
        <w:pStyle w:val="FootnoteText"/>
      </w:pPr>
      <w:r>
        <w:rPr>
          <w:rStyle w:val="FootnoteReference"/>
        </w:rPr>
        <w:footnoteRef/>
      </w:r>
      <w:r>
        <w:t xml:space="preserve"> Morschauser, Scott N., ‘Seeing you have not withheld your Son’: An Overlooked Motif in Genesis 22? </w:t>
      </w:r>
      <w:r>
        <w:rPr>
          <w:i/>
          <w:iCs/>
        </w:rPr>
        <w:t xml:space="preserve">Journal for the Study of the Old Testament, </w:t>
      </w:r>
      <w:r w:rsidRPr="00F608DD">
        <w:t>45, 3 (2021) pp. 388-406</w:t>
      </w:r>
      <w:r w:rsidRPr="00F608DD">
        <w:t xml:space="preserve"> </w:t>
      </w:r>
    </w:p>
    <w:p w14:paraId="270A22B9" w14:textId="341C2FAE" w:rsidR="00F608DD" w:rsidRDefault="00F608DD">
      <w:pPr>
        <w:pStyle w:val="FootnoteText"/>
      </w:pPr>
    </w:p>
  </w:footnote>
  <w:footnote w:id="8">
    <w:p w14:paraId="41148217" w14:textId="05C54A7F" w:rsidR="00AF3C46" w:rsidRDefault="00AF3C46">
      <w:pPr>
        <w:pStyle w:val="FootnoteText"/>
      </w:pPr>
      <w:r>
        <w:rPr>
          <w:rStyle w:val="FootnoteReference"/>
        </w:rPr>
        <w:footnoteRef/>
      </w:r>
      <w:r>
        <w:t xml:space="preserve"> Isaac is not Abraham’s only son </w:t>
      </w:r>
      <w:proofErr w:type="gramStart"/>
      <w:r>
        <w:t>of course, but</w:t>
      </w:r>
      <w:proofErr w:type="gramEnd"/>
      <w:r>
        <w:t xml:space="preserve"> is peculiarly blessed as the child of his infertile wife Sarah. </w:t>
      </w:r>
    </w:p>
  </w:footnote>
  <w:footnote w:id="9">
    <w:p w14:paraId="10CDCCD1" w14:textId="7CD89B71" w:rsidR="00AF3C46" w:rsidRDefault="00AF3C46">
      <w:pPr>
        <w:pStyle w:val="FootnoteText"/>
      </w:pPr>
      <w:r>
        <w:rPr>
          <w:rStyle w:val="FootnoteReference"/>
        </w:rPr>
        <w:footnoteRef/>
      </w:r>
      <w:r>
        <w:t xml:space="preserve"> </w:t>
      </w:r>
      <w:r>
        <w:t>Genesis</w:t>
      </w:r>
      <w:r>
        <w:t>,</w:t>
      </w:r>
      <w:r>
        <w:t xml:space="preserve"> Chap. 12, vv. 2-3, </w:t>
      </w:r>
      <w:proofErr w:type="gramStart"/>
      <w:r>
        <w:t>NIV</w:t>
      </w:r>
      <w:r>
        <w:t xml:space="preserve">  which</w:t>
      </w:r>
      <w:proofErr w:type="gramEnd"/>
      <w:r>
        <w:t xml:space="preserve"> includes: </w:t>
      </w:r>
      <w:r>
        <w:t>‘I swear…that because you have done this and not withheld your son, your only son, I will surely bless you and make your descendants as numerous as the starts in the sky and as the sand on the seashore. Your descendants will take possession of the cities of their enemies, and through your offspring all nations on earth will be blessed, because you have obeyed me.’</w:t>
      </w:r>
    </w:p>
  </w:footnote>
  <w:footnote w:id="10">
    <w:p w14:paraId="3B3EF606" w14:textId="77777777" w:rsidR="00894E26" w:rsidRDefault="00894E26" w:rsidP="00894E26">
      <w:pPr>
        <w:pStyle w:val="FootnoteText"/>
      </w:pPr>
      <w:r>
        <w:rPr>
          <w:rStyle w:val="FootnoteReference"/>
        </w:rPr>
        <w:footnoteRef/>
      </w:r>
      <w:r>
        <w:t xml:space="preserve"> Domoney-Lyttle, Zanne, ‘Abraham in the Hebrew Bible’, in Sean Adams &amp; Zanne Domoney-Lyttle (eds.), </w:t>
      </w:r>
      <w:r>
        <w:rPr>
          <w:i/>
          <w:iCs/>
        </w:rPr>
        <w:t xml:space="preserve">Abraham in Jewish and Early Christian Literature </w:t>
      </w:r>
      <w:r>
        <w:t xml:space="preserve">(London: T&amp;T Clark, 2019), </w:t>
      </w:r>
    </w:p>
  </w:footnote>
  <w:footnote w:id="11">
    <w:p w14:paraId="0AAA7A1E" w14:textId="77777777" w:rsidR="00A95B22" w:rsidRDefault="00A95B22" w:rsidP="00A95B22">
      <w:pPr>
        <w:pStyle w:val="FootnoteText"/>
      </w:pPr>
      <w:r>
        <w:rPr>
          <w:rStyle w:val="FootnoteReference"/>
        </w:rPr>
        <w:footnoteRef/>
      </w:r>
      <w:r>
        <w:t xml:space="preserve"> Haddox, Susan, </w:t>
      </w:r>
      <w:r w:rsidRPr="0085423D">
        <w:t>‘Favoured Sons and Subordinate Masculinities’, in Creangă, O.</w:t>
      </w:r>
      <w:r>
        <w:t xml:space="preserve"> (ed.)</w:t>
      </w:r>
      <w:r w:rsidRPr="0085423D">
        <w:t xml:space="preserve">, </w:t>
      </w:r>
      <w:r w:rsidRPr="008469AC">
        <w:rPr>
          <w:i/>
          <w:iCs/>
        </w:rPr>
        <w:t xml:space="preserve">Men and Masculinities in the Hebrew Bible and Beyond </w:t>
      </w:r>
      <w:r w:rsidRPr="008469AC">
        <w:t>(The Bible in the Modern World, 33; Sheffield: Sheffield Phoenix</w:t>
      </w:r>
      <w:r>
        <w:t>, 2010</w:t>
      </w:r>
      <w:r w:rsidRPr="008469AC">
        <w:t>)</w:t>
      </w:r>
      <w:r>
        <w:t>, p. 198.</w:t>
      </w:r>
    </w:p>
  </w:footnote>
  <w:footnote w:id="12">
    <w:p w14:paraId="015A9CC8" w14:textId="10A65072" w:rsidR="0070309D" w:rsidRDefault="0070309D">
      <w:pPr>
        <w:pStyle w:val="FootnoteText"/>
      </w:pPr>
      <w:r>
        <w:rPr>
          <w:rStyle w:val="FootnoteReference"/>
        </w:rPr>
        <w:footnoteRef/>
      </w:r>
      <w:r>
        <w:t xml:space="preserve"> </w:t>
      </w:r>
      <w:r>
        <w:t xml:space="preserve">Bogdan G. Bucur, ‘The Early Christian Reception of Genesis 18: From Theophany to Trinitarian Symbolism’, </w:t>
      </w:r>
      <w:r>
        <w:rPr>
          <w:i/>
          <w:iCs/>
        </w:rPr>
        <w:t xml:space="preserve">Journal of Early Christian Studies, </w:t>
      </w:r>
      <w:r>
        <w:t>23:2, p272.</w:t>
      </w:r>
    </w:p>
  </w:footnote>
  <w:footnote w:id="13">
    <w:p w14:paraId="44E547FF" w14:textId="3E61D998" w:rsidR="0070309D" w:rsidRDefault="0070309D">
      <w:pPr>
        <w:pStyle w:val="FootnoteText"/>
      </w:pPr>
      <w:r>
        <w:rPr>
          <w:rStyle w:val="FootnoteReference"/>
        </w:rPr>
        <w:footnoteRef/>
      </w:r>
      <w:r>
        <w:t xml:space="preserve"> Gospel of John, Chapter 8, v</w:t>
      </w:r>
      <w:r w:rsidR="0011287F">
        <w:t>v. 53, 56,</w:t>
      </w:r>
      <w:r>
        <w:t xml:space="preserve"> 58.</w:t>
      </w:r>
      <w:r w:rsidR="0011287F" w:rsidRPr="0011287F">
        <w:t xml:space="preserve"> </w:t>
      </w:r>
      <w:r w:rsidR="0011287F" w:rsidRPr="007D37DD">
        <w:t xml:space="preserve">“before Abraham was, I am . . . Abraham rejoiced that he would see my day; he saw it and was glad . . . before Abraham </w:t>
      </w:r>
      <w:proofErr w:type="gramStart"/>
      <w:r w:rsidR="0011287F" w:rsidRPr="007D37DD">
        <w:t>was</w:t>
      </w:r>
      <w:proofErr w:type="gramEnd"/>
      <w:r w:rsidR="0011287F" w:rsidRPr="007D37DD">
        <w:t xml:space="preserve"> I am”</w:t>
      </w:r>
    </w:p>
  </w:footnote>
  <w:footnote w:id="14">
    <w:p w14:paraId="1E19B023" w14:textId="649917EB" w:rsidR="0011287F" w:rsidRDefault="0011287F">
      <w:pPr>
        <w:pStyle w:val="FootnoteText"/>
      </w:pPr>
      <w:r>
        <w:rPr>
          <w:rStyle w:val="FootnoteReference"/>
        </w:rPr>
        <w:footnoteRef/>
      </w:r>
      <w:r>
        <w:t xml:space="preserve"> </w:t>
      </w:r>
      <w:r>
        <w:t>Haddox quoting</w:t>
      </w:r>
      <w:r>
        <w:t xml:space="preserve"> anthropologist Michael Herzfeld</w:t>
      </w:r>
      <w:r>
        <w:t xml:space="preserve">, </w:t>
      </w:r>
      <w:r w:rsidRPr="0085423D">
        <w:t xml:space="preserve">‘“As in Your Own House”: Hospitality, Ethnography, and the Stereotype of Mediterranean Society’, in Gilmore (ed.) 1987: 75-89. </w:t>
      </w:r>
      <w:r>
        <w:t>‘</w:t>
      </w:r>
      <w:r w:rsidRPr="0085423D">
        <w:t>Hospitality not only shows a man’s generosity, but also his ability to provide not only enough for his own family, but for visitors as well</w:t>
      </w:r>
      <w:r>
        <w:t>’</w:t>
      </w:r>
    </w:p>
  </w:footnote>
  <w:footnote w:id="15">
    <w:p w14:paraId="495FAF8C" w14:textId="08699B63" w:rsidR="000720B9" w:rsidRDefault="000720B9">
      <w:pPr>
        <w:pStyle w:val="FootnoteText"/>
      </w:pPr>
      <w:r>
        <w:rPr>
          <w:rStyle w:val="FootnoteReference"/>
        </w:rPr>
        <w:footnoteRef/>
      </w:r>
      <w:r>
        <w:t xml:space="preserve"> E.g. Genesis, Chapter 15, vv.18-21 </w:t>
      </w:r>
    </w:p>
  </w:footnote>
  <w:footnote w:id="16">
    <w:p w14:paraId="7B372124" w14:textId="6D2F2348" w:rsidR="00824204" w:rsidRDefault="00824204">
      <w:pPr>
        <w:pStyle w:val="FootnoteText"/>
      </w:pPr>
      <w:r>
        <w:rPr>
          <w:rStyle w:val="FootnoteReference"/>
        </w:rPr>
        <w:footnoteRef/>
      </w:r>
      <w:r>
        <w:t xml:space="preserve"> </w:t>
      </w:r>
      <w:r w:rsidRPr="00824204">
        <w:t>Bechmann, U. (2016), Genesis 12 and the Abraham-Paradigm Concerning the Promised Land</w:t>
      </w:r>
      <w:hyperlink r:id="rId1" w:anchor="erev12199-note-0001" w:history="1">
        <w:r w:rsidRPr="00824204">
          <w:rPr>
            <w:rStyle w:val="Hyperlink"/>
            <w:vertAlign w:val="superscript"/>
          </w:rPr>
          <w:t>†</w:t>
        </w:r>
      </w:hyperlink>
      <w:r w:rsidRPr="00824204">
        <w:t>. The Ecumenical Review, 68: 62-80. </w:t>
      </w:r>
      <w:hyperlink r:id="rId2" w:history="1">
        <w:r w:rsidRPr="00824204">
          <w:rPr>
            <w:rStyle w:val="Hyperlink"/>
          </w:rPr>
          <w:t>https://doi.org/10.1111/</w:t>
        </w:r>
        <w:r w:rsidRPr="00824204">
          <w:rPr>
            <w:rStyle w:val="Hyperlink"/>
          </w:rPr>
          <w:t>e</w:t>
        </w:r>
        <w:r w:rsidRPr="00824204">
          <w:rPr>
            <w:rStyle w:val="Hyperlink"/>
          </w:rPr>
          <w:t>rev.12199</w:t>
        </w:r>
      </w:hyperlink>
    </w:p>
  </w:footnote>
  <w:footnote w:id="17">
    <w:p w14:paraId="781B146C" w14:textId="4D628C6B" w:rsidR="00274D36" w:rsidRDefault="00274D36">
      <w:pPr>
        <w:pStyle w:val="FootnoteText"/>
      </w:pPr>
      <w:r>
        <w:rPr>
          <w:rStyle w:val="FootnoteReference"/>
        </w:rPr>
        <w:footnoteRef/>
      </w:r>
      <w:r>
        <w:t xml:space="preserve"> Op cit., p. 64</w:t>
      </w:r>
    </w:p>
  </w:footnote>
  <w:footnote w:id="18">
    <w:p w14:paraId="3BB283DF" w14:textId="377BD884" w:rsidR="00274D36" w:rsidRDefault="00274D36">
      <w:pPr>
        <w:pStyle w:val="FootnoteText"/>
      </w:pPr>
      <w:r>
        <w:rPr>
          <w:rStyle w:val="FootnoteReference"/>
        </w:rPr>
        <w:footnoteRef/>
      </w:r>
      <w:r>
        <w:t xml:space="preserve"> See UN resolution UN 242, in force to this day.</w:t>
      </w:r>
    </w:p>
  </w:footnote>
  <w:footnote w:id="19">
    <w:p w14:paraId="093F07C5" w14:textId="119967F6" w:rsidR="00274D36" w:rsidRDefault="00274D36">
      <w:pPr>
        <w:pStyle w:val="FootnoteText"/>
      </w:pPr>
      <w:r>
        <w:rPr>
          <w:rStyle w:val="FootnoteReference"/>
        </w:rPr>
        <w:footnoteRef/>
      </w:r>
      <w:r>
        <w:t xml:space="preserve"> See</w:t>
      </w:r>
      <w:r w:rsidR="00F63D5D">
        <w:t xml:space="preserve"> </w:t>
      </w:r>
      <w:r w:rsidR="00F63D5D" w:rsidRPr="00F63D5D">
        <w:t>Gen. 1</w:t>
      </w:r>
      <w:r w:rsidR="00F63D5D">
        <w:t>3, vv.</w:t>
      </w:r>
      <w:r w:rsidR="00F63D5D" w:rsidRPr="00F63D5D">
        <w:t>14-18</w:t>
      </w:r>
      <w:r w:rsidR="00F63D5D">
        <w:t xml:space="preserve">, </w:t>
      </w:r>
      <w:r w:rsidR="00F63D5D" w:rsidRPr="00F63D5D">
        <w:t>Gen. 15</w:t>
      </w:r>
      <w:r w:rsidR="00F63D5D">
        <w:t xml:space="preserve">, vv. </w:t>
      </w:r>
      <w:r w:rsidR="00F63D5D" w:rsidRPr="00F63D5D">
        <w:t>13-21</w:t>
      </w:r>
      <w:r w:rsidR="00F63D5D">
        <w:t>, also Gen. 25, NIV</w:t>
      </w:r>
    </w:p>
  </w:footnote>
  <w:footnote w:id="20">
    <w:p w14:paraId="7639D5BB" w14:textId="16E644E5" w:rsidR="00F63D5D" w:rsidRDefault="00F63D5D">
      <w:pPr>
        <w:pStyle w:val="FootnoteText"/>
      </w:pPr>
      <w:r>
        <w:rPr>
          <w:rStyle w:val="FootnoteReference"/>
        </w:rPr>
        <w:footnoteRef/>
      </w:r>
      <w:r>
        <w:t xml:space="preserve"> Gen. 12, </w:t>
      </w:r>
      <w:proofErr w:type="spellStart"/>
      <w:r>
        <w:t>vv</w:t>
      </w:r>
      <w:proofErr w:type="spellEnd"/>
      <w:r>
        <w:t xml:space="preserve"> 2-3</w:t>
      </w:r>
    </w:p>
  </w:footnote>
  <w:footnote w:id="21">
    <w:p w14:paraId="19281EBB" w14:textId="298108CC" w:rsidR="00A46C63" w:rsidRDefault="00A46C63">
      <w:pPr>
        <w:pStyle w:val="FootnoteText"/>
      </w:pPr>
      <w:r>
        <w:rPr>
          <w:rStyle w:val="FootnoteReference"/>
        </w:rPr>
        <w:footnoteRef/>
      </w:r>
      <w:r>
        <w:t xml:space="preserve"> Op. </w:t>
      </w:r>
      <w:proofErr w:type="gramStart"/>
      <w:r>
        <w:t>cit. ,</w:t>
      </w:r>
      <w:proofErr w:type="gramEnd"/>
      <w:r>
        <w:t xml:space="preserve"> p. 76</w:t>
      </w:r>
    </w:p>
  </w:footnote>
  <w:footnote w:id="22">
    <w:p w14:paraId="220F3671" w14:textId="7FA7021D" w:rsidR="000E20BD" w:rsidRDefault="000E20BD">
      <w:pPr>
        <w:pStyle w:val="FootnoteText"/>
      </w:pPr>
      <w:r>
        <w:rPr>
          <w:rStyle w:val="FootnoteReference"/>
        </w:rPr>
        <w:footnoteRef/>
      </w:r>
      <w:r>
        <w:t xml:space="preserve"> Op. cit., p. 80</w:t>
      </w:r>
    </w:p>
  </w:footnote>
  <w:footnote w:id="23">
    <w:p w14:paraId="629E7736" w14:textId="68566024" w:rsidR="0079062B" w:rsidRDefault="0079062B">
      <w:pPr>
        <w:pStyle w:val="FootnoteText"/>
      </w:pPr>
      <w:r>
        <w:rPr>
          <w:rStyle w:val="FootnoteReference"/>
        </w:rPr>
        <w:footnoteRef/>
      </w:r>
      <w:r>
        <w:t xml:space="preserve"> </w:t>
      </w:r>
      <w:r w:rsidRPr="0079062B">
        <w:t>Anderson, Gary A., 'What About the Canaanites?', in Michael Bergmann, Michael J. Murray, and Michael C. Rea (eds), </w:t>
      </w:r>
      <w:r w:rsidRPr="0079062B">
        <w:rPr>
          <w:i/>
          <w:iCs/>
        </w:rPr>
        <w:t>Divine Evil? The Moral Character of the God of Abraham</w:t>
      </w:r>
      <w:r w:rsidRPr="0079062B">
        <w:t xml:space="preserve"> (Oxford, 2010; online </w:t>
      </w:r>
      <w:proofErr w:type="spellStart"/>
      <w:r w:rsidRPr="0079062B">
        <w:t>edn</w:t>
      </w:r>
      <w:proofErr w:type="spellEnd"/>
      <w:r w:rsidRPr="0079062B">
        <w:t>, Oxford Academic, 1 Jan. 2011)</w:t>
      </w:r>
    </w:p>
  </w:footnote>
  <w:footnote w:id="24">
    <w:p w14:paraId="32263EF7" w14:textId="24B3E9AF" w:rsidR="0079062B" w:rsidRDefault="0079062B">
      <w:pPr>
        <w:pStyle w:val="FootnoteText"/>
      </w:pPr>
      <w:r>
        <w:rPr>
          <w:rStyle w:val="FootnoteReference"/>
        </w:rPr>
        <w:footnoteRef/>
      </w:r>
      <w:r>
        <w:t xml:space="preserve"> Ibid.</w:t>
      </w:r>
      <w:r w:rsidR="00F75D86">
        <w:t>,</w:t>
      </w:r>
      <w:r>
        <w:t xml:space="preserve"> p. 272.</w:t>
      </w:r>
    </w:p>
  </w:footnote>
  <w:footnote w:id="25">
    <w:p w14:paraId="2D1DA085" w14:textId="7E4B2ABF" w:rsidR="00F75D86" w:rsidRDefault="00F75D86">
      <w:pPr>
        <w:pStyle w:val="FootnoteText"/>
      </w:pPr>
      <w:r>
        <w:rPr>
          <w:rStyle w:val="FootnoteReference"/>
        </w:rPr>
        <w:footnoteRef/>
      </w:r>
      <w:r>
        <w:t xml:space="preserve"> Ibid., p.282.</w:t>
      </w:r>
    </w:p>
  </w:footnote>
  <w:footnote w:id="26">
    <w:p w14:paraId="41916D10" w14:textId="77777777" w:rsidR="00F75D86" w:rsidRDefault="00F75D86" w:rsidP="00F75D86">
      <w:pPr>
        <w:pStyle w:val="FootnoteText"/>
      </w:pPr>
      <w:r>
        <w:rPr>
          <w:rStyle w:val="FootnoteReference"/>
        </w:rPr>
        <w:footnoteRef/>
      </w:r>
      <w:r>
        <w:t xml:space="preserve"> Iain Provan, </w:t>
      </w:r>
      <w:r>
        <w:rPr>
          <w:i/>
          <w:iCs/>
        </w:rPr>
        <w:t xml:space="preserve">Discovering Genesis (Content, interpretation, </w:t>
      </w:r>
      <w:r w:rsidRPr="00E6373C">
        <w:t>reception</w:t>
      </w:r>
      <w:r>
        <w:t xml:space="preserve"> (London: SPCK, 2015)</w:t>
      </w:r>
    </w:p>
  </w:footnote>
  <w:footnote w:id="27">
    <w:p w14:paraId="0311C699" w14:textId="77777777" w:rsidR="00F75D86" w:rsidRDefault="00F75D86" w:rsidP="00F75D86">
      <w:pPr>
        <w:pStyle w:val="FootnoteText"/>
      </w:pPr>
      <w:r>
        <w:rPr>
          <w:rStyle w:val="FootnoteReference"/>
        </w:rPr>
        <w:footnoteRef/>
      </w:r>
      <w:r>
        <w:t xml:space="preserve"> Ibid, p. 38 ‘…we must always read texts according to the conventions that operated in the culture in which the texts were produced, rather than those in our own.’ </w:t>
      </w:r>
    </w:p>
  </w:footnote>
  <w:footnote w:id="28">
    <w:p w14:paraId="361F30FB" w14:textId="64050396" w:rsidR="00C668C2" w:rsidRPr="00C668C2" w:rsidRDefault="00C668C2" w:rsidP="00C668C2">
      <w:pPr>
        <w:pStyle w:val="FootnoteText"/>
      </w:pPr>
      <w:r>
        <w:rPr>
          <w:rStyle w:val="FootnoteReference"/>
        </w:rPr>
        <w:footnoteRef/>
      </w:r>
      <w:r>
        <w:t xml:space="preserve"> Erich Auerbach, </w:t>
      </w:r>
      <w:r>
        <w:rPr>
          <w:i/>
          <w:iCs/>
        </w:rPr>
        <w:t>Mimesis</w:t>
      </w:r>
      <w:r>
        <w:t xml:space="preserve"> (Princeton: Princeton University Press, 1991), p.14</w:t>
      </w:r>
      <w:r>
        <w:t>: ‘The Biblical narrator was obliged to write exactly what his belief in the tradition… demanded of him.’</w:t>
      </w:r>
    </w:p>
  </w:footnote>
  <w:footnote w:id="29">
    <w:p w14:paraId="7C017992" w14:textId="009A8E12" w:rsidR="00F13392" w:rsidRDefault="00F13392">
      <w:pPr>
        <w:pStyle w:val="FootnoteText"/>
      </w:pPr>
      <w:r>
        <w:rPr>
          <w:rStyle w:val="FootnoteReference"/>
        </w:rPr>
        <w:footnoteRef/>
      </w:r>
      <w:r>
        <w:t xml:space="preserve"> </w:t>
      </w:r>
      <w:r w:rsidRPr="00F13392">
        <w:t>Exum, J. Cheryl, 'Feminist Study of the Old Testament', in A. D. H. Mayes (ed.), </w:t>
      </w:r>
      <w:r w:rsidRPr="00F13392">
        <w:rPr>
          <w:i/>
          <w:iCs/>
        </w:rPr>
        <w:t>Text in Context: Essays by Members of the Society for Old Testament Study</w:t>
      </w:r>
      <w:r w:rsidRPr="00F13392">
        <w:t xml:space="preserve"> (Oxford, 2000; online </w:t>
      </w:r>
      <w:proofErr w:type="spellStart"/>
      <w:r w:rsidRPr="00F13392">
        <w:t>edn</w:t>
      </w:r>
      <w:proofErr w:type="spellEnd"/>
      <w:r w:rsidRPr="00F13392">
        <w:t>, Oxford Academic, 7 Apr. 2004)</w:t>
      </w:r>
      <w:r>
        <w:t>, p. 97.</w:t>
      </w:r>
    </w:p>
  </w:footnote>
  <w:footnote w:id="30">
    <w:p w14:paraId="1466ACE6" w14:textId="77777777" w:rsidR="004A319C" w:rsidRDefault="004A319C" w:rsidP="004A319C">
      <w:pPr>
        <w:pStyle w:val="FootnoteText"/>
      </w:pPr>
      <w:r>
        <w:rPr>
          <w:rStyle w:val="FootnoteReference"/>
        </w:rPr>
        <w:footnoteRef/>
      </w:r>
      <w:r>
        <w:t xml:space="preserve"> Quoted in Iain Provan, </w:t>
      </w:r>
      <w:r>
        <w:rPr>
          <w:i/>
          <w:iCs/>
        </w:rPr>
        <w:t xml:space="preserve">Discovering Genesis (Content, interpretation, </w:t>
      </w:r>
      <w:r w:rsidRPr="00E6373C">
        <w:t>reception</w:t>
      </w:r>
      <w:r>
        <w:t xml:space="preserve"> (London: SPCK, 2015), p.47.</w:t>
      </w:r>
    </w:p>
  </w:footnote>
  <w:footnote w:id="31">
    <w:p w14:paraId="31F1758B" w14:textId="77777777" w:rsidR="00F75D86" w:rsidRDefault="00F75D86" w:rsidP="00F75D86">
      <w:pPr>
        <w:pStyle w:val="FootnoteText"/>
      </w:pPr>
      <w:r>
        <w:rPr>
          <w:rStyle w:val="FootnoteReference"/>
        </w:rPr>
        <w:footnoteRef/>
      </w:r>
      <w:r>
        <w:t xml:space="preserve"> From verse 3 of the Stuart K Hine version of the Swedish hymn </w:t>
      </w:r>
      <w:r w:rsidRPr="00F80FE5">
        <w:t>"</w:t>
      </w:r>
      <w:r w:rsidRPr="00F80FE5">
        <w:rPr>
          <w:lang w:val="sv-SE"/>
        </w:rPr>
        <w:t>O Store Gud</w:t>
      </w:r>
      <w:r w:rsidRPr="00F80FE5">
        <w:t xml:space="preserve">" written in 1885 by the Swedish poet and </w:t>
      </w:r>
      <w:r>
        <w:t>minister Carl Boberg</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5B045B"/>
    <w:multiLevelType w:val="multilevel"/>
    <w:tmpl w:val="84E4BB64"/>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3B5ECB"/>
    <w:multiLevelType w:val="multilevel"/>
    <w:tmpl w:val="CBB8C936"/>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0171945">
    <w:abstractNumId w:val="0"/>
  </w:num>
  <w:num w:numId="2" w16cid:durableId="1694574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742"/>
    <w:rsid w:val="000720B9"/>
    <w:rsid w:val="000B58B9"/>
    <w:rsid w:val="000D6AB2"/>
    <w:rsid w:val="000E20BD"/>
    <w:rsid w:val="000F7672"/>
    <w:rsid w:val="0011287F"/>
    <w:rsid w:val="0011741F"/>
    <w:rsid w:val="0012578C"/>
    <w:rsid w:val="00140742"/>
    <w:rsid w:val="001A7419"/>
    <w:rsid w:val="00274D36"/>
    <w:rsid w:val="0028297E"/>
    <w:rsid w:val="00284C51"/>
    <w:rsid w:val="00477A1D"/>
    <w:rsid w:val="004A319C"/>
    <w:rsid w:val="00542701"/>
    <w:rsid w:val="005501D7"/>
    <w:rsid w:val="005908C5"/>
    <w:rsid w:val="005A4584"/>
    <w:rsid w:val="005A5C59"/>
    <w:rsid w:val="005A6F53"/>
    <w:rsid w:val="005F7DAB"/>
    <w:rsid w:val="0062590A"/>
    <w:rsid w:val="00682E64"/>
    <w:rsid w:val="0070309D"/>
    <w:rsid w:val="00764853"/>
    <w:rsid w:val="0079062B"/>
    <w:rsid w:val="007C7534"/>
    <w:rsid w:val="007D37DD"/>
    <w:rsid w:val="007E0965"/>
    <w:rsid w:val="00824204"/>
    <w:rsid w:val="00824CE7"/>
    <w:rsid w:val="008469AC"/>
    <w:rsid w:val="0085423D"/>
    <w:rsid w:val="00872873"/>
    <w:rsid w:val="00894E26"/>
    <w:rsid w:val="0089644A"/>
    <w:rsid w:val="00902235"/>
    <w:rsid w:val="0091537D"/>
    <w:rsid w:val="00933463"/>
    <w:rsid w:val="009651A4"/>
    <w:rsid w:val="00A00F2E"/>
    <w:rsid w:val="00A06934"/>
    <w:rsid w:val="00A46C63"/>
    <w:rsid w:val="00A65990"/>
    <w:rsid w:val="00A95B22"/>
    <w:rsid w:val="00AC4629"/>
    <w:rsid w:val="00AF3C46"/>
    <w:rsid w:val="00BD6C71"/>
    <w:rsid w:val="00C668C2"/>
    <w:rsid w:val="00C71367"/>
    <w:rsid w:val="00CC3CF5"/>
    <w:rsid w:val="00CF669D"/>
    <w:rsid w:val="00D40BB0"/>
    <w:rsid w:val="00D67F54"/>
    <w:rsid w:val="00E104ED"/>
    <w:rsid w:val="00E6373C"/>
    <w:rsid w:val="00E95B22"/>
    <w:rsid w:val="00EA7C5B"/>
    <w:rsid w:val="00EF7F76"/>
    <w:rsid w:val="00F13392"/>
    <w:rsid w:val="00F505AB"/>
    <w:rsid w:val="00F608DD"/>
    <w:rsid w:val="00F63D5D"/>
    <w:rsid w:val="00F75D86"/>
    <w:rsid w:val="00F80FE5"/>
    <w:rsid w:val="00F90B87"/>
    <w:rsid w:val="00FF4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CFB40D"/>
  <w15:chartTrackingRefBased/>
  <w15:docId w15:val="{D6385A5E-B334-0E4F-802C-328B451EB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7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07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07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07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07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074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74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74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74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7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07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07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07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07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07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7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7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742"/>
    <w:rPr>
      <w:rFonts w:eastAsiaTheme="majorEastAsia" w:cstheme="majorBidi"/>
      <w:color w:val="272727" w:themeColor="text1" w:themeTint="D8"/>
    </w:rPr>
  </w:style>
  <w:style w:type="paragraph" w:styleId="Title">
    <w:name w:val="Title"/>
    <w:basedOn w:val="Normal"/>
    <w:next w:val="Normal"/>
    <w:link w:val="TitleChar"/>
    <w:uiPriority w:val="10"/>
    <w:qFormat/>
    <w:rsid w:val="0014074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7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74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7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74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40742"/>
    <w:rPr>
      <w:i/>
      <w:iCs/>
      <w:color w:val="404040" w:themeColor="text1" w:themeTint="BF"/>
    </w:rPr>
  </w:style>
  <w:style w:type="paragraph" w:styleId="ListParagraph">
    <w:name w:val="List Paragraph"/>
    <w:basedOn w:val="Normal"/>
    <w:uiPriority w:val="34"/>
    <w:qFormat/>
    <w:rsid w:val="00140742"/>
    <w:pPr>
      <w:ind w:left="720"/>
      <w:contextualSpacing/>
    </w:pPr>
  </w:style>
  <w:style w:type="character" w:styleId="IntenseEmphasis">
    <w:name w:val="Intense Emphasis"/>
    <w:basedOn w:val="DefaultParagraphFont"/>
    <w:uiPriority w:val="21"/>
    <w:qFormat/>
    <w:rsid w:val="00140742"/>
    <w:rPr>
      <w:i/>
      <w:iCs/>
      <w:color w:val="0F4761" w:themeColor="accent1" w:themeShade="BF"/>
    </w:rPr>
  </w:style>
  <w:style w:type="paragraph" w:styleId="IntenseQuote">
    <w:name w:val="Intense Quote"/>
    <w:basedOn w:val="Normal"/>
    <w:next w:val="Normal"/>
    <w:link w:val="IntenseQuoteChar"/>
    <w:uiPriority w:val="30"/>
    <w:qFormat/>
    <w:rsid w:val="001407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0742"/>
    <w:rPr>
      <w:i/>
      <w:iCs/>
      <w:color w:val="0F4761" w:themeColor="accent1" w:themeShade="BF"/>
    </w:rPr>
  </w:style>
  <w:style w:type="character" w:styleId="IntenseReference">
    <w:name w:val="Intense Reference"/>
    <w:basedOn w:val="DefaultParagraphFont"/>
    <w:uiPriority w:val="32"/>
    <w:qFormat/>
    <w:rsid w:val="00140742"/>
    <w:rPr>
      <w:b/>
      <w:bCs/>
      <w:smallCaps/>
      <w:color w:val="0F4761" w:themeColor="accent1" w:themeShade="BF"/>
      <w:spacing w:val="5"/>
    </w:rPr>
  </w:style>
  <w:style w:type="paragraph" w:styleId="FootnoteText">
    <w:name w:val="footnote text"/>
    <w:basedOn w:val="Normal"/>
    <w:link w:val="FootnoteTextChar"/>
    <w:uiPriority w:val="99"/>
    <w:semiHidden/>
    <w:unhideWhenUsed/>
    <w:rsid w:val="00F80FE5"/>
    <w:rPr>
      <w:sz w:val="20"/>
      <w:szCs w:val="20"/>
    </w:rPr>
  </w:style>
  <w:style w:type="character" w:customStyle="1" w:styleId="FootnoteTextChar">
    <w:name w:val="Footnote Text Char"/>
    <w:basedOn w:val="DefaultParagraphFont"/>
    <w:link w:val="FootnoteText"/>
    <w:uiPriority w:val="99"/>
    <w:semiHidden/>
    <w:rsid w:val="00F80FE5"/>
    <w:rPr>
      <w:sz w:val="20"/>
      <w:szCs w:val="20"/>
    </w:rPr>
  </w:style>
  <w:style w:type="character" w:styleId="FootnoteReference">
    <w:name w:val="footnote reference"/>
    <w:basedOn w:val="DefaultParagraphFont"/>
    <w:uiPriority w:val="99"/>
    <w:semiHidden/>
    <w:unhideWhenUsed/>
    <w:rsid w:val="00F80FE5"/>
    <w:rPr>
      <w:vertAlign w:val="superscript"/>
    </w:rPr>
  </w:style>
  <w:style w:type="character" w:styleId="Hyperlink">
    <w:name w:val="Hyperlink"/>
    <w:basedOn w:val="DefaultParagraphFont"/>
    <w:uiPriority w:val="99"/>
    <w:unhideWhenUsed/>
    <w:rsid w:val="00F80FE5"/>
    <w:rPr>
      <w:color w:val="467886" w:themeColor="hyperlink"/>
      <w:u w:val="single"/>
    </w:rPr>
  </w:style>
  <w:style w:type="character" w:styleId="UnresolvedMention">
    <w:name w:val="Unresolved Mention"/>
    <w:basedOn w:val="DefaultParagraphFont"/>
    <w:uiPriority w:val="99"/>
    <w:semiHidden/>
    <w:unhideWhenUsed/>
    <w:rsid w:val="00F80FE5"/>
    <w:rPr>
      <w:color w:val="605E5C"/>
      <w:shd w:val="clear" w:color="auto" w:fill="E1DFDD"/>
    </w:rPr>
  </w:style>
  <w:style w:type="character" w:styleId="FollowedHyperlink">
    <w:name w:val="FollowedHyperlink"/>
    <w:basedOn w:val="DefaultParagraphFont"/>
    <w:uiPriority w:val="99"/>
    <w:semiHidden/>
    <w:unhideWhenUsed/>
    <w:rsid w:val="00824204"/>
    <w:rPr>
      <w:color w:val="96607D" w:themeColor="followedHyperlink"/>
      <w:u w:val="single"/>
    </w:rPr>
  </w:style>
  <w:style w:type="paragraph" w:styleId="NormalWeb">
    <w:name w:val="Normal (Web)"/>
    <w:basedOn w:val="Normal"/>
    <w:uiPriority w:val="99"/>
    <w:semiHidden/>
    <w:unhideWhenUsed/>
    <w:rsid w:val="00F63D5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2" Type="http://schemas.openxmlformats.org/officeDocument/2006/relationships/hyperlink" Target="https://doi.org/10.1111/erev.12199" TargetMode="External"/><Relationship Id="rId1" Type="http://schemas.openxmlformats.org/officeDocument/2006/relationships/hyperlink" Target="https://onlinelibrary.wiley.com/action/showCitFormats?doi=10.1111%2Ferev.12199&amp;mobileUi=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F2BA5C-A4D5-D04E-BADA-A3A766ADE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479</TotalTime>
  <Pages>7</Pages>
  <Words>2131</Words>
  <Characters>12148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Young</dc:creator>
  <cp:keywords/>
  <dc:description/>
  <cp:lastModifiedBy>Patrick Young</cp:lastModifiedBy>
  <cp:revision>7</cp:revision>
  <dcterms:created xsi:type="dcterms:W3CDTF">2025-12-05T10:21:00Z</dcterms:created>
  <dcterms:modified xsi:type="dcterms:W3CDTF">2025-12-05T23:30:00Z</dcterms:modified>
</cp:coreProperties>
</file>