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FDD2C" w14:textId="77777777" w:rsidR="00B15683" w:rsidRDefault="007F1FB9">
      <w:pPr>
        <w:pBdr>
          <w:top w:val="nil"/>
          <w:left w:val="nil"/>
          <w:bottom w:val="nil"/>
          <w:right w:val="nil"/>
          <w:between w:val="nil"/>
        </w:pBdr>
        <w:spacing w:before="1540" w:after="240"/>
        <w:jc w:val="center"/>
        <w:rPr>
          <w:color w:val="5B9BD5"/>
          <w:sz w:val="22"/>
          <w:szCs w:val="22"/>
        </w:rPr>
      </w:pPr>
      <w:r>
        <w:rPr>
          <w:noProof/>
          <w:color w:val="5B9BD5"/>
          <w:sz w:val="22"/>
          <w:szCs w:val="22"/>
        </w:rPr>
        <w:drawing>
          <wp:inline distT="0" distB="0" distL="0" distR="0" wp14:anchorId="774B2AF4" wp14:editId="19BBD3F8">
            <wp:extent cx="1417320" cy="750898"/>
            <wp:effectExtent l="0" t="0" r="0" b="0"/>
            <wp:docPr id="14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417320" cy="750898"/>
                    </a:xfrm>
                    <a:prstGeom prst="rect">
                      <a:avLst/>
                    </a:prstGeom>
                    <a:ln/>
                  </pic:spPr>
                </pic:pic>
              </a:graphicData>
            </a:graphic>
          </wp:inline>
        </w:drawing>
      </w:r>
    </w:p>
    <w:p w14:paraId="402B3E30" w14:textId="541F72C1" w:rsidR="00B82AEC" w:rsidRDefault="00E4002F">
      <w:pPr>
        <w:pBdr>
          <w:top w:val="nil"/>
          <w:left w:val="nil"/>
          <w:bottom w:val="nil"/>
          <w:right w:val="nil"/>
          <w:between w:val="nil"/>
        </w:pBdr>
        <w:spacing w:after="0"/>
        <w:jc w:val="center"/>
        <w:rPr>
          <w:smallCaps/>
          <w:color w:val="5B9BD5"/>
          <w:sz w:val="72"/>
          <w:szCs w:val="72"/>
        </w:rPr>
      </w:pPr>
      <w:r>
        <w:rPr>
          <w:smallCaps/>
          <w:color w:val="5B9BD5"/>
          <w:sz w:val="72"/>
          <w:szCs w:val="72"/>
        </w:rPr>
        <w:t>Marriott International Inc</w:t>
      </w:r>
    </w:p>
    <w:p w14:paraId="675EC97D" w14:textId="77777777" w:rsidR="00B15683" w:rsidRDefault="007F1FB9">
      <w:pPr>
        <w:pBdr>
          <w:top w:val="nil"/>
          <w:left w:val="nil"/>
          <w:bottom w:val="nil"/>
          <w:right w:val="nil"/>
          <w:between w:val="nil"/>
        </w:pBdr>
        <w:spacing w:before="480" w:after="0"/>
        <w:jc w:val="center"/>
        <w:rPr>
          <w:color w:val="5B9BD5"/>
          <w:sz w:val="22"/>
          <w:szCs w:val="22"/>
        </w:rPr>
      </w:pPr>
      <w:r>
        <w:rPr>
          <w:noProof/>
          <w:color w:val="5B9BD5"/>
          <w:sz w:val="22"/>
          <w:szCs w:val="22"/>
        </w:rPr>
        <mc:AlternateContent>
          <mc:Choice Requires="wps">
            <w:drawing>
              <wp:anchor distT="0" distB="0" distL="114300" distR="114300" simplePos="0" relativeHeight="251658240" behindDoc="0" locked="0" layoutInCell="1" hidden="0" allowOverlap="1" wp14:anchorId="55BF9859" wp14:editId="32448492">
                <wp:simplePos x="0" y="0"/>
                <wp:positionH relativeFrom="margin">
                  <wp:align>center</wp:align>
                </wp:positionH>
                <wp:positionV relativeFrom="page">
                  <wp:posOffset>9083358</wp:posOffset>
                </wp:positionV>
                <wp:extent cx="6562725" cy="567309"/>
                <wp:effectExtent l="0" t="0" r="0" b="0"/>
                <wp:wrapNone/>
                <wp:docPr id="145" name="Rectangle 145"/>
                <wp:cNvGraphicFramePr/>
                <a:graphic xmlns:a="http://schemas.openxmlformats.org/drawingml/2006/main">
                  <a:graphicData uri="http://schemas.microsoft.com/office/word/2010/wordprocessingShape">
                    <wps:wsp>
                      <wps:cNvSpPr/>
                      <wps:spPr>
                        <a:xfrm>
                          <a:off x="2069400" y="3501108"/>
                          <a:ext cx="6553200" cy="557784"/>
                        </a:xfrm>
                        <a:prstGeom prst="rect">
                          <a:avLst/>
                        </a:prstGeom>
                        <a:noFill/>
                        <a:ln>
                          <a:noFill/>
                        </a:ln>
                      </wps:spPr>
                      <wps:txbx>
                        <w:txbxContent>
                          <w:p w14:paraId="09DA43E6" w14:textId="77777777" w:rsidR="00B15683" w:rsidRDefault="007F1FB9">
                            <w:pPr>
                              <w:spacing w:after="0" w:line="240" w:lineRule="auto"/>
                              <w:jc w:val="center"/>
                              <w:textDirection w:val="btLr"/>
                            </w:pPr>
                            <w:r>
                              <w:rPr>
                                <w:rFonts w:ascii="Arial" w:eastAsia="Arial" w:hAnsi="Arial" w:cs="Arial"/>
                                <w:smallCaps/>
                                <w:color w:val="5B9BD5"/>
                                <w:sz w:val="28"/>
                              </w:rPr>
                              <w:t>UNIVERSITY OF WALES TRINITY SAINT DAVID</w:t>
                            </w:r>
                          </w:p>
                          <w:p w14:paraId="156B7EE3" w14:textId="77777777" w:rsidR="00B15683" w:rsidRDefault="007F1FB9">
                            <w:pPr>
                              <w:spacing w:after="0" w:line="240" w:lineRule="auto"/>
                              <w:jc w:val="center"/>
                              <w:textDirection w:val="btLr"/>
                            </w:pPr>
                            <w:r>
                              <w:rPr>
                                <w:rFonts w:ascii="Arial" w:eastAsia="Arial" w:hAnsi="Arial" w:cs="Arial"/>
                                <w:color w:val="5B9BD5"/>
                                <w:sz w:val="28"/>
                              </w:rPr>
                              <w:t xml:space="preserve">     </w:t>
                            </w:r>
                          </w:p>
                        </w:txbxContent>
                      </wps:txbx>
                      <wps:bodyPr spcFirstLastPara="1" wrap="square" lIns="0" tIns="0" rIns="0" bIns="0" anchor="b" anchorCtr="0">
                        <a:noAutofit/>
                      </wps:bodyPr>
                    </wps:wsp>
                  </a:graphicData>
                </a:graphic>
              </wp:anchor>
            </w:drawing>
          </mc:Choice>
          <mc:Fallback>
            <w:pict>
              <v:rect w14:anchorId="55BF9859" id="Rectangle 145" o:spid="_x0000_s1026" style="position:absolute;left:0;text-align:left;margin-left:0;margin-top:715.25pt;width:516.75pt;height:44.65pt;z-index:251658240;visibility:visible;mso-wrap-style:square;mso-wrap-distance-left:9pt;mso-wrap-distance-top:0;mso-wrap-distance-right:9pt;mso-wrap-distance-bottom:0;mso-position-horizontal:center;mso-position-horizontal-relative:margin;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" filled="f" stroked="f">
                <v:textbox inset="0,0,0,0">
                  <w:txbxContent>
                    <w:p w14:paraId="09DA43E6" w14:textId="77777777" w:rsidR="00B15683" w:rsidRDefault="00000000">
                      <w:pPr>
                        <w:spacing w:after="0" w:line="240" w:lineRule="auto"/>
                        <w:jc w:val="center"/>
                        <w:textDirection w:val="btLr"/>
                      </w:pPr>
                      <w:r>
                        <w:rPr>
                          <w:rFonts w:ascii="Arial" w:eastAsia="Arial" w:hAnsi="Arial" w:cs="Arial"/>
                          <w:smallCaps/>
                          <w:color w:val="5B9BD5"/>
                          <w:sz w:val="28"/>
                        </w:rPr>
                        <w:t>UNIVERSITY OF WALES TRINITY SAINT DAVID</w:t>
                      </w:r>
                    </w:p>
                    <w:p w14:paraId="156B7EE3" w14:textId="77777777" w:rsidR="00B15683" w:rsidRDefault="00000000">
                      <w:pPr>
                        <w:spacing w:after="0" w:line="240" w:lineRule="auto"/>
                        <w:jc w:val="center"/>
                        <w:textDirection w:val="btLr"/>
                      </w:pPr>
                      <w:r>
                        <w:rPr>
                          <w:rFonts w:ascii="Arial" w:eastAsia="Arial" w:hAnsi="Arial" w:cs="Arial"/>
                          <w:color w:val="5B9BD5"/>
                          <w:sz w:val="28"/>
                        </w:rPr>
                        <w:t xml:space="preserve">     </w:t>
                      </w:r>
                    </w:p>
                  </w:txbxContent>
                </v:textbox>
                <w10:wrap anchorx="margin" anchory="page"/>
              </v:rect>
            </w:pict>
          </mc:Fallback>
        </mc:AlternateContent>
      </w:r>
      <w:r>
        <w:rPr>
          <w:noProof/>
          <w:color w:val="5B9BD5"/>
          <w:sz w:val="22"/>
          <w:szCs w:val="22"/>
        </w:rPr>
        <w:drawing>
          <wp:inline distT="0" distB="0" distL="0" distR="0" wp14:anchorId="099EA0A5" wp14:editId="258597FC">
            <wp:extent cx="758952" cy="478932"/>
            <wp:effectExtent l="0" t="0" r="0" b="0"/>
            <wp:docPr id="14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758952" cy="478932"/>
                    </a:xfrm>
                    <a:prstGeom prst="rect">
                      <a:avLst/>
                    </a:prstGeom>
                    <a:ln/>
                  </pic:spPr>
                </pic:pic>
              </a:graphicData>
            </a:graphic>
          </wp:inline>
        </w:drawing>
      </w:r>
    </w:p>
    <w:p w14:paraId="04294297" w14:textId="77777777" w:rsidR="007F0B50" w:rsidRDefault="00E4002F" w:rsidP="007F0B50">
      <w:pPr>
        <w:pBdr>
          <w:top w:val="nil"/>
          <w:left w:val="nil"/>
          <w:bottom w:val="nil"/>
          <w:right w:val="nil"/>
          <w:between w:val="nil"/>
        </w:pBdr>
        <w:spacing w:after="0" w:line="240" w:lineRule="auto"/>
        <w:jc w:val="center"/>
        <w:rPr>
          <w:color w:val="5B9BD5"/>
          <w:sz w:val="22"/>
          <w:szCs w:val="22"/>
        </w:rPr>
      </w:pPr>
      <w:r>
        <w:rPr>
          <w:color w:val="5B9BD5"/>
          <w:sz w:val="22"/>
          <w:szCs w:val="22"/>
        </w:rPr>
        <w:t>Student Name:Viorica Albu</w:t>
      </w:r>
    </w:p>
    <w:p w14:paraId="56FB96AF" w14:textId="297EE523" w:rsidR="00BA502C" w:rsidRDefault="00E4002F" w:rsidP="007F0B50">
      <w:pPr>
        <w:pBdr>
          <w:top w:val="nil"/>
          <w:left w:val="nil"/>
          <w:bottom w:val="nil"/>
          <w:right w:val="nil"/>
          <w:between w:val="nil"/>
        </w:pBdr>
        <w:spacing w:after="0" w:line="240" w:lineRule="auto"/>
        <w:jc w:val="center"/>
        <w:rPr>
          <w:color w:val="5B9BD5"/>
          <w:sz w:val="22"/>
          <w:szCs w:val="22"/>
        </w:rPr>
      </w:pPr>
      <w:r>
        <w:rPr>
          <w:color w:val="5B9BD5"/>
          <w:sz w:val="22"/>
          <w:szCs w:val="22"/>
        </w:rPr>
        <w:t>Student Code: 2029976</w:t>
      </w:r>
    </w:p>
    <w:p w14:paraId="2CEAAB89" w14:textId="1987871E" w:rsidR="007F0B50" w:rsidRDefault="007F0B50" w:rsidP="007F0B50">
      <w:pPr>
        <w:pBdr>
          <w:top w:val="nil"/>
          <w:left w:val="nil"/>
          <w:bottom w:val="nil"/>
          <w:right w:val="nil"/>
          <w:between w:val="nil"/>
        </w:pBdr>
        <w:spacing w:after="0" w:line="240" w:lineRule="auto"/>
        <w:jc w:val="center"/>
        <w:rPr>
          <w:color w:val="5B9BD5"/>
          <w:sz w:val="22"/>
          <w:szCs w:val="22"/>
        </w:rPr>
      </w:pPr>
      <w:r>
        <w:rPr>
          <w:color w:val="5B9BD5"/>
          <w:sz w:val="22"/>
          <w:szCs w:val="22"/>
        </w:rPr>
        <w:t xml:space="preserve">Module Name: Financial </w:t>
      </w:r>
      <w:r w:rsidR="001134C8">
        <w:rPr>
          <w:color w:val="5B9BD5"/>
          <w:sz w:val="22"/>
          <w:szCs w:val="22"/>
        </w:rPr>
        <w:t>Management for the Hotel Industry</w:t>
      </w:r>
    </w:p>
    <w:p w14:paraId="4FC949D5" w14:textId="033964EC" w:rsidR="001134C8" w:rsidRDefault="001134C8" w:rsidP="007F0B50">
      <w:pPr>
        <w:pBdr>
          <w:top w:val="nil"/>
          <w:left w:val="nil"/>
          <w:bottom w:val="nil"/>
          <w:right w:val="nil"/>
          <w:between w:val="nil"/>
        </w:pBdr>
        <w:spacing w:after="0" w:line="240" w:lineRule="auto"/>
        <w:jc w:val="center"/>
        <w:rPr>
          <w:color w:val="5B9BD5"/>
          <w:sz w:val="22"/>
          <w:szCs w:val="22"/>
        </w:rPr>
      </w:pPr>
      <w:r>
        <w:rPr>
          <w:color w:val="5B9BD5"/>
          <w:sz w:val="22"/>
          <w:szCs w:val="22"/>
        </w:rPr>
        <w:t>Module Code</w:t>
      </w:r>
      <w:r w:rsidR="00B71488">
        <w:rPr>
          <w:color w:val="5B9BD5"/>
          <w:sz w:val="22"/>
          <w:szCs w:val="22"/>
        </w:rPr>
        <w:t>:BMIH5007</w:t>
      </w:r>
    </w:p>
    <w:p w14:paraId="201D03FE" w14:textId="4F44B84A" w:rsidR="00B71488" w:rsidRDefault="00B71488" w:rsidP="007F0B50">
      <w:pPr>
        <w:pBdr>
          <w:top w:val="nil"/>
          <w:left w:val="nil"/>
          <w:bottom w:val="nil"/>
          <w:right w:val="nil"/>
          <w:between w:val="nil"/>
        </w:pBdr>
        <w:spacing w:after="0" w:line="240" w:lineRule="auto"/>
        <w:jc w:val="center"/>
        <w:rPr>
          <w:color w:val="5B9BD5"/>
          <w:sz w:val="22"/>
          <w:szCs w:val="22"/>
        </w:rPr>
      </w:pPr>
      <w:r>
        <w:rPr>
          <w:color w:val="5B9BD5"/>
          <w:sz w:val="22"/>
          <w:szCs w:val="22"/>
        </w:rPr>
        <w:t>Lecturer’s Name: Christopher Wilkin</w:t>
      </w:r>
    </w:p>
    <w:p w14:paraId="029285FC" w14:textId="77777777" w:rsidR="00E4002F" w:rsidRDefault="00E4002F" w:rsidP="00B82AEC">
      <w:pPr>
        <w:pStyle w:val="Heading1"/>
        <w:jc w:val="center"/>
      </w:pPr>
    </w:p>
    <w:p w14:paraId="3A64AE41" w14:textId="55824B60" w:rsidR="00B15683" w:rsidRPr="00C957A1" w:rsidRDefault="007F1FB9" w:rsidP="00B82AEC">
      <w:pPr>
        <w:pStyle w:val="Heading1"/>
        <w:jc w:val="center"/>
        <w:rPr>
          <w:rFonts w:eastAsia="Times New Roman" w:cs="Times New Roman"/>
        </w:rPr>
      </w:pPr>
      <w:r w:rsidRPr="00C957A1">
        <w:br w:type="page"/>
      </w:r>
      <w:bookmarkStart w:id="0" w:name="_Toc121259766"/>
      <w:r w:rsidRPr="00C957A1">
        <w:rPr>
          <w:rFonts w:eastAsia="Times New Roman" w:cs="Times New Roman"/>
        </w:rPr>
        <w:lastRenderedPageBreak/>
        <w:t>Executive Summary</w:t>
      </w:r>
      <w:bookmarkEnd w:id="0"/>
    </w:p>
    <w:p w14:paraId="437DD864" w14:textId="6E9573DE" w:rsidR="00B15683" w:rsidRDefault="007F1FB9">
      <w:r>
        <w:t xml:space="preserve">Ratio analysis is </w:t>
      </w:r>
      <w:r w:rsidR="00975097">
        <w:t xml:space="preserve">considered as an effective </w:t>
      </w:r>
      <w:r>
        <w:t xml:space="preserve">tool </w:t>
      </w:r>
      <w:r w:rsidR="00975097">
        <w:t xml:space="preserve">that is </w:t>
      </w:r>
      <w:r>
        <w:t>used by</w:t>
      </w:r>
      <w:r w:rsidR="00975097">
        <w:t xml:space="preserve"> the organisation</w:t>
      </w:r>
      <w:r>
        <w:t xml:space="preserve"> to conduct a quantitative analysis of </w:t>
      </w:r>
      <w:r w:rsidR="00C957A1">
        <w:t xml:space="preserve">data that is presented </w:t>
      </w:r>
      <w:r>
        <w:t xml:space="preserve">in a company's financial statements. </w:t>
      </w:r>
      <w:r w:rsidR="00C957A1">
        <w:t>With the help of ratio analysis, the evaluation of a range of a</w:t>
      </w:r>
      <w:r>
        <w:t>spects of a company</w:t>
      </w:r>
      <w:r w:rsidR="00C957A1">
        <w:t xml:space="preserve"> can be done in terms of</w:t>
      </w:r>
      <w:r>
        <w:t xml:space="preserve"> financial performance, such as </w:t>
      </w:r>
      <w:r w:rsidR="00C957A1">
        <w:t>“</w:t>
      </w:r>
      <w:r>
        <w:t>its profitability, liquidity, and solvency</w:t>
      </w:r>
      <w:r w:rsidR="00C957A1">
        <w:t>”</w:t>
      </w:r>
      <w:r>
        <w:t xml:space="preserve">. Ratios can also be </w:t>
      </w:r>
      <w:r w:rsidR="00C957A1">
        <w:t>implemented to effectively</w:t>
      </w:r>
      <w:r>
        <w:t xml:space="preserve"> compare a company's financial performance to that of its industry peers or to t</w:t>
      </w:r>
      <w:r>
        <w:t>he performance of the overall stock market.</w:t>
      </w:r>
      <w:r w:rsidR="00B82AEC">
        <w:t xml:space="preserve"> The report has presented the ratio analysis of Marriott International. </w:t>
      </w:r>
    </w:p>
    <w:p w14:paraId="4DE359EE" w14:textId="77777777" w:rsidR="00B15683" w:rsidRDefault="00B15683"/>
    <w:p w14:paraId="25FDE4FE" w14:textId="77777777" w:rsidR="00B15683" w:rsidRDefault="00B15683"/>
    <w:p w14:paraId="18469C79" w14:textId="77777777" w:rsidR="00B15683" w:rsidRDefault="00B15683"/>
    <w:p w14:paraId="67ED8A46" w14:textId="77777777" w:rsidR="00B15683" w:rsidRDefault="00B15683"/>
    <w:p w14:paraId="1EDE81BD" w14:textId="77777777" w:rsidR="00B15683" w:rsidRDefault="00B15683"/>
    <w:p w14:paraId="5923EF20" w14:textId="77777777" w:rsidR="00B15683" w:rsidRDefault="00B15683"/>
    <w:p w14:paraId="529972B2" w14:textId="77777777" w:rsidR="00B15683" w:rsidRDefault="00B15683"/>
    <w:p w14:paraId="63D1E8DC" w14:textId="77777777" w:rsidR="00B15683" w:rsidRDefault="00B15683"/>
    <w:p w14:paraId="06DF23BB" w14:textId="77777777" w:rsidR="00B15683" w:rsidRDefault="00B15683"/>
    <w:p w14:paraId="396A6E50" w14:textId="77777777" w:rsidR="00B15683" w:rsidRDefault="00B15683"/>
    <w:p w14:paraId="4316C170" w14:textId="77777777" w:rsidR="00B15683" w:rsidRDefault="00B15683"/>
    <w:p w14:paraId="5B07BF60" w14:textId="77777777" w:rsidR="00B15683" w:rsidRDefault="00B15683"/>
    <w:p w14:paraId="5345AFF9" w14:textId="77777777" w:rsidR="00B15683" w:rsidRDefault="00B15683"/>
    <w:p w14:paraId="337CC517" w14:textId="77777777" w:rsidR="00B15683" w:rsidRDefault="00B15683"/>
    <w:p w14:paraId="54A1D0D5" w14:textId="77777777" w:rsidR="00B15683" w:rsidRDefault="00B15683"/>
    <w:p w14:paraId="5ED54E2C" w14:textId="77777777" w:rsidR="00B15683" w:rsidRDefault="00B15683"/>
    <w:p w14:paraId="3824E32C" w14:textId="77777777" w:rsidR="00B15683" w:rsidRDefault="00B15683"/>
    <w:p w14:paraId="75B954E1" w14:textId="77777777" w:rsidR="00B15683" w:rsidRDefault="00B15683"/>
    <w:p w14:paraId="61FA2863" w14:textId="77777777" w:rsidR="00B15683" w:rsidRDefault="00B15683"/>
    <w:p w14:paraId="54EC370E" w14:textId="77777777" w:rsidR="00B15683" w:rsidRPr="00B82AEC" w:rsidRDefault="007F1FB9" w:rsidP="00B82AEC">
      <w:pPr>
        <w:keepNext/>
        <w:keepLines/>
        <w:pBdr>
          <w:top w:val="nil"/>
          <w:left w:val="nil"/>
          <w:bottom w:val="nil"/>
          <w:right w:val="nil"/>
          <w:between w:val="nil"/>
        </w:pBdr>
        <w:spacing w:before="240" w:after="0"/>
        <w:jc w:val="center"/>
        <w:rPr>
          <w:b/>
          <w:bCs/>
          <w:color w:val="auto"/>
          <w:sz w:val="32"/>
          <w:szCs w:val="32"/>
        </w:rPr>
      </w:pPr>
      <w:r w:rsidRPr="00B82AEC">
        <w:rPr>
          <w:b/>
          <w:bCs/>
          <w:color w:val="auto"/>
          <w:sz w:val="32"/>
          <w:szCs w:val="32"/>
        </w:rPr>
        <w:t>Table of Contents</w:t>
      </w:r>
    </w:p>
    <w:sdt>
      <w:sdtPr>
        <w:id w:val="-1295526249"/>
        <w:docPartObj>
          <w:docPartGallery w:val="Table of Contents"/>
          <w:docPartUnique/>
        </w:docPartObj>
      </w:sdtPr>
      <w:sdtEndPr/>
      <w:sdtContent>
        <w:p w14:paraId="203EBB0B" w14:textId="51A951A0" w:rsidR="00B82AEC" w:rsidRDefault="007F1FB9">
          <w:pPr>
            <w:pStyle w:val="TOC1"/>
            <w:tabs>
              <w:tab w:val="right" w:pos="9016"/>
            </w:tabs>
            <w:rPr>
              <w:rFonts w:asciiTheme="minorHAnsi" w:eastAsiaTheme="minorEastAsia" w:hAnsiTheme="minorHAnsi" w:cs="Vrinda"/>
              <w:noProof/>
              <w:color w:val="auto"/>
              <w:sz w:val="22"/>
              <w:szCs w:val="28"/>
              <w:lang w:val="en-US"/>
            </w:rPr>
          </w:pPr>
          <w:r>
            <w:fldChar w:fldCharType="begin"/>
          </w:r>
          <w:r>
            <w:instrText xml:space="preserve"> TOC \h \u \z </w:instrText>
          </w:r>
          <w:r>
            <w:fldChar w:fldCharType="separate"/>
          </w:r>
          <w:hyperlink w:anchor="_Toc121259766" w:history="1">
            <w:r w:rsidR="00B82AEC" w:rsidRPr="00F323D2">
              <w:rPr>
                <w:rStyle w:val="Hyperlink"/>
                <w:b/>
                <w:bCs/>
                <w:noProof/>
              </w:rPr>
              <w:t>Executive Summary</w:t>
            </w:r>
            <w:r w:rsidR="00B82AEC">
              <w:rPr>
                <w:noProof/>
                <w:webHidden/>
              </w:rPr>
              <w:tab/>
            </w:r>
            <w:r w:rsidR="00B82AEC">
              <w:rPr>
                <w:noProof/>
                <w:webHidden/>
              </w:rPr>
              <w:fldChar w:fldCharType="begin"/>
            </w:r>
            <w:r w:rsidR="00B82AEC">
              <w:rPr>
                <w:noProof/>
                <w:webHidden/>
              </w:rPr>
              <w:instrText xml:space="preserve"> PAGEREF _Toc121259766 \h </w:instrText>
            </w:r>
            <w:r w:rsidR="00B82AEC">
              <w:rPr>
                <w:noProof/>
                <w:webHidden/>
              </w:rPr>
            </w:r>
            <w:r w:rsidR="00B82AEC">
              <w:rPr>
                <w:noProof/>
                <w:webHidden/>
              </w:rPr>
              <w:fldChar w:fldCharType="separate"/>
            </w:r>
            <w:r w:rsidR="00B82AEC">
              <w:rPr>
                <w:noProof/>
                <w:webHidden/>
              </w:rPr>
              <w:t>1</w:t>
            </w:r>
            <w:r w:rsidR="00B82AEC">
              <w:rPr>
                <w:noProof/>
                <w:webHidden/>
              </w:rPr>
              <w:fldChar w:fldCharType="end"/>
            </w:r>
          </w:hyperlink>
        </w:p>
        <w:p w14:paraId="219A55BC" w14:textId="35DD23F8" w:rsidR="00B82AEC" w:rsidRDefault="007F1FB9">
          <w:pPr>
            <w:pStyle w:val="TOC1"/>
            <w:tabs>
              <w:tab w:val="right" w:pos="9016"/>
            </w:tabs>
            <w:rPr>
              <w:rFonts w:asciiTheme="minorHAnsi" w:eastAsiaTheme="minorEastAsia" w:hAnsiTheme="minorHAnsi" w:cs="Vrinda"/>
              <w:noProof/>
              <w:color w:val="auto"/>
              <w:sz w:val="22"/>
              <w:szCs w:val="28"/>
              <w:lang w:val="en-US"/>
            </w:rPr>
          </w:pPr>
          <w:hyperlink w:anchor="_Toc121259767" w:history="1">
            <w:r w:rsidR="00B82AEC" w:rsidRPr="00F323D2">
              <w:rPr>
                <w:rStyle w:val="Hyperlink"/>
                <w:noProof/>
              </w:rPr>
              <w:t>Introduction</w:t>
            </w:r>
            <w:r w:rsidR="00B82AEC">
              <w:rPr>
                <w:noProof/>
                <w:webHidden/>
              </w:rPr>
              <w:tab/>
            </w:r>
            <w:r w:rsidR="00B82AEC">
              <w:rPr>
                <w:noProof/>
                <w:webHidden/>
              </w:rPr>
              <w:fldChar w:fldCharType="begin"/>
            </w:r>
            <w:r w:rsidR="00B82AEC">
              <w:rPr>
                <w:noProof/>
                <w:webHidden/>
              </w:rPr>
              <w:instrText xml:space="preserve"> PAGEREF _Toc121259767 \h </w:instrText>
            </w:r>
            <w:r w:rsidR="00B82AEC">
              <w:rPr>
                <w:noProof/>
                <w:webHidden/>
              </w:rPr>
            </w:r>
            <w:r w:rsidR="00B82AEC">
              <w:rPr>
                <w:noProof/>
                <w:webHidden/>
              </w:rPr>
              <w:fldChar w:fldCharType="separate"/>
            </w:r>
            <w:r w:rsidR="00B82AEC">
              <w:rPr>
                <w:noProof/>
                <w:webHidden/>
              </w:rPr>
              <w:t>2</w:t>
            </w:r>
            <w:r w:rsidR="00B82AEC">
              <w:rPr>
                <w:noProof/>
                <w:webHidden/>
              </w:rPr>
              <w:fldChar w:fldCharType="end"/>
            </w:r>
          </w:hyperlink>
        </w:p>
        <w:p w14:paraId="38D7E4BD" w14:textId="55926D4B" w:rsidR="00B82AEC" w:rsidRDefault="007F1FB9">
          <w:pPr>
            <w:pStyle w:val="TOC1"/>
            <w:tabs>
              <w:tab w:val="right" w:pos="9016"/>
            </w:tabs>
            <w:rPr>
              <w:rFonts w:asciiTheme="minorHAnsi" w:eastAsiaTheme="minorEastAsia" w:hAnsiTheme="minorHAnsi" w:cs="Vrinda"/>
              <w:noProof/>
              <w:color w:val="auto"/>
              <w:sz w:val="22"/>
              <w:szCs w:val="28"/>
              <w:lang w:val="en-US"/>
            </w:rPr>
          </w:pPr>
          <w:hyperlink w:anchor="_Toc121259768" w:history="1">
            <w:r w:rsidR="00B82AEC" w:rsidRPr="00F323D2">
              <w:rPr>
                <w:rStyle w:val="Hyperlink"/>
                <w:noProof/>
              </w:rPr>
              <w:t>Financial Analysis Trends</w:t>
            </w:r>
            <w:r w:rsidR="00B82AEC">
              <w:rPr>
                <w:noProof/>
                <w:webHidden/>
              </w:rPr>
              <w:tab/>
            </w:r>
            <w:r w:rsidR="00B82AEC">
              <w:rPr>
                <w:noProof/>
                <w:webHidden/>
              </w:rPr>
              <w:fldChar w:fldCharType="begin"/>
            </w:r>
            <w:r w:rsidR="00B82AEC">
              <w:rPr>
                <w:noProof/>
                <w:webHidden/>
              </w:rPr>
              <w:instrText xml:space="preserve"> PAGEREF _Toc121259768 \h </w:instrText>
            </w:r>
            <w:r w:rsidR="00B82AEC">
              <w:rPr>
                <w:noProof/>
                <w:webHidden/>
              </w:rPr>
            </w:r>
            <w:r w:rsidR="00B82AEC">
              <w:rPr>
                <w:noProof/>
                <w:webHidden/>
              </w:rPr>
              <w:fldChar w:fldCharType="separate"/>
            </w:r>
            <w:r w:rsidR="00B82AEC">
              <w:rPr>
                <w:noProof/>
                <w:webHidden/>
              </w:rPr>
              <w:t>3</w:t>
            </w:r>
            <w:r w:rsidR="00B82AEC">
              <w:rPr>
                <w:noProof/>
                <w:webHidden/>
              </w:rPr>
              <w:fldChar w:fldCharType="end"/>
            </w:r>
          </w:hyperlink>
        </w:p>
        <w:p w14:paraId="4D6EFF86" w14:textId="2F57B4F5" w:rsidR="00B82AEC" w:rsidRDefault="007F1FB9">
          <w:pPr>
            <w:pStyle w:val="TOC2"/>
            <w:tabs>
              <w:tab w:val="right" w:pos="9016"/>
            </w:tabs>
            <w:rPr>
              <w:rFonts w:asciiTheme="minorHAnsi" w:eastAsiaTheme="minorEastAsia" w:hAnsiTheme="minorHAnsi" w:cs="Vrinda"/>
              <w:noProof/>
              <w:color w:val="auto"/>
              <w:sz w:val="22"/>
              <w:szCs w:val="28"/>
              <w:lang w:val="en-US"/>
            </w:rPr>
          </w:pPr>
          <w:hyperlink w:anchor="_Toc121259769" w:history="1">
            <w:r w:rsidR="00B82AEC" w:rsidRPr="00F323D2">
              <w:rPr>
                <w:rStyle w:val="Hyperlink"/>
                <w:noProof/>
              </w:rPr>
              <w:t>Profitability</w:t>
            </w:r>
            <w:r w:rsidR="00B82AEC">
              <w:rPr>
                <w:noProof/>
                <w:webHidden/>
              </w:rPr>
              <w:tab/>
            </w:r>
            <w:r w:rsidR="00B82AEC">
              <w:rPr>
                <w:noProof/>
                <w:webHidden/>
              </w:rPr>
              <w:fldChar w:fldCharType="begin"/>
            </w:r>
            <w:r w:rsidR="00B82AEC">
              <w:rPr>
                <w:noProof/>
                <w:webHidden/>
              </w:rPr>
              <w:instrText xml:space="preserve"> PAGEREF _Toc121259769 \h </w:instrText>
            </w:r>
            <w:r w:rsidR="00B82AEC">
              <w:rPr>
                <w:noProof/>
                <w:webHidden/>
              </w:rPr>
            </w:r>
            <w:r w:rsidR="00B82AEC">
              <w:rPr>
                <w:noProof/>
                <w:webHidden/>
              </w:rPr>
              <w:fldChar w:fldCharType="separate"/>
            </w:r>
            <w:r w:rsidR="00B82AEC">
              <w:rPr>
                <w:noProof/>
                <w:webHidden/>
              </w:rPr>
              <w:t>4</w:t>
            </w:r>
            <w:r w:rsidR="00B82AEC">
              <w:rPr>
                <w:noProof/>
                <w:webHidden/>
              </w:rPr>
              <w:fldChar w:fldCharType="end"/>
            </w:r>
          </w:hyperlink>
        </w:p>
        <w:p w14:paraId="364DA1DB" w14:textId="50BDE8EA" w:rsidR="00B82AEC" w:rsidRDefault="007F1FB9">
          <w:pPr>
            <w:pStyle w:val="TOC2"/>
            <w:tabs>
              <w:tab w:val="right" w:pos="9016"/>
            </w:tabs>
            <w:rPr>
              <w:rFonts w:asciiTheme="minorHAnsi" w:eastAsiaTheme="minorEastAsia" w:hAnsiTheme="minorHAnsi" w:cs="Vrinda"/>
              <w:noProof/>
              <w:color w:val="auto"/>
              <w:sz w:val="22"/>
              <w:szCs w:val="28"/>
              <w:lang w:val="en-US"/>
            </w:rPr>
          </w:pPr>
          <w:hyperlink w:anchor="_Toc121259770" w:history="1">
            <w:r w:rsidR="00B82AEC" w:rsidRPr="00F323D2">
              <w:rPr>
                <w:rStyle w:val="Hyperlink"/>
                <w:noProof/>
              </w:rPr>
              <w:t>Liquidity</w:t>
            </w:r>
            <w:r w:rsidR="00B82AEC">
              <w:rPr>
                <w:noProof/>
                <w:webHidden/>
              </w:rPr>
              <w:tab/>
            </w:r>
            <w:r w:rsidR="00B82AEC">
              <w:rPr>
                <w:noProof/>
                <w:webHidden/>
              </w:rPr>
              <w:fldChar w:fldCharType="begin"/>
            </w:r>
            <w:r w:rsidR="00B82AEC">
              <w:rPr>
                <w:noProof/>
                <w:webHidden/>
              </w:rPr>
              <w:instrText xml:space="preserve"> PAGEREF _Toc121259770 \h </w:instrText>
            </w:r>
            <w:r w:rsidR="00B82AEC">
              <w:rPr>
                <w:noProof/>
                <w:webHidden/>
              </w:rPr>
            </w:r>
            <w:r w:rsidR="00B82AEC">
              <w:rPr>
                <w:noProof/>
                <w:webHidden/>
              </w:rPr>
              <w:fldChar w:fldCharType="separate"/>
            </w:r>
            <w:r w:rsidR="00B82AEC">
              <w:rPr>
                <w:noProof/>
                <w:webHidden/>
              </w:rPr>
              <w:t>5</w:t>
            </w:r>
            <w:r w:rsidR="00B82AEC">
              <w:rPr>
                <w:noProof/>
                <w:webHidden/>
              </w:rPr>
              <w:fldChar w:fldCharType="end"/>
            </w:r>
          </w:hyperlink>
        </w:p>
        <w:p w14:paraId="5B4710CB" w14:textId="3E8B6178" w:rsidR="00B82AEC" w:rsidRDefault="007F1FB9">
          <w:pPr>
            <w:pStyle w:val="TOC2"/>
            <w:tabs>
              <w:tab w:val="right" w:pos="9016"/>
            </w:tabs>
            <w:rPr>
              <w:rFonts w:asciiTheme="minorHAnsi" w:eastAsiaTheme="minorEastAsia" w:hAnsiTheme="minorHAnsi" w:cs="Vrinda"/>
              <w:noProof/>
              <w:color w:val="auto"/>
              <w:sz w:val="22"/>
              <w:szCs w:val="28"/>
              <w:lang w:val="en-US"/>
            </w:rPr>
          </w:pPr>
          <w:hyperlink w:anchor="_Toc121259771" w:history="1">
            <w:r w:rsidR="00B82AEC" w:rsidRPr="00F323D2">
              <w:rPr>
                <w:rStyle w:val="Hyperlink"/>
                <w:noProof/>
              </w:rPr>
              <w:t>Gearing</w:t>
            </w:r>
            <w:r w:rsidR="00B82AEC">
              <w:rPr>
                <w:noProof/>
                <w:webHidden/>
              </w:rPr>
              <w:tab/>
            </w:r>
            <w:r w:rsidR="00B82AEC">
              <w:rPr>
                <w:noProof/>
                <w:webHidden/>
              </w:rPr>
              <w:fldChar w:fldCharType="begin"/>
            </w:r>
            <w:r w:rsidR="00B82AEC">
              <w:rPr>
                <w:noProof/>
                <w:webHidden/>
              </w:rPr>
              <w:instrText xml:space="preserve"> PAGEREF _Toc121259771 \h </w:instrText>
            </w:r>
            <w:r w:rsidR="00B82AEC">
              <w:rPr>
                <w:noProof/>
                <w:webHidden/>
              </w:rPr>
            </w:r>
            <w:r w:rsidR="00B82AEC">
              <w:rPr>
                <w:noProof/>
                <w:webHidden/>
              </w:rPr>
              <w:fldChar w:fldCharType="separate"/>
            </w:r>
            <w:r w:rsidR="00B82AEC">
              <w:rPr>
                <w:noProof/>
                <w:webHidden/>
              </w:rPr>
              <w:t>6</w:t>
            </w:r>
            <w:r w:rsidR="00B82AEC">
              <w:rPr>
                <w:noProof/>
                <w:webHidden/>
              </w:rPr>
              <w:fldChar w:fldCharType="end"/>
            </w:r>
          </w:hyperlink>
        </w:p>
        <w:p w14:paraId="505C2B77" w14:textId="7E5C2412" w:rsidR="00B82AEC" w:rsidRDefault="007F1FB9">
          <w:pPr>
            <w:pStyle w:val="TOC1"/>
            <w:tabs>
              <w:tab w:val="right" w:pos="9016"/>
            </w:tabs>
            <w:rPr>
              <w:rFonts w:asciiTheme="minorHAnsi" w:eastAsiaTheme="minorEastAsia" w:hAnsiTheme="minorHAnsi" w:cs="Vrinda"/>
              <w:noProof/>
              <w:color w:val="auto"/>
              <w:sz w:val="22"/>
              <w:szCs w:val="28"/>
              <w:lang w:val="en-US"/>
            </w:rPr>
          </w:pPr>
          <w:hyperlink w:anchor="_Toc121259772" w:history="1">
            <w:r w:rsidR="00B82AEC" w:rsidRPr="00F323D2">
              <w:rPr>
                <w:rStyle w:val="Hyperlink"/>
                <w:noProof/>
              </w:rPr>
              <w:t>Knowledge from Ratio Analysis</w:t>
            </w:r>
            <w:r w:rsidR="00B82AEC">
              <w:rPr>
                <w:noProof/>
                <w:webHidden/>
              </w:rPr>
              <w:tab/>
            </w:r>
            <w:r w:rsidR="00B82AEC">
              <w:rPr>
                <w:noProof/>
                <w:webHidden/>
              </w:rPr>
              <w:fldChar w:fldCharType="begin"/>
            </w:r>
            <w:r w:rsidR="00B82AEC">
              <w:rPr>
                <w:noProof/>
                <w:webHidden/>
              </w:rPr>
              <w:instrText xml:space="preserve"> PAGEREF _Toc121259772 \h </w:instrText>
            </w:r>
            <w:r w:rsidR="00B82AEC">
              <w:rPr>
                <w:noProof/>
                <w:webHidden/>
              </w:rPr>
            </w:r>
            <w:r w:rsidR="00B82AEC">
              <w:rPr>
                <w:noProof/>
                <w:webHidden/>
              </w:rPr>
              <w:fldChar w:fldCharType="separate"/>
            </w:r>
            <w:r w:rsidR="00B82AEC">
              <w:rPr>
                <w:noProof/>
                <w:webHidden/>
              </w:rPr>
              <w:t>7</w:t>
            </w:r>
            <w:r w:rsidR="00B82AEC">
              <w:rPr>
                <w:noProof/>
                <w:webHidden/>
              </w:rPr>
              <w:fldChar w:fldCharType="end"/>
            </w:r>
          </w:hyperlink>
        </w:p>
        <w:p w14:paraId="7AFC4766" w14:textId="404F781C" w:rsidR="00B82AEC" w:rsidRDefault="007F1FB9">
          <w:pPr>
            <w:pStyle w:val="TOC1"/>
            <w:tabs>
              <w:tab w:val="right" w:pos="9016"/>
            </w:tabs>
            <w:rPr>
              <w:rFonts w:asciiTheme="minorHAnsi" w:eastAsiaTheme="minorEastAsia" w:hAnsiTheme="minorHAnsi" w:cs="Vrinda"/>
              <w:noProof/>
              <w:color w:val="auto"/>
              <w:sz w:val="22"/>
              <w:szCs w:val="28"/>
              <w:lang w:val="en-US"/>
            </w:rPr>
          </w:pPr>
          <w:hyperlink w:anchor="_Toc121259773" w:history="1">
            <w:r w:rsidR="00B82AEC" w:rsidRPr="00F323D2">
              <w:rPr>
                <w:rStyle w:val="Hyperlink"/>
                <w:noProof/>
              </w:rPr>
              <w:t>Benefits and Limitations of Ratio Analysis</w:t>
            </w:r>
            <w:r w:rsidR="00B82AEC">
              <w:rPr>
                <w:noProof/>
                <w:webHidden/>
              </w:rPr>
              <w:tab/>
            </w:r>
            <w:r w:rsidR="00B82AEC">
              <w:rPr>
                <w:noProof/>
                <w:webHidden/>
              </w:rPr>
              <w:fldChar w:fldCharType="begin"/>
            </w:r>
            <w:r w:rsidR="00B82AEC">
              <w:rPr>
                <w:noProof/>
                <w:webHidden/>
              </w:rPr>
              <w:instrText xml:space="preserve"> PAGEREF _Toc121259773 \h </w:instrText>
            </w:r>
            <w:r w:rsidR="00B82AEC">
              <w:rPr>
                <w:noProof/>
                <w:webHidden/>
              </w:rPr>
            </w:r>
            <w:r w:rsidR="00B82AEC">
              <w:rPr>
                <w:noProof/>
                <w:webHidden/>
              </w:rPr>
              <w:fldChar w:fldCharType="separate"/>
            </w:r>
            <w:r w:rsidR="00B82AEC">
              <w:rPr>
                <w:noProof/>
                <w:webHidden/>
              </w:rPr>
              <w:t>8</w:t>
            </w:r>
            <w:r w:rsidR="00B82AEC">
              <w:rPr>
                <w:noProof/>
                <w:webHidden/>
              </w:rPr>
              <w:fldChar w:fldCharType="end"/>
            </w:r>
          </w:hyperlink>
        </w:p>
        <w:p w14:paraId="3B4C05B9" w14:textId="742F1824" w:rsidR="00B82AEC" w:rsidRDefault="007F1FB9">
          <w:pPr>
            <w:pStyle w:val="TOC1"/>
            <w:tabs>
              <w:tab w:val="right" w:pos="9016"/>
            </w:tabs>
            <w:rPr>
              <w:rFonts w:asciiTheme="minorHAnsi" w:eastAsiaTheme="minorEastAsia" w:hAnsiTheme="minorHAnsi" w:cs="Vrinda"/>
              <w:noProof/>
              <w:color w:val="auto"/>
              <w:sz w:val="22"/>
              <w:szCs w:val="28"/>
              <w:lang w:val="en-US"/>
            </w:rPr>
          </w:pPr>
          <w:hyperlink w:anchor="_Toc121259774" w:history="1">
            <w:r w:rsidR="00B82AEC" w:rsidRPr="00F323D2">
              <w:rPr>
                <w:rStyle w:val="Hyperlink"/>
                <w:noProof/>
              </w:rPr>
              <w:t>Conclusion</w:t>
            </w:r>
            <w:r w:rsidR="00B82AEC">
              <w:rPr>
                <w:noProof/>
                <w:webHidden/>
              </w:rPr>
              <w:tab/>
            </w:r>
            <w:r w:rsidR="00B82AEC">
              <w:rPr>
                <w:noProof/>
                <w:webHidden/>
              </w:rPr>
              <w:fldChar w:fldCharType="begin"/>
            </w:r>
            <w:r w:rsidR="00B82AEC">
              <w:rPr>
                <w:noProof/>
                <w:webHidden/>
              </w:rPr>
              <w:instrText xml:space="preserve"> PAGEREF _Toc121259774 \h </w:instrText>
            </w:r>
            <w:r w:rsidR="00B82AEC">
              <w:rPr>
                <w:noProof/>
                <w:webHidden/>
              </w:rPr>
            </w:r>
            <w:r w:rsidR="00B82AEC">
              <w:rPr>
                <w:noProof/>
                <w:webHidden/>
              </w:rPr>
              <w:fldChar w:fldCharType="separate"/>
            </w:r>
            <w:r w:rsidR="00B82AEC">
              <w:rPr>
                <w:noProof/>
                <w:webHidden/>
              </w:rPr>
              <w:t>8</w:t>
            </w:r>
            <w:r w:rsidR="00B82AEC">
              <w:rPr>
                <w:noProof/>
                <w:webHidden/>
              </w:rPr>
              <w:fldChar w:fldCharType="end"/>
            </w:r>
          </w:hyperlink>
        </w:p>
        <w:p w14:paraId="6E8452CF" w14:textId="2FF98AA0" w:rsidR="00B82AEC" w:rsidRDefault="007F1FB9">
          <w:pPr>
            <w:pStyle w:val="TOC1"/>
            <w:tabs>
              <w:tab w:val="right" w:pos="9016"/>
            </w:tabs>
            <w:rPr>
              <w:rFonts w:asciiTheme="minorHAnsi" w:eastAsiaTheme="minorEastAsia" w:hAnsiTheme="minorHAnsi" w:cs="Vrinda"/>
              <w:noProof/>
              <w:color w:val="auto"/>
              <w:sz w:val="22"/>
              <w:szCs w:val="28"/>
              <w:lang w:val="en-US"/>
            </w:rPr>
          </w:pPr>
          <w:hyperlink w:anchor="_Toc121259775" w:history="1">
            <w:r w:rsidR="00B82AEC" w:rsidRPr="00F323D2">
              <w:rPr>
                <w:rStyle w:val="Hyperlink"/>
                <w:noProof/>
              </w:rPr>
              <w:t>Bibliography</w:t>
            </w:r>
            <w:r w:rsidR="00B82AEC">
              <w:rPr>
                <w:noProof/>
                <w:webHidden/>
              </w:rPr>
              <w:tab/>
            </w:r>
            <w:r w:rsidR="00B82AEC">
              <w:rPr>
                <w:noProof/>
                <w:webHidden/>
              </w:rPr>
              <w:fldChar w:fldCharType="begin"/>
            </w:r>
            <w:r w:rsidR="00B82AEC">
              <w:rPr>
                <w:noProof/>
                <w:webHidden/>
              </w:rPr>
              <w:instrText xml:space="preserve"> PAGEREF _Toc121259775 \h </w:instrText>
            </w:r>
            <w:r w:rsidR="00B82AEC">
              <w:rPr>
                <w:noProof/>
                <w:webHidden/>
              </w:rPr>
            </w:r>
            <w:r w:rsidR="00B82AEC">
              <w:rPr>
                <w:noProof/>
                <w:webHidden/>
              </w:rPr>
              <w:fldChar w:fldCharType="separate"/>
            </w:r>
            <w:r w:rsidR="00B82AEC">
              <w:rPr>
                <w:noProof/>
                <w:webHidden/>
              </w:rPr>
              <w:t>9</w:t>
            </w:r>
            <w:r w:rsidR="00B82AEC">
              <w:rPr>
                <w:noProof/>
                <w:webHidden/>
              </w:rPr>
              <w:fldChar w:fldCharType="end"/>
            </w:r>
          </w:hyperlink>
        </w:p>
        <w:p w14:paraId="46CD3E44" w14:textId="6569CFC6" w:rsidR="00B15683" w:rsidRDefault="007F1FB9">
          <w:pPr>
            <w:pBdr>
              <w:top w:val="nil"/>
              <w:left w:val="nil"/>
              <w:bottom w:val="nil"/>
              <w:right w:val="nil"/>
              <w:between w:val="nil"/>
            </w:pBdr>
            <w:tabs>
              <w:tab w:val="right" w:pos="9016"/>
            </w:tabs>
            <w:spacing w:after="100"/>
            <w:jc w:val="left"/>
            <w:rPr>
              <w:color w:val="000000"/>
              <w:sz w:val="22"/>
              <w:szCs w:val="22"/>
            </w:rPr>
          </w:pPr>
          <w:r>
            <w:fldChar w:fldCharType="end"/>
          </w:r>
        </w:p>
      </w:sdtContent>
    </w:sdt>
    <w:p w14:paraId="4ADAA0F3" w14:textId="77777777" w:rsidR="00B15683" w:rsidRDefault="00B15683"/>
    <w:p w14:paraId="405D79D9" w14:textId="77777777" w:rsidR="00B15683" w:rsidRDefault="00B15683"/>
    <w:p w14:paraId="5D183F10" w14:textId="77777777" w:rsidR="00B15683" w:rsidRDefault="00B15683"/>
    <w:p w14:paraId="063842BA" w14:textId="77777777" w:rsidR="00B15683" w:rsidRDefault="00B15683"/>
    <w:p w14:paraId="37647AFD" w14:textId="77777777" w:rsidR="00B15683" w:rsidRDefault="00B15683"/>
    <w:p w14:paraId="24CF1633" w14:textId="77777777" w:rsidR="00B15683" w:rsidRDefault="00B15683"/>
    <w:p w14:paraId="50526578" w14:textId="77777777" w:rsidR="00B82AEC" w:rsidRDefault="00B82AEC">
      <w:pPr>
        <w:rPr>
          <w:color w:val="2E74B5" w:themeColor="accent1" w:themeShade="BF"/>
          <w:sz w:val="32"/>
          <w:szCs w:val="32"/>
        </w:rPr>
      </w:pPr>
      <w:bookmarkStart w:id="1" w:name="_heading=h.pspbta4vx2vo" w:colFirst="0" w:colLast="0"/>
      <w:bookmarkStart w:id="2" w:name="_Toc121259767"/>
      <w:bookmarkEnd w:id="1"/>
      <w:r>
        <w:br w:type="page"/>
      </w:r>
    </w:p>
    <w:p w14:paraId="379377A6" w14:textId="027EAA28" w:rsidR="00B15683" w:rsidRDefault="007F1FB9">
      <w:pPr>
        <w:pStyle w:val="Heading1"/>
        <w:rPr>
          <w:rFonts w:eastAsia="Times New Roman" w:cs="Times New Roman"/>
        </w:rPr>
      </w:pPr>
      <w:r>
        <w:rPr>
          <w:rFonts w:eastAsia="Times New Roman" w:cs="Times New Roman"/>
        </w:rPr>
        <w:t>Introduction</w:t>
      </w:r>
      <w:bookmarkEnd w:id="2"/>
    </w:p>
    <w:p w14:paraId="2F61DBF8" w14:textId="573019AD" w:rsidR="00B15683" w:rsidRDefault="007F1FB9">
      <w:r>
        <w:t xml:space="preserve">Ratio analysis is a powerful tool which is helpful in financial planning. It helps the management in forecasting and planning in various areas like </w:t>
      </w:r>
      <w:r>
        <w:t>production, sales, cash, etc. In this report, the case scenario of Marriott International will be considered (</w:t>
      </w:r>
      <w:r>
        <w:rPr>
          <w:color w:val="222222"/>
          <w:highlight w:val="white"/>
        </w:rPr>
        <w:t>Wei, 2018)</w:t>
      </w:r>
      <w:r>
        <w:t xml:space="preserve">. Marriott International is a global hospitality company and </w:t>
      </w:r>
      <w:r w:rsidR="00C957A1">
        <w:t>“</w:t>
      </w:r>
      <w:r>
        <w:t>one of the world’s leading hotel</w:t>
      </w:r>
      <w:r w:rsidR="00C957A1">
        <w:t>”</w:t>
      </w:r>
      <w:r>
        <w:t xml:space="preserve"> operators with more than 6,500 propertie</w:t>
      </w:r>
      <w:r>
        <w:t xml:space="preserve">s in 127 </w:t>
      </w:r>
      <w:r w:rsidR="00C957A1">
        <w:t>“</w:t>
      </w:r>
      <w:r>
        <w:t>countries and territories</w:t>
      </w:r>
      <w:r w:rsidR="00C957A1">
        <w:t>”</w:t>
      </w:r>
      <w:r>
        <w:t>. Founded in 1927 by “J. Willard and Alice Marriott”, the company has developed into a leading global hospitality brand with a portfolio of 30 brands that include “Ritz-Carlton, The Ritz-Carlton Reserve, St. Regis, W Hot</w:t>
      </w:r>
      <w:r>
        <w:t>els, EDITION, JW Marriott, The MLuxury Collection, Marriott Hotels, Westin, Le Méridien, Renaissance Hotels, Sheraton, Marriott Vacation Club” and so on.  In 2021, Marriott International's revenue was 13.86 billion, with an operating income of over 1.75 bi</w:t>
      </w:r>
      <w:r>
        <w:t>llion (</w:t>
      </w:r>
      <w:r>
        <w:rPr>
          <w:color w:val="222222"/>
          <w:highlight w:val="white"/>
        </w:rPr>
        <w:t>marriott.com, 2022)</w:t>
      </w:r>
      <w:r>
        <w:t xml:space="preserve">. The number of employees as of 2021 is over 120,000. Apart from that, the company has a </w:t>
      </w:r>
      <w:r w:rsidR="00B82AEC">
        <w:t>total asset</w:t>
      </w:r>
      <w:r>
        <w:t xml:space="preserve"> of over 25.55 billion and equity of over 1.41 billion in 2021. The company is led by President and CEO Arne Sorenson. In this rep</w:t>
      </w:r>
      <w:r>
        <w:t xml:space="preserve">ort, the ratio analysis of Marriott International will be done. In addition, the benefits and limitations of ratio analysis will also be explained. Thus, the importance of ratio analysis in the </w:t>
      </w:r>
      <w:r w:rsidR="00B82AEC">
        <w:t>decision-making</w:t>
      </w:r>
      <w:r>
        <w:t xml:space="preserve"> process of a company will also be discussed. </w:t>
      </w:r>
    </w:p>
    <w:p w14:paraId="58408991" w14:textId="77777777" w:rsidR="00B15683" w:rsidRDefault="00B15683"/>
    <w:p w14:paraId="3EEA5CAA" w14:textId="77777777" w:rsidR="00B15683" w:rsidRDefault="00B15683"/>
    <w:p w14:paraId="3FF1A932" w14:textId="77777777" w:rsidR="00B15683" w:rsidRDefault="00B15683"/>
    <w:p w14:paraId="34F4A8EC" w14:textId="77777777" w:rsidR="00B15683" w:rsidRDefault="00B15683"/>
    <w:p w14:paraId="290143B2" w14:textId="77777777" w:rsidR="00B15683" w:rsidRDefault="00B15683"/>
    <w:p w14:paraId="308ED4F6" w14:textId="77777777" w:rsidR="00B15683" w:rsidRDefault="00B15683"/>
    <w:p w14:paraId="728CBE47" w14:textId="77777777" w:rsidR="00B15683" w:rsidRDefault="00B15683"/>
    <w:p w14:paraId="1C6C8CA0" w14:textId="77777777" w:rsidR="00B15683" w:rsidRDefault="00B15683"/>
    <w:p w14:paraId="0B5BA015" w14:textId="77777777" w:rsidR="00B15683" w:rsidRDefault="00B15683"/>
    <w:p w14:paraId="551903D2" w14:textId="77777777" w:rsidR="00B15683" w:rsidRDefault="00B15683"/>
    <w:p w14:paraId="3BB45FFD" w14:textId="77777777" w:rsidR="00B15683" w:rsidRDefault="00B15683"/>
    <w:p w14:paraId="11D33871" w14:textId="77777777" w:rsidR="00B15683" w:rsidRDefault="00B15683"/>
    <w:p w14:paraId="6F28FE1F" w14:textId="77777777" w:rsidR="00B15683" w:rsidRDefault="00B15683"/>
    <w:p w14:paraId="12A9D883" w14:textId="77777777" w:rsidR="00B15683" w:rsidRDefault="00B15683"/>
    <w:p w14:paraId="18E3C6C6" w14:textId="77777777" w:rsidR="00B15683" w:rsidRDefault="007F1FB9">
      <w:pPr>
        <w:pStyle w:val="Heading1"/>
        <w:rPr>
          <w:rFonts w:eastAsia="Times New Roman" w:cs="Times New Roman"/>
        </w:rPr>
      </w:pPr>
      <w:bookmarkStart w:id="3" w:name="_Toc121259768"/>
      <w:r>
        <w:rPr>
          <w:rFonts w:eastAsia="Times New Roman" w:cs="Times New Roman"/>
        </w:rPr>
        <w:t>Financial Analysis Trends</w:t>
      </w:r>
      <w:bookmarkEnd w:id="3"/>
    </w:p>
    <w:p w14:paraId="754D61B5" w14:textId="77777777" w:rsidR="00B15683" w:rsidRDefault="00B15683">
      <w:pPr>
        <w:pStyle w:val="Heading2"/>
        <w:rPr>
          <w:rFonts w:eastAsia="Times New Roman" w:cs="Times New Roman"/>
        </w:rPr>
      </w:pPr>
    </w:p>
    <w:p w14:paraId="34AA5D68" w14:textId="3C99E519" w:rsidR="00B15683" w:rsidRDefault="007F1FB9">
      <w:r>
        <w:t>The report analyses Marriott International’s financial statements in order to give an insight into the financial health of the company. To do this, the report firstly looks at the liquidity ratios of the company and compares it with industry averages. It i</w:t>
      </w:r>
      <w:r>
        <w:t xml:space="preserve">s </w:t>
      </w:r>
      <w:r w:rsidR="00B82AEC">
        <w:t>also</w:t>
      </w:r>
      <w:r>
        <w:t xml:space="preserve"> important to consider the profitability ratios of the company and compare it with industry averages (</w:t>
      </w:r>
      <w:r>
        <w:rPr>
          <w:color w:val="222222"/>
          <w:highlight w:val="white"/>
        </w:rPr>
        <w:t>Cottrell, 2010)</w:t>
      </w:r>
      <w:r>
        <w:t>. Financial ratio analysis is one of the most important tools that Marriott International can use to make informed decisions about th</w:t>
      </w:r>
      <w:r>
        <w:t>e company's financial health and performance. By analysing key financial ratios, Marriott International can identify trends and potential problems early on, which can help the company make decisions that improve its financial health and performance.</w:t>
      </w:r>
    </w:p>
    <w:p w14:paraId="06CE33FB" w14:textId="77777777" w:rsidR="00B15683" w:rsidRDefault="007F1FB9">
      <w:pPr>
        <w:pStyle w:val="Heading2"/>
        <w:rPr>
          <w:rFonts w:eastAsia="Times New Roman" w:cs="Times New Roman"/>
        </w:rPr>
      </w:pPr>
      <w:bookmarkStart w:id="4" w:name="_heading=h.o89ylcu8q8jx" w:colFirst="0" w:colLast="0"/>
      <w:bookmarkStart w:id="5" w:name="_Toc121259769"/>
      <w:bookmarkEnd w:id="4"/>
      <w:r>
        <w:rPr>
          <w:rFonts w:eastAsia="Times New Roman" w:cs="Times New Roman"/>
        </w:rPr>
        <w:t>Profit</w:t>
      </w:r>
      <w:r>
        <w:rPr>
          <w:rFonts w:eastAsia="Times New Roman" w:cs="Times New Roman"/>
        </w:rPr>
        <w:t>ability</w:t>
      </w:r>
      <w:bookmarkEnd w:id="5"/>
    </w:p>
    <w:p w14:paraId="2FACC574" w14:textId="1785BCF8" w:rsidR="00B15683" w:rsidRDefault="00C957A1">
      <w:r>
        <w:t>“Gross profit margin” is the ratio of gross profit to revenue, usually articulated as a percentage. It measures the profitability of a company's core business activities by excluding the “cost of selling, general, and administrative expenses”. The “return on capital employed (ROCE)” is a financial ratio that measures the profitability of a company (</w:t>
      </w:r>
      <w:r>
        <w:rPr>
          <w:color w:val="222222"/>
          <w:highlight w:val="white"/>
        </w:rPr>
        <w:t xml:space="preserve">Carter </w:t>
      </w:r>
      <w:r>
        <w:rPr>
          <w:i/>
          <w:color w:val="222222"/>
          <w:highlight w:val="white"/>
        </w:rPr>
        <w:t xml:space="preserve">et al., </w:t>
      </w:r>
      <w:r>
        <w:rPr>
          <w:color w:val="222222"/>
          <w:highlight w:val="white"/>
        </w:rPr>
        <w:t>2017)</w:t>
      </w:r>
      <w:r>
        <w:t>. Operating profit is the profit that a company makes from its normal business activities. It is calculated by subtracting the company's operating expenses from its revenue. “Capital employed” is considered as the “total amount of capital” that a company has invested in its business. It includes both debt and equity capital. The ROCE ratio measures how efficiently a company is using its capital to generate profits. “A high ROCE ratio” indicates that the company is profitable as well as allocating its capital efficiently. “A low ROCE ratio” indicates that the company is not as profitable as it could be and is not using its capital as effectively as it could be.</w:t>
      </w:r>
    </w:p>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B15683" w14:paraId="338C3633" w14:textId="77777777">
        <w:tc>
          <w:tcPr>
            <w:tcW w:w="2256" w:type="dxa"/>
            <w:shd w:val="clear" w:color="auto" w:fill="auto"/>
            <w:tcMar>
              <w:top w:w="100" w:type="dxa"/>
              <w:left w:w="100" w:type="dxa"/>
              <w:bottom w:w="100" w:type="dxa"/>
              <w:right w:w="100" w:type="dxa"/>
            </w:tcMar>
          </w:tcPr>
          <w:p w14:paraId="121FBF7F" w14:textId="77777777" w:rsidR="00B15683" w:rsidRDefault="007F1FB9">
            <w:pPr>
              <w:widowControl w:val="0"/>
              <w:pBdr>
                <w:top w:val="nil"/>
                <w:left w:val="nil"/>
                <w:bottom w:val="nil"/>
                <w:right w:val="nil"/>
                <w:between w:val="nil"/>
              </w:pBdr>
              <w:spacing w:after="0" w:line="240" w:lineRule="auto"/>
              <w:jc w:val="left"/>
              <w:rPr>
                <w:b/>
              </w:rPr>
            </w:pPr>
            <w:r>
              <w:rPr>
                <w:b/>
              </w:rPr>
              <w:t>Particulars</w:t>
            </w:r>
          </w:p>
        </w:tc>
        <w:tc>
          <w:tcPr>
            <w:tcW w:w="2256" w:type="dxa"/>
            <w:shd w:val="clear" w:color="auto" w:fill="auto"/>
            <w:tcMar>
              <w:top w:w="100" w:type="dxa"/>
              <w:left w:w="100" w:type="dxa"/>
              <w:bottom w:w="100" w:type="dxa"/>
              <w:right w:w="100" w:type="dxa"/>
            </w:tcMar>
          </w:tcPr>
          <w:p w14:paraId="67022222" w14:textId="77777777" w:rsidR="00B15683" w:rsidRDefault="007F1FB9">
            <w:pPr>
              <w:widowControl w:val="0"/>
              <w:pBdr>
                <w:top w:val="nil"/>
                <w:left w:val="nil"/>
                <w:bottom w:val="nil"/>
                <w:right w:val="nil"/>
                <w:between w:val="nil"/>
              </w:pBdr>
              <w:spacing w:after="0" w:line="240" w:lineRule="auto"/>
              <w:jc w:val="left"/>
              <w:rPr>
                <w:b/>
              </w:rPr>
            </w:pPr>
            <w:r>
              <w:rPr>
                <w:b/>
              </w:rPr>
              <w:t xml:space="preserve">Formula </w:t>
            </w:r>
          </w:p>
        </w:tc>
        <w:tc>
          <w:tcPr>
            <w:tcW w:w="2256" w:type="dxa"/>
            <w:shd w:val="clear" w:color="auto" w:fill="auto"/>
            <w:tcMar>
              <w:top w:w="100" w:type="dxa"/>
              <w:left w:w="100" w:type="dxa"/>
              <w:bottom w:w="100" w:type="dxa"/>
              <w:right w:w="100" w:type="dxa"/>
            </w:tcMar>
          </w:tcPr>
          <w:p w14:paraId="57E458A1" w14:textId="77777777" w:rsidR="00B15683" w:rsidRDefault="007F1FB9">
            <w:pPr>
              <w:widowControl w:val="0"/>
              <w:pBdr>
                <w:top w:val="nil"/>
                <w:left w:val="nil"/>
                <w:bottom w:val="nil"/>
                <w:right w:val="nil"/>
                <w:between w:val="nil"/>
              </w:pBdr>
              <w:spacing w:after="0" w:line="240" w:lineRule="auto"/>
              <w:jc w:val="left"/>
              <w:rPr>
                <w:b/>
              </w:rPr>
            </w:pPr>
            <w:r>
              <w:rPr>
                <w:b/>
              </w:rPr>
              <w:t>2021</w:t>
            </w:r>
          </w:p>
        </w:tc>
        <w:tc>
          <w:tcPr>
            <w:tcW w:w="2256" w:type="dxa"/>
            <w:shd w:val="clear" w:color="auto" w:fill="auto"/>
            <w:tcMar>
              <w:top w:w="100" w:type="dxa"/>
              <w:left w:w="100" w:type="dxa"/>
              <w:bottom w:w="100" w:type="dxa"/>
              <w:right w:w="100" w:type="dxa"/>
            </w:tcMar>
          </w:tcPr>
          <w:p w14:paraId="6E28F001" w14:textId="77777777" w:rsidR="00B15683" w:rsidRDefault="007F1FB9">
            <w:pPr>
              <w:widowControl w:val="0"/>
              <w:pBdr>
                <w:top w:val="nil"/>
                <w:left w:val="nil"/>
                <w:bottom w:val="nil"/>
                <w:right w:val="nil"/>
                <w:between w:val="nil"/>
              </w:pBdr>
              <w:spacing w:after="0" w:line="240" w:lineRule="auto"/>
              <w:jc w:val="left"/>
              <w:rPr>
                <w:b/>
              </w:rPr>
            </w:pPr>
            <w:r>
              <w:rPr>
                <w:b/>
              </w:rPr>
              <w:t>2020</w:t>
            </w:r>
          </w:p>
        </w:tc>
      </w:tr>
      <w:tr w:rsidR="00B15683" w14:paraId="27788508" w14:textId="77777777">
        <w:tc>
          <w:tcPr>
            <w:tcW w:w="2256" w:type="dxa"/>
            <w:shd w:val="clear" w:color="auto" w:fill="auto"/>
            <w:tcMar>
              <w:top w:w="100" w:type="dxa"/>
              <w:left w:w="100" w:type="dxa"/>
              <w:bottom w:w="100" w:type="dxa"/>
              <w:right w:w="100" w:type="dxa"/>
            </w:tcMar>
          </w:tcPr>
          <w:p w14:paraId="2508024B" w14:textId="77777777" w:rsidR="00B15683" w:rsidRDefault="007F1FB9">
            <w:pPr>
              <w:spacing w:after="0"/>
              <w:rPr>
                <w:b/>
                <w:color w:val="000000"/>
              </w:rPr>
            </w:pPr>
            <w:r>
              <w:rPr>
                <w:b/>
                <w:color w:val="000000"/>
              </w:rPr>
              <w:t>“Gross profit margin”</w:t>
            </w:r>
          </w:p>
        </w:tc>
        <w:tc>
          <w:tcPr>
            <w:tcW w:w="2256" w:type="dxa"/>
            <w:shd w:val="clear" w:color="auto" w:fill="auto"/>
            <w:tcMar>
              <w:top w:w="100" w:type="dxa"/>
              <w:left w:w="100" w:type="dxa"/>
              <w:bottom w:w="100" w:type="dxa"/>
              <w:right w:w="100" w:type="dxa"/>
            </w:tcMar>
          </w:tcPr>
          <w:p w14:paraId="3F4CC0D3" w14:textId="77777777" w:rsidR="00B15683" w:rsidRDefault="007F1FB9">
            <w:pPr>
              <w:spacing w:after="0"/>
            </w:pPr>
            <w:r>
              <w:rPr>
                <w:b/>
                <w:color w:val="000000"/>
              </w:rPr>
              <w:t>“(Gross profit / Sales) x 100”</w:t>
            </w:r>
          </w:p>
        </w:tc>
        <w:tc>
          <w:tcPr>
            <w:tcW w:w="2256" w:type="dxa"/>
            <w:shd w:val="clear" w:color="auto" w:fill="auto"/>
            <w:tcMar>
              <w:top w:w="100" w:type="dxa"/>
              <w:left w:w="100" w:type="dxa"/>
              <w:bottom w:w="100" w:type="dxa"/>
              <w:right w:w="100" w:type="dxa"/>
            </w:tcMar>
          </w:tcPr>
          <w:p w14:paraId="7E8E46B9" w14:textId="77777777" w:rsidR="00B15683" w:rsidRDefault="007F1FB9">
            <w:pPr>
              <w:spacing w:after="0"/>
              <w:rPr>
                <w:b/>
                <w:color w:val="000000"/>
              </w:rPr>
            </w:pPr>
            <w:r>
              <w:rPr>
                <w:b/>
                <w:color w:val="000000"/>
              </w:rPr>
              <w:t>“(2801 / 13857) x 100 = 20.20%</w:t>
            </w:r>
          </w:p>
        </w:tc>
        <w:tc>
          <w:tcPr>
            <w:tcW w:w="2256" w:type="dxa"/>
            <w:shd w:val="clear" w:color="auto" w:fill="auto"/>
            <w:tcMar>
              <w:top w:w="100" w:type="dxa"/>
              <w:left w:w="100" w:type="dxa"/>
              <w:bottom w:w="100" w:type="dxa"/>
              <w:right w:w="100" w:type="dxa"/>
            </w:tcMar>
          </w:tcPr>
          <w:p w14:paraId="333C32E0" w14:textId="77777777" w:rsidR="00B15683" w:rsidRDefault="007F1FB9">
            <w:pPr>
              <w:spacing w:after="0"/>
              <w:rPr>
                <w:b/>
                <w:color w:val="000000"/>
              </w:rPr>
            </w:pPr>
            <w:r>
              <w:rPr>
                <w:b/>
                <w:color w:val="000000"/>
              </w:rPr>
              <w:t xml:space="preserve">“1459 / 10571) x 100 = 13.80%” </w:t>
            </w:r>
          </w:p>
        </w:tc>
      </w:tr>
      <w:tr w:rsidR="00B15683" w14:paraId="7FE72940" w14:textId="77777777">
        <w:tc>
          <w:tcPr>
            <w:tcW w:w="2256" w:type="dxa"/>
            <w:shd w:val="clear" w:color="auto" w:fill="auto"/>
            <w:tcMar>
              <w:top w:w="100" w:type="dxa"/>
              <w:left w:w="100" w:type="dxa"/>
              <w:bottom w:w="100" w:type="dxa"/>
              <w:right w:w="100" w:type="dxa"/>
            </w:tcMar>
          </w:tcPr>
          <w:p w14:paraId="55944C96" w14:textId="77777777" w:rsidR="00B15683" w:rsidRDefault="007F1FB9">
            <w:pPr>
              <w:spacing w:after="0"/>
            </w:pPr>
            <w:r>
              <w:rPr>
                <w:b/>
                <w:color w:val="000000"/>
              </w:rPr>
              <w:t xml:space="preserve">“Net profit margin” </w:t>
            </w:r>
          </w:p>
        </w:tc>
        <w:tc>
          <w:tcPr>
            <w:tcW w:w="2256" w:type="dxa"/>
            <w:shd w:val="clear" w:color="auto" w:fill="auto"/>
            <w:tcMar>
              <w:top w:w="100" w:type="dxa"/>
              <w:left w:w="100" w:type="dxa"/>
              <w:bottom w:w="100" w:type="dxa"/>
              <w:right w:w="100" w:type="dxa"/>
            </w:tcMar>
          </w:tcPr>
          <w:p w14:paraId="354AF7AD" w14:textId="77777777" w:rsidR="00B15683" w:rsidRDefault="007F1FB9">
            <w:pPr>
              <w:spacing w:after="0"/>
              <w:rPr>
                <w:b/>
                <w:color w:val="000000"/>
              </w:rPr>
            </w:pPr>
            <w:r>
              <w:rPr>
                <w:b/>
                <w:color w:val="000000"/>
              </w:rPr>
              <w:t>“(Net profit / Sales) x 100”</w:t>
            </w:r>
          </w:p>
          <w:p w14:paraId="180C71E1" w14:textId="77777777" w:rsidR="00B15683" w:rsidRDefault="00B15683">
            <w:pPr>
              <w:widowControl w:val="0"/>
              <w:pBdr>
                <w:top w:val="nil"/>
                <w:left w:val="nil"/>
                <w:bottom w:val="nil"/>
                <w:right w:val="nil"/>
                <w:between w:val="nil"/>
              </w:pBdr>
              <w:spacing w:after="0" w:line="240" w:lineRule="auto"/>
              <w:jc w:val="left"/>
            </w:pPr>
          </w:p>
        </w:tc>
        <w:tc>
          <w:tcPr>
            <w:tcW w:w="2256" w:type="dxa"/>
            <w:shd w:val="clear" w:color="auto" w:fill="auto"/>
            <w:tcMar>
              <w:top w:w="100" w:type="dxa"/>
              <w:left w:w="100" w:type="dxa"/>
              <w:bottom w:w="100" w:type="dxa"/>
              <w:right w:w="100" w:type="dxa"/>
            </w:tcMar>
          </w:tcPr>
          <w:p w14:paraId="307989E6" w14:textId="77777777" w:rsidR="00B15683" w:rsidRDefault="007F1FB9">
            <w:pPr>
              <w:spacing w:after="0"/>
            </w:pPr>
            <w:r>
              <w:rPr>
                <w:b/>
                <w:color w:val="000000"/>
              </w:rPr>
              <w:t xml:space="preserve">“1099 / 13857) x 100 = </w:t>
            </w:r>
            <w:r>
              <w:rPr>
                <w:b/>
                <w:color w:val="000000"/>
              </w:rPr>
              <w:t>7.90%”</w:t>
            </w:r>
          </w:p>
        </w:tc>
        <w:tc>
          <w:tcPr>
            <w:tcW w:w="2256" w:type="dxa"/>
            <w:shd w:val="clear" w:color="auto" w:fill="auto"/>
            <w:tcMar>
              <w:top w:w="100" w:type="dxa"/>
              <w:left w:w="100" w:type="dxa"/>
              <w:bottom w:w="100" w:type="dxa"/>
              <w:right w:w="100" w:type="dxa"/>
            </w:tcMar>
          </w:tcPr>
          <w:p w14:paraId="41AC0922" w14:textId="77777777" w:rsidR="00B15683" w:rsidRDefault="007F1FB9">
            <w:pPr>
              <w:spacing w:after="0"/>
            </w:pPr>
            <w:r>
              <w:rPr>
                <w:b/>
                <w:color w:val="000000"/>
              </w:rPr>
              <w:t>“-267 / 10571) x 100 = -2.50%”</w:t>
            </w:r>
          </w:p>
        </w:tc>
      </w:tr>
      <w:tr w:rsidR="00B15683" w14:paraId="6CF92C82" w14:textId="77777777">
        <w:tc>
          <w:tcPr>
            <w:tcW w:w="2256" w:type="dxa"/>
            <w:shd w:val="clear" w:color="auto" w:fill="auto"/>
            <w:tcMar>
              <w:top w:w="100" w:type="dxa"/>
              <w:left w:w="100" w:type="dxa"/>
              <w:bottom w:w="100" w:type="dxa"/>
              <w:right w:w="100" w:type="dxa"/>
            </w:tcMar>
          </w:tcPr>
          <w:p w14:paraId="62267C87" w14:textId="77777777" w:rsidR="00B15683" w:rsidRDefault="007F1FB9">
            <w:pPr>
              <w:spacing w:after="0"/>
            </w:pPr>
            <w:r>
              <w:rPr>
                <w:b/>
                <w:color w:val="000000"/>
              </w:rPr>
              <w:t>“Return on capital employed”</w:t>
            </w:r>
          </w:p>
        </w:tc>
        <w:tc>
          <w:tcPr>
            <w:tcW w:w="2256" w:type="dxa"/>
            <w:shd w:val="clear" w:color="auto" w:fill="auto"/>
            <w:tcMar>
              <w:top w:w="100" w:type="dxa"/>
              <w:left w:w="100" w:type="dxa"/>
              <w:bottom w:w="100" w:type="dxa"/>
              <w:right w:w="100" w:type="dxa"/>
            </w:tcMar>
          </w:tcPr>
          <w:p w14:paraId="79841FAE" w14:textId="77777777" w:rsidR="00B15683" w:rsidRDefault="007F1FB9">
            <w:pPr>
              <w:spacing w:after="0"/>
              <w:rPr>
                <w:b/>
                <w:color w:val="000000"/>
              </w:rPr>
            </w:pPr>
            <w:r>
              <w:rPr>
                <w:b/>
                <w:color w:val="000000"/>
              </w:rPr>
              <w:t>“(Profit before interest / Capital employed) x 100”</w:t>
            </w:r>
          </w:p>
        </w:tc>
        <w:tc>
          <w:tcPr>
            <w:tcW w:w="2256" w:type="dxa"/>
            <w:shd w:val="clear" w:color="auto" w:fill="auto"/>
            <w:tcMar>
              <w:top w:w="100" w:type="dxa"/>
              <w:left w:w="100" w:type="dxa"/>
              <w:bottom w:w="100" w:type="dxa"/>
              <w:right w:w="100" w:type="dxa"/>
            </w:tcMar>
          </w:tcPr>
          <w:p w14:paraId="5CC051D7" w14:textId="77777777" w:rsidR="00B15683" w:rsidRDefault="007F1FB9">
            <w:pPr>
              <w:spacing w:after="0"/>
              <w:rPr>
                <w:b/>
                <w:color w:val="000000"/>
              </w:rPr>
            </w:pPr>
            <w:r>
              <w:rPr>
                <w:b/>
                <w:color w:val="000000"/>
              </w:rPr>
              <w:t xml:space="preserve">“(1750 / 13857) x 100 = 9.10%” </w:t>
            </w:r>
          </w:p>
        </w:tc>
        <w:tc>
          <w:tcPr>
            <w:tcW w:w="2256" w:type="dxa"/>
            <w:shd w:val="clear" w:color="auto" w:fill="auto"/>
            <w:tcMar>
              <w:top w:w="100" w:type="dxa"/>
              <w:left w:w="100" w:type="dxa"/>
              <w:bottom w:w="100" w:type="dxa"/>
              <w:right w:w="100" w:type="dxa"/>
            </w:tcMar>
          </w:tcPr>
          <w:p w14:paraId="59109A38" w14:textId="77777777" w:rsidR="00B15683" w:rsidRDefault="007F1FB9">
            <w:pPr>
              <w:spacing w:after="0"/>
              <w:rPr>
                <w:b/>
                <w:color w:val="000000"/>
              </w:rPr>
            </w:pPr>
            <w:r>
              <w:rPr>
                <w:b/>
                <w:color w:val="000000"/>
              </w:rPr>
              <w:t xml:space="preserve">“(84 / 10571) x 100 = 0.40%” </w:t>
            </w:r>
          </w:p>
        </w:tc>
      </w:tr>
      <w:tr w:rsidR="00B15683" w14:paraId="161B9662" w14:textId="77777777">
        <w:tc>
          <w:tcPr>
            <w:tcW w:w="2256" w:type="dxa"/>
            <w:shd w:val="clear" w:color="auto" w:fill="auto"/>
            <w:tcMar>
              <w:top w:w="100" w:type="dxa"/>
              <w:left w:w="100" w:type="dxa"/>
              <w:bottom w:w="100" w:type="dxa"/>
              <w:right w:w="100" w:type="dxa"/>
            </w:tcMar>
          </w:tcPr>
          <w:p w14:paraId="2E2D7316" w14:textId="77777777" w:rsidR="00B15683" w:rsidRDefault="007F1FB9">
            <w:pPr>
              <w:spacing w:after="0"/>
            </w:pPr>
            <w:r>
              <w:rPr>
                <w:b/>
                <w:color w:val="000000"/>
              </w:rPr>
              <w:t>“Assets turnover ratio”</w:t>
            </w:r>
          </w:p>
        </w:tc>
        <w:tc>
          <w:tcPr>
            <w:tcW w:w="2256" w:type="dxa"/>
            <w:shd w:val="clear" w:color="auto" w:fill="auto"/>
            <w:tcMar>
              <w:top w:w="100" w:type="dxa"/>
              <w:left w:w="100" w:type="dxa"/>
              <w:bottom w:w="100" w:type="dxa"/>
              <w:right w:w="100" w:type="dxa"/>
            </w:tcMar>
          </w:tcPr>
          <w:p w14:paraId="20A4D036" w14:textId="77777777" w:rsidR="00B15683" w:rsidRDefault="007F1FB9">
            <w:pPr>
              <w:spacing w:after="0"/>
            </w:pPr>
            <w:r>
              <w:rPr>
                <w:b/>
                <w:color w:val="000000"/>
              </w:rPr>
              <w:t xml:space="preserve">“[Revenue /  (Total assets - Current </w:t>
            </w:r>
            <w:r>
              <w:rPr>
                <w:b/>
                <w:color w:val="000000"/>
              </w:rPr>
              <w:t>liabilities)] x 100”</w:t>
            </w:r>
          </w:p>
        </w:tc>
        <w:tc>
          <w:tcPr>
            <w:tcW w:w="2256" w:type="dxa"/>
            <w:shd w:val="clear" w:color="auto" w:fill="auto"/>
            <w:tcMar>
              <w:top w:w="100" w:type="dxa"/>
              <w:left w:w="100" w:type="dxa"/>
              <w:bottom w:w="100" w:type="dxa"/>
              <w:right w:w="100" w:type="dxa"/>
            </w:tcMar>
          </w:tcPr>
          <w:p w14:paraId="6DD46A73" w14:textId="77777777" w:rsidR="00B15683" w:rsidRDefault="007F1FB9">
            <w:pPr>
              <w:spacing w:after="0"/>
              <w:rPr>
                <w:b/>
                <w:color w:val="000000"/>
              </w:rPr>
            </w:pPr>
            <w:r>
              <w:rPr>
                <w:b/>
                <w:color w:val="000000"/>
              </w:rPr>
              <w:t xml:space="preserve">“[13857/ (25553 - 6407)] x 100 =72.40%” </w:t>
            </w:r>
          </w:p>
        </w:tc>
        <w:tc>
          <w:tcPr>
            <w:tcW w:w="2256" w:type="dxa"/>
            <w:shd w:val="clear" w:color="auto" w:fill="auto"/>
            <w:tcMar>
              <w:top w:w="100" w:type="dxa"/>
              <w:left w:w="100" w:type="dxa"/>
              <w:bottom w:w="100" w:type="dxa"/>
              <w:right w:w="100" w:type="dxa"/>
            </w:tcMar>
          </w:tcPr>
          <w:p w14:paraId="0904BEE2" w14:textId="77777777" w:rsidR="00B15683" w:rsidRDefault="007F1FB9">
            <w:pPr>
              <w:spacing w:after="0"/>
              <w:rPr>
                <w:b/>
                <w:color w:val="000000"/>
              </w:rPr>
            </w:pPr>
            <w:r>
              <w:rPr>
                <w:b/>
                <w:color w:val="000000"/>
              </w:rPr>
              <w:t xml:space="preserve">“[10571/ (24701 - 5752)] x 100 = 55.80%” </w:t>
            </w:r>
          </w:p>
        </w:tc>
      </w:tr>
      <w:tr w:rsidR="00B15683" w14:paraId="2C6BCA98" w14:textId="77777777">
        <w:tc>
          <w:tcPr>
            <w:tcW w:w="2256" w:type="dxa"/>
            <w:shd w:val="clear" w:color="auto" w:fill="auto"/>
            <w:tcMar>
              <w:top w:w="100" w:type="dxa"/>
              <w:left w:w="100" w:type="dxa"/>
              <w:bottom w:w="100" w:type="dxa"/>
              <w:right w:w="100" w:type="dxa"/>
            </w:tcMar>
          </w:tcPr>
          <w:p w14:paraId="3B64DC82" w14:textId="77777777" w:rsidR="00B15683" w:rsidRDefault="007F1FB9">
            <w:pPr>
              <w:spacing w:after="0"/>
              <w:rPr>
                <w:b/>
                <w:color w:val="000000"/>
              </w:rPr>
            </w:pPr>
            <w:r>
              <w:rPr>
                <w:b/>
                <w:color w:val="000000"/>
              </w:rPr>
              <w:t xml:space="preserve">“Working capital turnover” </w:t>
            </w:r>
          </w:p>
        </w:tc>
        <w:tc>
          <w:tcPr>
            <w:tcW w:w="2256" w:type="dxa"/>
            <w:shd w:val="clear" w:color="auto" w:fill="auto"/>
            <w:tcMar>
              <w:top w:w="100" w:type="dxa"/>
              <w:left w:w="100" w:type="dxa"/>
              <w:bottom w:w="100" w:type="dxa"/>
              <w:right w:w="100" w:type="dxa"/>
            </w:tcMar>
          </w:tcPr>
          <w:p w14:paraId="276C35D4" w14:textId="77777777" w:rsidR="00B15683" w:rsidRDefault="007F1FB9">
            <w:pPr>
              <w:spacing w:after="0"/>
              <w:rPr>
                <w:b/>
                <w:color w:val="000000"/>
              </w:rPr>
            </w:pPr>
            <w:r>
              <w:rPr>
                <w:b/>
                <w:color w:val="000000"/>
              </w:rPr>
              <w:t>“[Revenue /  Net current assets] x 100”</w:t>
            </w:r>
          </w:p>
        </w:tc>
        <w:tc>
          <w:tcPr>
            <w:tcW w:w="2256" w:type="dxa"/>
            <w:shd w:val="clear" w:color="auto" w:fill="auto"/>
            <w:tcMar>
              <w:top w:w="100" w:type="dxa"/>
              <w:left w:w="100" w:type="dxa"/>
              <w:bottom w:w="100" w:type="dxa"/>
              <w:right w:w="100" w:type="dxa"/>
            </w:tcMar>
          </w:tcPr>
          <w:p w14:paraId="7D59CE3E" w14:textId="77777777" w:rsidR="00B15683" w:rsidRDefault="007F1FB9">
            <w:pPr>
              <w:spacing w:after="0"/>
              <w:rPr>
                <w:b/>
                <w:color w:val="000000"/>
              </w:rPr>
            </w:pPr>
            <w:r>
              <w:rPr>
                <w:b/>
                <w:color w:val="000000"/>
              </w:rPr>
              <w:t>“[13857/ 3626] x 100 = 3.82”</w:t>
            </w:r>
          </w:p>
        </w:tc>
        <w:tc>
          <w:tcPr>
            <w:tcW w:w="2256" w:type="dxa"/>
            <w:shd w:val="clear" w:color="auto" w:fill="auto"/>
            <w:tcMar>
              <w:top w:w="100" w:type="dxa"/>
              <w:left w:w="100" w:type="dxa"/>
              <w:bottom w:w="100" w:type="dxa"/>
              <w:right w:w="100" w:type="dxa"/>
            </w:tcMar>
          </w:tcPr>
          <w:p w14:paraId="794A249E" w14:textId="77777777" w:rsidR="00B15683" w:rsidRDefault="007F1FB9">
            <w:pPr>
              <w:spacing w:after="0"/>
              <w:rPr>
                <w:b/>
                <w:color w:val="000000"/>
              </w:rPr>
            </w:pPr>
            <w:r>
              <w:rPr>
                <w:b/>
                <w:color w:val="000000"/>
              </w:rPr>
              <w:t>“[10571/ 2825] x 100 = 3.74”</w:t>
            </w:r>
          </w:p>
        </w:tc>
      </w:tr>
    </w:tbl>
    <w:p w14:paraId="3E47F32C" w14:textId="77777777" w:rsidR="00B15683" w:rsidRDefault="00B15683">
      <w:pPr>
        <w:spacing w:after="0" w:line="276" w:lineRule="auto"/>
        <w:rPr>
          <w:rFonts w:ascii="Arial" w:eastAsia="Arial" w:hAnsi="Arial" w:cs="Arial"/>
          <w:color w:val="000000"/>
          <w:sz w:val="22"/>
          <w:szCs w:val="22"/>
        </w:rPr>
      </w:pPr>
    </w:p>
    <w:p w14:paraId="6948C389" w14:textId="77777777" w:rsidR="00B15683" w:rsidRDefault="007F1FB9">
      <w:pPr>
        <w:jc w:val="center"/>
        <w:rPr>
          <w:b/>
        </w:rPr>
      </w:pPr>
      <w:r>
        <w:rPr>
          <w:b/>
        </w:rPr>
        <w:t xml:space="preserve">Table 1: Profitability ratio </w:t>
      </w:r>
    </w:p>
    <w:p w14:paraId="278255D5" w14:textId="2D7E9D16" w:rsidR="00B15683" w:rsidRDefault="007F1FB9">
      <w:pPr>
        <w:jc w:val="center"/>
      </w:pPr>
      <w:r>
        <w:t>(Source: Learner)</w:t>
      </w:r>
    </w:p>
    <w:p w14:paraId="6D5D31AD" w14:textId="01DF75DE" w:rsidR="00C957A1" w:rsidRDefault="00C957A1">
      <w:pPr>
        <w:jc w:val="center"/>
      </w:pPr>
      <w:r>
        <w:rPr>
          <w:noProof/>
        </w:rPr>
        <w:drawing>
          <wp:inline distT="0" distB="0" distL="0" distR="0" wp14:anchorId="370A3199" wp14:editId="1D1D84B0">
            <wp:extent cx="4343400" cy="2886075"/>
            <wp:effectExtent l="0" t="0" r="0" b="9525"/>
            <wp:docPr id="1" name="Chart 1">
              <a:extLst xmlns:a="http://schemas.openxmlformats.org/drawingml/2006/main">
                <a:ext uri="{FF2B5EF4-FFF2-40B4-BE49-F238E27FC236}">
                  <a16:creationId xmlns:a16="http://schemas.microsoft.com/office/drawing/2014/main" id="{00000000-0008-0000-0000-0000178215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A0F8D4F" w14:textId="22BF587B" w:rsidR="00C957A1" w:rsidRDefault="00C957A1" w:rsidP="00C957A1">
      <w:pPr>
        <w:jc w:val="center"/>
        <w:rPr>
          <w:b/>
        </w:rPr>
      </w:pPr>
      <w:r>
        <w:rPr>
          <w:b/>
        </w:rPr>
        <w:t xml:space="preserve">Figure 1: Profitability ratio </w:t>
      </w:r>
    </w:p>
    <w:p w14:paraId="74B976CD" w14:textId="2B21AE86" w:rsidR="00C957A1" w:rsidRDefault="00C957A1" w:rsidP="00C957A1">
      <w:pPr>
        <w:jc w:val="center"/>
      </w:pPr>
      <w:r>
        <w:t>(Source: Learner)</w:t>
      </w:r>
    </w:p>
    <w:p w14:paraId="4E2397E8" w14:textId="3D2FE4AE" w:rsidR="00B15683" w:rsidRDefault="007F1FB9">
      <w:r>
        <w:t xml:space="preserve">Profitability ratios are used to </w:t>
      </w:r>
      <w:r w:rsidR="0027520C">
        <w:t xml:space="preserve">assess the ability of a firm </w:t>
      </w:r>
      <w:r>
        <w:t xml:space="preserve">to </w:t>
      </w:r>
      <w:r w:rsidR="0027520C">
        <w:t>accumulate</w:t>
      </w:r>
      <w:r>
        <w:t xml:space="preserve"> profits. The two </w:t>
      </w:r>
      <w:r w:rsidR="0027520C">
        <w:t>major</w:t>
      </w:r>
      <w:r>
        <w:t xml:space="preserve"> </w:t>
      </w:r>
      <w:r w:rsidR="0027520C">
        <w:t xml:space="preserve">ratio </w:t>
      </w:r>
      <w:r>
        <w:t xml:space="preserve">are the “gross profit margin and the net profit margin”. </w:t>
      </w:r>
      <w:r w:rsidR="0027520C">
        <w:t>“</w:t>
      </w:r>
      <w:r>
        <w:t>The gross profit margin</w:t>
      </w:r>
      <w:r w:rsidR="0027520C">
        <w:t>”</w:t>
      </w:r>
      <w:r>
        <w:t xml:space="preserve"> is </w:t>
      </w:r>
      <w:r w:rsidR="0027520C">
        <w:t xml:space="preserve">computed  </w:t>
      </w:r>
      <w:r>
        <w:t xml:space="preserve">by dividing </w:t>
      </w:r>
      <w:r w:rsidR="0027520C">
        <w:t>the profitability of the company with its sales</w:t>
      </w:r>
      <w:r>
        <w:t xml:space="preserve">. </w:t>
      </w:r>
      <w:r w:rsidR="0027520C">
        <w:t>On the other hand, “t</w:t>
      </w:r>
      <w:r>
        <w:t>he net profit margin</w:t>
      </w:r>
      <w:r w:rsidR="0027520C">
        <w:t>”</w:t>
      </w:r>
      <w:r>
        <w:t xml:space="preserve"> </w:t>
      </w:r>
      <w:r w:rsidR="0027520C">
        <w:t>also depicts the net profitability of the company which is a important factor to assess company financial capability</w:t>
      </w:r>
      <w:r>
        <w:t xml:space="preserve">. </w:t>
      </w:r>
      <w:r w:rsidR="0027520C">
        <w:t>“</w:t>
      </w:r>
      <w:r>
        <w:t>The gross profit margin</w:t>
      </w:r>
      <w:r w:rsidR="0027520C">
        <w:t>”</w:t>
      </w:r>
      <w:r>
        <w:t xml:space="preserve"> of Marriott International for the year ended 2020 was 13.80%. which increased to 20.20% in the year 2021. Thus, it can be seen that Marriott International’s gross profi</w:t>
      </w:r>
      <w:r>
        <w:t>t margin has slightly increased from the previous year. However, Marriott International’s net profit margin is higher than the hotel industry average. This means that Marriott International is more profitable than the hotel industry.</w:t>
      </w:r>
    </w:p>
    <w:p w14:paraId="46877CB7" w14:textId="77777777" w:rsidR="00B15683" w:rsidRDefault="007F1FB9">
      <w:pPr>
        <w:pStyle w:val="Heading2"/>
        <w:rPr>
          <w:rFonts w:eastAsia="Times New Roman" w:cs="Times New Roman"/>
          <w:b w:val="0"/>
          <w:color w:val="000000"/>
          <w:szCs w:val="24"/>
        </w:rPr>
      </w:pPr>
      <w:bookmarkStart w:id="6" w:name="_Toc121259770"/>
      <w:r>
        <w:t>Liquidity</w:t>
      </w:r>
      <w:bookmarkEnd w:id="6"/>
    </w:p>
    <w:p w14:paraId="56C865BA" w14:textId="39595EEF" w:rsidR="00B15683" w:rsidRDefault="0027520C">
      <w:r>
        <w:t>“Liquidity ratios” are considered in order to assess the firm’s ability to cater their short-term obligations. The two main liquidity ratios are the “current ratio and the quick ratio” (</w:t>
      </w:r>
      <w:r>
        <w:rPr>
          <w:color w:val="222222"/>
          <w:highlight w:val="white"/>
        </w:rPr>
        <w:t>Cottrell, 2017)</w:t>
      </w:r>
      <w:r>
        <w:t>.</w:t>
      </w:r>
    </w:p>
    <w:tbl>
      <w:tblPr>
        <w:tblStyle w:val="a0"/>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B15683" w14:paraId="5678F38E" w14:textId="77777777">
        <w:tc>
          <w:tcPr>
            <w:tcW w:w="2256" w:type="dxa"/>
            <w:shd w:val="clear" w:color="auto" w:fill="auto"/>
            <w:tcMar>
              <w:top w:w="100" w:type="dxa"/>
              <w:left w:w="100" w:type="dxa"/>
              <w:bottom w:w="100" w:type="dxa"/>
              <w:right w:w="100" w:type="dxa"/>
            </w:tcMar>
          </w:tcPr>
          <w:p w14:paraId="60F363F7" w14:textId="77777777" w:rsidR="00B15683" w:rsidRDefault="007F1FB9">
            <w:pPr>
              <w:widowControl w:val="0"/>
              <w:spacing w:after="0" w:line="240" w:lineRule="auto"/>
              <w:rPr>
                <w:b/>
              </w:rPr>
            </w:pPr>
            <w:r>
              <w:rPr>
                <w:b/>
              </w:rPr>
              <w:t>Particulars</w:t>
            </w:r>
          </w:p>
        </w:tc>
        <w:tc>
          <w:tcPr>
            <w:tcW w:w="2256" w:type="dxa"/>
            <w:shd w:val="clear" w:color="auto" w:fill="auto"/>
            <w:tcMar>
              <w:top w:w="100" w:type="dxa"/>
              <w:left w:w="100" w:type="dxa"/>
              <w:bottom w:w="100" w:type="dxa"/>
              <w:right w:w="100" w:type="dxa"/>
            </w:tcMar>
          </w:tcPr>
          <w:p w14:paraId="744EDAEF" w14:textId="77777777" w:rsidR="00B15683" w:rsidRDefault="007F1FB9">
            <w:pPr>
              <w:widowControl w:val="0"/>
              <w:spacing w:after="0" w:line="240" w:lineRule="auto"/>
              <w:rPr>
                <w:b/>
              </w:rPr>
            </w:pPr>
            <w:r>
              <w:rPr>
                <w:b/>
              </w:rPr>
              <w:t xml:space="preserve">Formula </w:t>
            </w:r>
          </w:p>
        </w:tc>
        <w:tc>
          <w:tcPr>
            <w:tcW w:w="2256" w:type="dxa"/>
            <w:shd w:val="clear" w:color="auto" w:fill="auto"/>
            <w:tcMar>
              <w:top w:w="100" w:type="dxa"/>
              <w:left w:w="100" w:type="dxa"/>
              <w:bottom w:w="100" w:type="dxa"/>
              <w:right w:w="100" w:type="dxa"/>
            </w:tcMar>
          </w:tcPr>
          <w:p w14:paraId="10320BB9" w14:textId="77777777" w:rsidR="00B15683" w:rsidRDefault="007F1FB9">
            <w:pPr>
              <w:widowControl w:val="0"/>
              <w:spacing w:after="0" w:line="240" w:lineRule="auto"/>
              <w:rPr>
                <w:b/>
              </w:rPr>
            </w:pPr>
            <w:r>
              <w:rPr>
                <w:b/>
              </w:rPr>
              <w:t>2021</w:t>
            </w:r>
          </w:p>
        </w:tc>
        <w:tc>
          <w:tcPr>
            <w:tcW w:w="2256" w:type="dxa"/>
            <w:shd w:val="clear" w:color="auto" w:fill="auto"/>
            <w:tcMar>
              <w:top w:w="100" w:type="dxa"/>
              <w:left w:w="100" w:type="dxa"/>
              <w:bottom w:w="100" w:type="dxa"/>
              <w:right w:w="100" w:type="dxa"/>
            </w:tcMar>
          </w:tcPr>
          <w:p w14:paraId="6AF86649" w14:textId="77777777" w:rsidR="00B15683" w:rsidRDefault="007F1FB9">
            <w:pPr>
              <w:widowControl w:val="0"/>
              <w:spacing w:after="0" w:line="240" w:lineRule="auto"/>
              <w:rPr>
                <w:b/>
              </w:rPr>
            </w:pPr>
            <w:r>
              <w:rPr>
                <w:b/>
              </w:rPr>
              <w:t>2020</w:t>
            </w:r>
          </w:p>
        </w:tc>
      </w:tr>
      <w:tr w:rsidR="00B15683" w14:paraId="277733BC" w14:textId="77777777">
        <w:tc>
          <w:tcPr>
            <w:tcW w:w="2256" w:type="dxa"/>
            <w:shd w:val="clear" w:color="auto" w:fill="auto"/>
            <w:tcMar>
              <w:top w:w="100" w:type="dxa"/>
              <w:left w:w="100" w:type="dxa"/>
              <w:bottom w:w="100" w:type="dxa"/>
              <w:right w:w="100" w:type="dxa"/>
            </w:tcMar>
          </w:tcPr>
          <w:p w14:paraId="7924844C" w14:textId="77777777" w:rsidR="00B15683" w:rsidRDefault="007F1FB9">
            <w:pPr>
              <w:spacing w:after="0"/>
              <w:rPr>
                <w:b/>
                <w:color w:val="000000"/>
              </w:rPr>
            </w:pPr>
            <w:r>
              <w:rPr>
                <w:b/>
                <w:color w:val="000000"/>
              </w:rPr>
              <w:t xml:space="preserve">“Current ratio” </w:t>
            </w:r>
          </w:p>
        </w:tc>
        <w:tc>
          <w:tcPr>
            <w:tcW w:w="2256" w:type="dxa"/>
            <w:shd w:val="clear" w:color="auto" w:fill="auto"/>
            <w:tcMar>
              <w:top w:w="100" w:type="dxa"/>
              <w:left w:w="100" w:type="dxa"/>
              <w:bottom w:w="100" w:type="dxa"/>
              <w:right w:w="100" w:type="dxa"/>
            </w:tcMar>
          </w:tcPr>
          <w:p w14:paraId="08F43F2A" w14:textId="77777777" w:rsidR="00B15683" w:rsidRDefault="007F1FB9">
            <w:pPr>
              <w:spacing w:after="0"/>
              <w:rPr>
                <w:b/>
                <w:color w:val="000000"/>
              </w:rPr>
            </w:pPr>
            <w:r>
              <w:rPr>
                <w:b/>
                <w:color w:val="000000"/>
              </w:rPr>
              <w:t>“[Current assets / Current liabilities]”</w:t>
            </w:r>
          </w:p>
        </w:tc>
        <w:tc>
          <w:tcPr>
            <w:tcW w:w="2256" w:type="dxa"/>
            <w:shd w:val="clear" w:color="auto" w:fill="auto"/>
            <w:tcMar>
              <w:top w:w="100" w:type="dxa"/>
              <w:left w:w="100" w:type="dxa"/>
              <w:bottom w:w="100" w:type="dxa"/>
              <w:right w:w="100" w:type="dxa"/>
            </w:tcMar>
          </w:tcPr>
          <w:p w14:paraId="1D27E2EF" w14:textId="77777777" w:rsidR="00B15683" w:rsidRDefault="007F1FB9">
            <w:pPr>
              <w:spacing w:after="0"/>
              <w:rPr>
                <w:b/>
                <w:color w:val="000000"/>
              </w:rPr>
            </w:pPr>
            <w:r>
              <w:rPr>
                <w:b/>
                <w:color w:val="000000"/>
              </w:rPr>
              <w:t>“[3626 / 6407] = 0.56”</w:t>
            </w:r>
          </w:p>
        </w:tc>
        <w:tc>
          <w:tcPr>
            <w:tcW w:w="2256" w:type="dxa"/>
            <w:shd w:val="clear" w:color="auto" w:fill="auto"/>
            <w:tcMar>
              <w:top w:w="100" w:type="dxa"/>
              <w:left w:w="100" w:type="dxa"/>
              <w:bottom w:w="100" w:type="dxa"/>
              <w:right w:w="100" w:type="dxa"/>
            </w:tcMar>
          </w:tcPr>
          <w:p w14:paraId="1E39B8E7" w14:textId="77777777" w:rsidR="00B15683" w:rsidRDefault="007F1FB9">
            <w:pPr>
              <w:spacing w:after="0"/>
              <w:rPr>
                <w:b/>
                <w:color w:val="000000"/>
              </w:rPr>
            </w:pPr>
            <w:r>
              <w:rPr>
                <w:b/>
                <w:color w:val="000000"/>
              </w:rPr>
              <w:t>“[2825 / 5752] = 0.49”</w:t>
            </w:r>
          </w:p>
        </w:tc>
      </w:tr>
      <w:tr w:rsidR="00B15683" w14:paraId="37D98499" w14:textId="77777777">
        <w:tc>
          <w:tcPr>
            <w:tcW w:w="2256" w:type="dxa"/>
            <w:shd w:val="clear" w:color="auto" w:fill="auto"/>
            <w:tcMar>
              <w:top w:w="100" w:type="dxa"/>
              <w:left w:w="100" w:type="dxa"/>
              <w:bottom w:w="100" w:type="dxa"/>
              <w:right w:w="100" w:type="dxa"/>
            </w:tcMar>
          </w:tcPr>
          <w:p w14:paraId="23088785" w14:textId="77777777" w:rsidR="00B15683" w:rsidRDefault="007F1FB9">
            <w:pPr>
              <w:spacing w:after="0"/>
              <w:rPr>
                <w:b/>
                <w:color w:val="000000"/>
              </w:rPr>
            </w:pPr>
            <w:r>
              <w:rPr>
                <w:b/>
                <w:color w:val="000000"/>
              </w:rPr>
              <w:t>“Quick ratio”</w:t>
            </w:r>
          </w:p>
        </w:tc>
        <w:tc>
          <w:tcPr>
            <w:tcW w:w="2256" w:type="dxa"/>
            <w:shd w:val="clear" w:color="auto" w:fill="auto"/>
            <w:tcMar>
              <w:top w:w="100" w:type="dxa"/>
              <w:left w:w="100" w:type="dxa"/>
              <w:bottom w:w="100" w:type="dxa"/>
              <w:right w:w="100" w:type="dxa"/>
            </w:tcMar>
          </w:tcPr>
          <w:p w14:paraId="1943B317" w14:textId="77777777" w:rsidR="00B15683" w:rsidRDefault="007F1FB9">
            <w:pPr>
              <w:spacing w:after="0"/>
              <w:rPr>
                <w:b/>
                <w:color w:val="000000"/>
              </w:rPr>
            </w:pPr>
            <w:r>
              <w:rPr>
                <w:b/>
                <w:color w:val="000000"/>
              </w:rPr>
              <w:t>“[(Current assets - Inventory) / Current liabilities]”</w:t>
            </w:r>
          </w:p>
        </w:tc>
        <w:tc>
          <w:tcPr>
            <w:tcW w:w="2256" w:type="dxa"/>
            <w:shd w:val="clear" w:color="auto" w:fill="auto"/>
            <w:tcMar>
              <w:top w:w="100" w:type="dxa"/>
              <w:left w:w="100" w:type="dxa"/>
              <w:bottom w:w="100" w:type="dxa"/>
              <w:right w:w="100" w:type="dxa"/>
            </w:tcMar>
          </w:tcPr>
          <w:p w14:paraId="553A2E8E" w14:textId="77777777" w:rsidR="00B15683" w:rsidRDefault="007F1FB9">
            <w:pPr>
              <w:spacing w:after="0"/>
              <w:rPr>
                <w:b/>
                <w:color w:val="000000"/>
              </w:rPr>
            </w:pPr>
            <w:r>
              <w:rPr>
                <w:b/>
                <w:color w:val="000000"/>
              </w:rPr>
              <w:t>“ [(3626 - 0) / 6407] = 0.56”</w:t>
            </w:r>
          </w:p>
        </w:tc>
        <w:tc>
          <w:tcPr>
            <w:tcW w:w="2256" w:type="dxa"/>
            <w:shd w:val="clear" w:color="auto" w:fill="auto"/>
            <w:tcMar>
              <w:top w:w="100" w:type="dxa"/>
              <w:left w:w="100" w:type="dxa"/>
              <w:bottom w:w="100" w:type="dxa"/>
              <w:right w:w="100" w:type="dxa"/>
            </w:tcMar>
          </w:tcPr>
          <w:p w14:paraId="3418D614" w14:textId="77777777" w:rsidR="00B15683" w:rsidRDefault="007F1FB9">
            <w:pPr>
              <w:spacing w:after="0"/>
              <w:rPr>
                <w:b/>
                <w:color w:val="000000"/>
              </w:rPr>
            </w:pPr>
            <w:r>
              <w:rPr>
                <w:b/>
                <w:color w:val="000000"/>
              </w:rPr>
              <w:t>“[(2825 - 0) / 5752] = 0.49”</w:t>
            </w:r>
          </w:p>
        </w:tc>
      </w:tr>
      <w:tr w:rsidR="00B15683" w14:paraId="11741F1D" w14:textId="77777777">
        <w:tc>
          <w:tcPr>
            <w:tcW w:w="2256" w:type="dxa"/>
            <w:shd w:val="clear" w:color="auto" w:fill="auto"/>
            <w:tcMar>
              <w:top w:w="100" w:type="dxa"/>
              <w:left w:w="100" w:type="dxa"/>
              <w:bottom w:w="100" w:type="dxa"/>
              <w:right w:w="100" w:type="dxa"/>
            </w:tcMar>
          </w:tcPr>
          <w:p w14:paraId="2EC0B86D" w14:textId="77777777" w:rsidR="00B15683" w:rsidRDefault="007F1FB9">
            <w:pPr>
              <w:spacing w:after="0"/>
              <w:rPr>
                <w:b/>
                <w:color w:val="000000"/>
              </w:rPr>
            </w:pPr>
            <w:r>
              <w:rPr>
                <w:b/>
                <w:color w:val="000000"/>
              </w:rPr>
              <w:t>“Accounting receivable days”</w:t>
            </w:r>
          </w:p>
        </w:tc>
        <w:tc>
          <w:tcPr>
            <w:tcW w:w="2256" w:type="dxa"/>
            <w:shd w:val="clear" w:color="auto" w:fill="auto"/>
            <w:tcMar>
              <w:top w:w="100" w:type="dxa"/>
              <w:left w:w="100" w:type="dxa"/>
              <w:bottom w:w="100" w:type="dxa"/>
              <w:right w:w="100" w:type="dxa"/>
            </w:tcMar>
          </w:tcPr>
          <w:p w14:paraId="326FF515" w14:textId="77777777" w:rsidR="00B15683" w:rsidRDefault="007F1FB9">
            <w:pPr>
              <w:spacing w:after="0"/>
              <w:rPr>
                <w:b/>
                <w:i/>
                <w:color w:val="000000"/>
              </w:rPr>
            </w:pPr>
            <w:r>
              <w:rPr>
                <w:b/>
                <w:i/>
                <w:color w:val="000000"/>
              </w:rPr>
              <w:t xml:space="preserve"> “[(Accoun</w:t>
            </w:r>
            <w:r>
              <w:rPr>
                <w:b/>
                <w:i/>
                <w:color w:val="000000"/>
              </w:rPr>
              <w:t>ting receivable x 365) / Revenue]”</w:t>
            </w:r>
          </w:p>
        </w:tc>
        <w:tc>
          <w:tcPr>
            <w:tcW w:w="2256" w:type="dxa"/>
            <w:shd w:val="clear" w:color="auto" w:fill="auto"/>
            <w:tcMar>
              <w:top w:w="100" w:type="dxa"/>
              <w:left w:w="100" w:type="dxa"/>
              <w:bottom w:w="100" w:type="dxa"/>
              <w:right w:w="100" w:type="dxa"/>
            </w:tcMar>
          </w:tcPr>
          <w:p w14:paraId="0C19E50C" w14:textId="77777777" w:rsidR="00B15683" w:rsidRDefault="007F1FB9">
            <w:pPr>
              <w:spacing w:after="0"/>
              <w:rPr>
                <w:b/>
                <w:i/>
                <w:color w:val="000000"/>
              </w:rPr>
            </w:pPr>
            <w:r>
              <w:rPr>
                <w:b/>
                <w:i/>
                <w:color w:val="000000"/>
              </w:rPr>
              <w:t xml:space="preserve">“[(1982 x 365) / 13857] = 52 days” </w:t>
            </w:r>
          </w:p>
        </w:tc>
        <w:tc>
          <w:tcPr>
            <w:tcW w:w="2256" w:type="dxa"/>
            <w:shd w:val="clear" w:color="auto" w:fill="auto"/>
            <w:tcMar>
              <w:top w:w="100" w:type="dxa"/>
              <w:left w:w="100" w:type="dxa"/>
              <w:bottom w:w="100" w:type="dxa"/>
              <w:right w:w="100" w:type="dxa"/>
            </w:tcMar>
          </w:tcPr>
          <w:p w14:paraId="5874BC99" w14:textId="77777777" w:rsidR="00B15683" w:rsidRDefault="007F1FB9">
            <w:pPr>
              <w:spacing w:after="0"/>
              <w:rPr>
                <w:b/>
                <w:i/>
                <w:color w:val="000000"/>
              </w:rPr>
            </w:pPr>
            <w:r>
              <w:rPr>
                <w:b/>
                <w:i/>
                <w:color w:val="000000"/>
              </w:rPr>
              <w:t xml:space="preserve">“[(1768 x 365) / 10571] = 61 days” </w:t>
            </w:r>
          </w:p>
        </w:tc>
      </w:tr>
      <w:tr w:rsidR="00B15683" w14:paraId="01CE0579" w14:textId="77777777">
        <w:tc>
          <w:tcPr>
            <w:tcW w:w="2256" w:type="dxa"/>
            <w:shd w:val="clear" w:color="auto" w:fill="auto"/>
            <w:tcMar>
              <w:top w:w="100" w:type="dxa"/>
              <w:left w:w="100" w:type="dxa"/>
              <w:bottom w:w="100" w:type="dxa"/>
              <w:right w:w="100" w:type="dxa"/>
            </w:tcMar>
          </w:tcPr>
          <w:p w14:paraId="2EDA53BC" w14:textId="77777777" w:rsidR="00B15683" w:rsidRDefault="007F1FB9">
            <w:pPr>
              <w:spacing w:after="0"/>
              <w:rPr>
                <w:b/>
                <w:color w:val="000000"/>
              </w:rPr>
            </w:pPr>
            <w:r>
              <w:rPr>
                <w:b/>
                <w:color w:val="000000"/>
              </w:rPr>
              <w:t>“Accounting payable days”</w:t>
            </w:r>
          </w:p>
        </w:tc>
        <w:tc>
          <w:tcPr>
            <w:tcW w:w="2256" w:type="dxa"/>
            <w:shd w:val="clear" w:color="auto" w:fill="auto"/>
            <w:tcMar>
              <w:top w:w="100" w:type="dxa"/>
              <w:left w:w="100" w:type="dxa"/>
              <w:bottom w:w="100" w:type="dxa"/>
              <w:right w:w="100" w:type="dxa"/>
            </w:tcMar>
          </w:tcPr>
          <w:p w14:paraId="08CB0F9E" w14:textId="77777777" w:rsidR="00B15683" w:rsidRDefault="007F1FB9">
            <w:pPr>
              <w:spacing w:after="0"/>
              <w:rPr>
                <w:b/>
                <w:color w:val="000000"/>
              </w:rPr>
            </w:pPr>
            <w:r>
              <w:rPr>
                <w:b/>
                <w:color w:val="000000"/>
              </w:rPr>
              <w:t>“[(Accounting payable x 365) / Cost of goods sold ]”</w:t>
            </w:r>
          </w:p>
        </w:tc>
        <w:tc>
          <w:tcPr>
            <w:tcW w:w="2256" w:type="dxa"/>
            <w:shd w:val="clear" w:color="auto" w:fill="auto"/>
            <w:tcMar>
              <w:top w:w="100" w:type="dxa"/>
              <w:left w:w="100" w:type="dxa"/>
              <w:bottom w:w="100" w:type="dxa"/>
              <w:right w:w="100" w:type="dxa"/>
            </w:tcMar>
          </w:tcPr>
          <w:p w14:paraId="7122DC57" w14:textId="77777777" w:rsidR="00B15683" w:rsidRDefault="007F1FB9">
            <w:pPr>
              <w:spacing w:after="0"/>
              <w:rPr>
                <w:b/>
                <w:i/>
                <w:color w:val="000000"/>
              </w:rPr>
            </w:pPr>
            <w:r>
              <w:rPr>
                <w:b/>
                <w:color w:val="000000"/>
              </w:rPr>
              <w:t>“[(726 x 365) / 11056] = 24 days”</w:t>
            </w:r>
          </w:p>
        </w:tc>
        <w:tc>
          <w:tcPr>
            <w:tcW w:w="2256" w:type="dxa"/>
            <w:shd w:val="clear" w:color="auto" w:fill="auto"/>
            <w:tcMar>
              <w:top w:w="100" w:type="dxa"/>
              <w:left w:w="100" w:type="dxa"/>
              <w:bottom w:w="100" w:type="dxa"/>
              <w:right w:w="100" w:type="dxa"/>
            </w:tcMar>
          </w:tcPr>
          <w:p w14:paraId="616BDB6E" w14:textId="77777777" w:rsidR="00B15683" w:rsidRDefault="007F1FB9">
            <w:pPr>
              <w:spacing w:after="0"/>
              <w:rPr>
                <w:b/>
                <w:color w:val="000000"/>
              </w:rPr>
            </w:pPr>
            <w:r>
              <w:rPr>
                <w:b/>
                <w:color w:val="000000"/>
              </w:rPr>
              <w:t xml:space="preserve">“[(527 x 365) / 9112]  = 21 </w:t>
            </w:r>
            <w:r>
              <w:rPr>
                <w:b/>
                <w:color w:val="000000"/>
              </w:rPr>
              <w:t>days”</w:t>
            </w:r>
          </w:p>
        </w:tc>
      </w:tr>
    </w:tbl>
    <w:p w14:paraId="57B4A5C2" w14:textId="77777777" w:rsidR="00B15683" w:rsidRDefault="007F1FB9">
      <w:pPr>
        <w:jc w:val="center"/>
        <w:rPr>
          <w:b/>
        </w:rPr>
      </w:pPr>
      <w:r>
        <w:rPr>
          <w:b/>
        </w:rPr>
        <w:t xml:space="preserve">Table 2: Liquidity ratio </w:t>
      </w:r>
    </w:p>
    <w:p w14:paraId="4847E32A" w14:textId="4A7F1EEE" w:rsidR="00B15683" w:rsidRDefault="007F1FB9">
      <w:pPr>
        <w:jc w:val="center"/>
      </w:pPr>
      <w:r>
        <w:t>(Source: Learner)</w:t>
      </w:r>
    </w:p>
    <w:p w14:paraId="09D260B6" w14:textId="41C0F0BA" w:rsidR="00C957A1" w:rsidRDefault="00C957A1">
      <w:pPr>
        <w:jc w:val="center"/>
        <w:rPr>
          <w:rFonts w:ascii="Arial" w:eastAsia="Arial" w:hAnsi="Arial" w:cs="Arial"/>
          <w:color w:val="000000"/>
          <w:sz w:val="22"/>
          <w:szCs w:val="22"/>
        </w:rPr>
      </w:pPr>
      <w:r>
        <w:rPr>
          <w:noProof/>
        </w:rPr>
        <w:drawing>
          <wp:inline distT="0" distB="0" distL="0" distR="0" wp14:anchorId="4AA79D7D" wp14:editId="1B519855">
            <wp:extent cx="4343400" cy="2886075"/>
            <wp:effectExtent l="0" t="0" r="0" b="9525"/>
            <wp:docPr id="3" name="Chart 3" title="Chart">
              <a:extLst xmlns:a="http://schemas.openxmlformats.org/drawingml/2006/main">
                <a:ext uri="{FF2B5EF4-FFF2-40B4-BE49-F238E27FC236}">
                  <a16:creationId xmlns:a16="http://schemas.microsoft.com/office/drawing/2014/main" id="{00000000-0008-0000-0000-0000944B0B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49D233E" w14:textId="171D2B88" w:rsidR="00C957A1" w:rsidRDefault="00C957A1" w:rsidP="00C957A1">
      <w:pPr>
        <w:jc w:val="center"/>
        <w:rPr>
          <w:b/>
        </w:rPr>
      </w:pPr>
      <w:r>
        <w:rPr>
          <w:b/>
        </w:rPr>
        <w:t xml:space="preserve">Figure 2: Liquidity ratio </w:t>
      </w:r>
    </w:p>
    <w:p w14:paraId="21DFDFE5" w14:textId="551BD141" w:rsidR="00C957A1" w:rsidRPr="00C957A1" w:rsidRDefault="00C957A1" w:rsidP="00C957A1">
      <w:pPr>
        <w:jc w:val="center"/>
      </w:pPr>
      <w:r>
        <w:t>(Source: Learner)</w:t>
      </w:r>
    </w:p>
    <w:p w14:paraId="08E28B04" w14:textId="77777777" w:rsidR="00B15683" w:rsidRDefault="007F1FB9">
      <w:r>
        <w:t>From the above analysis, it can be seen that Marriott International’s current ratio in 2020 is 0.49 which increased to 0.56. However, the company's liquidity is not much based on the industry average. The company has also been able to maintain its accounti</w:t>
      </w:r>
      <w:r>
        <w:t>ng payable days which was 21 days in 2020 that increased to over 24 days in the year 2021. In addition, the accounting  receivable days have also improved. In 2020 the receivable days were 61 days which was 52  days in 2021. it shows the effective inflow a</w:t>
      </w:r>
      <w:r>
        <w:t xml:space="preserve">nd outflow of cash to maintain effective liquidity. </w:t>
      </w:r>
    </w:p>
    <w:p w14:paraId="75FBDA3D" w14:textId="77777777" w:rsidR="00B15683" w:rsidRDefault="007F1FB9">
      <w:pPr>
        <w:pStyle w:val="Heading2"/>
        <w:rPr>
          <w:rFonts w:eastAsia="Times New Roman" w:cs="Times New Roman"/>
        </w:rPr>
      </w:pPr>
      <w:bookmarkStart w:id="7" w:name="_heading=h.utd3rs4o9chr" w:colFirst="0" w:colLast="0"/>
      <w:bookmarkStart w:id="8" w:name="_Toc121259771"/>
      <w:bookmarkEnd w:id="7"/>
      <w:r>
        <w:rPr>
          <w:rFonts w:eastAsia="Times New Roman" w:cs="Times New Roman"/>
        </w:rPr>
        <w:t>Gearing</w:t>
      </w:r>
      <w:bookmarkEnd w:id="8"/>
    </w:p>
    <w:p w14:paraId="59F0426E" w14:textId="04090B03" w:rsidR="00B15683" w:rsidRDefault="007F1FB9">
      <w:r>
        <w:t xml:space="preserve">The gearing ratio is a </w:t>
      </w:r>
      <w:r w:rsidR="0027520C">
        <w:t>“</w:t>
      </w:r>
      <w:r>
        <w:t>financial ratio</w:t>
      </w:r>
      <w:r w:rsidR="0027520C">
        <w:t>”</w:t>
      </w:r>
      <w:r>
        <w:t xml:space="preserve"> that is used to measure a company's capital structure. The gearing ratio is calculated by dividing a company's debt by its equity. A higher gearing ratio </w:t>
      </w:r>
      <w:r>
        <w:t>indicates a more leveraged company (</w:t>
      </w:r>
      <w:r>
        <w:rPr>
          <w:color w:val="222222"/>
          <w:highlight w:val="white"/>
        </w:rPr>
        <w:t>Cottrell, 2013)</w:t>
      </w:r>
      <w:r>
        <w:t xml:space="preserve">. Debt ratios are used to measure a company’s ability to service its debt. </w:t>
      </w:r>
    </w:p>
    <w:tbl>
      <w:tblPr>
        <w:tblStyle w:val="a1"/>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6B02E0" w14:paraId="12803A9F" w14:textId="77777777" w:rsidTr="006B02E0">
        <w:tc>
          <w:tcPr>
            <w:tcW w:w="2256" w:type="dxa"/>
            <w:shd w:val="clear" w:color="auto" w:fill="auto"/>
            <w:tcMar>
              <w:top w:w="100" w:type="dxa"/>
              <w:left w:w="100" w:type="dxa"/>
              <w:bottom w:w="100" w:type="dxa"/>
              <w:right w:w="100" w:type="dxa"/>
            </w:tcMar>
          </w:tcPr>
          <w:p w14:paraId="26E105EE" w14:textId="365FC770" w:rsidR="006B02E0" w:rsidRDefault="006B02E0" w:rsidP="006B02E0">
            <w:pPr>
              <w:spacing w:after="0"/>
              <w:rPr>
                <w:b/>
                <w:color w:val="000000"/>
              </w:rPr>
            </w:pPr>
            <w:r>
              <w:rPr>
                <w:b/>
              </w:rPr>
              <w:t>Particulars</w:t>
            </w:r>
          </w:p>
        </w:tc>
        <w:tc>
          <w:tcPr>
            <w:tcW w:w="2256" w:type="dxa"/>
            <w:shd w:val="clear" w:color="auto" w:fill="auto"/>
            <w:tcMar>
              <w:top w:w="100" w:type="dxa"/>
              <w:left w:w="100" w:type="dxa"/>
              <w:bottom w:w="100" w:type="dxa"/>
              <w:right w:w="100" w:type="dxa"/>
            </w:tcMar>
          </w:tcPr>
          <w:p w14:paraId="21AD4831" w14:textId="1372F71F" w:rsidR="006B02E0" w:rsidRDefault="006B02E0" w:rsidP="006B02E0">
            <w:pPr>
              <w:spacing w:after="0"/>
              <w:rPr>
                <w:b/>
                <w:color w:val="000000"/>
              </w:rPr>
            </w:pPr>
            <w:r>
              <w:rPr>
                <w:b/>
              </w:rPr>
              <w:t xml:space="preserve">Formula </w:t>
            </w:r>
          </w:p>
        </w:tc>
        <w:tc>
          <w:tcPr>
            <w:tcW w:w="2257" w:type="dxa"/>
            <w:shd w:val="clear" w:color="auto" w:fill="auto"/>
            <w:tcMar>
              <w:top w:w="100" w:type="dxa"/>
              <w:left w:w="100" w:type="dxa"/>
              <w:bottom w:w="100" w:type="dxa"/>
              <w:right w:w="100" w:type="dxa"/>
            </w:tcMar>
          </w:tcPr>
          <w:p w14:paraId="0FB73348" w14:textId="3C7F1529" w:rsidR="006B02E0" w:rsidRDefault="006B02E0" w:rsidP="006B02E0">
            <w:pPr>
              <w:spacing w:after="0"/>
              <w:rPr>
                <w:b/>
                <w:color w:val="000000"/>
              </w:rPr>
            </w:pPr>
            <w:r>
              <w:rPr>
                <w:b/>
              </w:rPr>
              <w:t>2021</w:t>
            </w:r>
          </w:p>
        </w:tc>
        <w:tc>
          <w:tcPr>
            <w:tcW w:w="2257" w:type="dxa"/>
            <w:shd w:val="clear" w:color="auto" w:fill="auto"/>
            <w:tcMar>
              <w:top w:w="100" w:type="dxa"/>
              <w:left w:w="100" w:type="dxa"/>
              <w:bottom w:w="100" w:type="dxa"/>
              <w:right w:w="100" w:type="dxa"/>
            </w:tcMar>
          </w:tcPr>
          <w:p w14:paraId="0236FC78" w14:textId="725BA8DF" w:rsidR="006B02E0" w:rsidRDefault="006B02E0" w:rsidP="006B02E0">
            <w:pPr>
              <w:spacing w:after="0"/>
              <w:rPr>
                <w:b/>
                <w:color w:val="000000"/>
              </w:rPr>
            </w:pPr>
            <w:r>
              <w:rPr>
                <w:b/>
              </w:rPr>
              <w:t>2020</w:t>
            </w:r>
          </w:p>
        </w:tc>
      </w:tr>
      <w:tr w:rsidR="006B02E0" w14:paraId="3CDD875C" w14:textId="77777777" w:rsidTr="006B02E0">
        <w:tc>
          <w:tcPr>
            <w:tcW w:w="2256" w:type="dxa"/>
            <w:shd w:val="clear" w:color="auto" w:fill="auto"/>
            <w:tcMar>
              <w:top w:w="100" w:type="dxa"/>
              <w:left w:w="100" w:type="dxa"/>
              <w:bottom w:w="100" w:type="dxa"/>
              <w:right w:w="100" w:type="dxa"/>
            </w:tcMar>
          </w:tcPr>
          <w:p w14:paraId="713161EE" w14:textId="77777777" w:rsidR="006B02E0" w:rsidRDefault="006B02E0" w:rsidP="006B02E0">
            <w:pPr>
              <w:spacing w:after="0"/>
              <w:rPr>
                <w:b/>
                <w:color w:val="000000"/>
              </w:rPr>
            </w:pPr>
            <w:r>
              <w:rPr>
                <w:b/>
                <w:color w:val="000000"/>
              </w:rPr>
              <w:t xml:space="preserve">“Debt ratio”  </w:t>
            </w:r>
          </w:p>
        </w:tc>
        <w:tc>
          <w:tcPr>
            <w:tcW w:w="2256" w:type="dxa"/>
            <w:shd w:val="clear" w:color="auto" w:fill="auto"/>
            <w:tcMar>
              <w:top w:w="100" w:type="dxa"/>
              <w:left w:w="100" w:type="dxa"/>
              <w:bottom w:w="100" w:type="dxa"/>
              <w:right w:w="100" w:type="dxa"/>
            </w:tcMar>
          </w:tcPr>
          <w:p w14:paraId="0E86DDDA" w14:textId="77777777" w:rsidR="006B02E0" w:rsidRDefault="006B02E0" w:rsidP="006B02E0">
            <w:pPr>
              <w:spacing w:after="0"/>
              <w:rPr>
                <w:b/>
                <w:color w:val="000000"/>
              </w:rPr>
            </w:pPr>
            <w:r>
              <w:rPr>
                <w:b/>
                <w:color w:val="000000"/>
              </w:rPr>
              <w:t>“[Total debts / Total assets]”</w:t>
            </w:r>
          </w:p>
        </w:tc>
        <w:tc>
          <w:tcPr>
            <w:tcW w:w="2257" w:type="dxa"/>
            <w:shd w:val="clear" w:color="auto" w:fill="auto"/>
            <w:tcMar>
              <w:top w:w="100" w:type="dxa"/>
              <w:left w:w="100" w:type="dxa"/>
              <w:bottom w:w="100" w:type="dxa"/>
              <w:right w:w="100" w:type="dxa"/>
            </w:tcMar>
          </w:tcPr>
          <w:p w14:paraId="66F9A75F" w14:textId="77777777" w:rsidR="006B02E0" w:rsidRDefault="006B02E0" w:rsidP="006B02E0">
            <w:pPr>
              <w:spacing w:after="0"/>
              <w:rPr>
                <w:b/>
                <w:color w:val="000000"/>
              </w:rPr>
            </w:pPr>
            <w:r>
              <w:rPr>
                <w:b/>
                <w:color w:val="000000"/>
              </w:rPr>
              <w:t>“[17732/ 25553] x 100 = 0.69”</w:t>
            </w:r>
          </w:p>
        </w:tc>
        <w:tc>
          <w:tcPr>
            <w:tcW w:w="2257" w:type="dxa"/>
            <w:shd w:val="clear" w:color="auto" w:fill="auto"/>
            <w:tcMar>
              <w:top w:w="100" w:type="dxa"/>
              <w:left w:w="100" w:type="dxa"/>
              <w:bottom w:w="100" w:type="dxa"/>
              <w:right w:w="100" w:type="dxa"/>
            </w:tcMar>
          </w:tcPr>
          <w:p w14:paraId="1296C3AD" w14:textId="77777777" w:rsidR="006B02E0" w:rsidRDefault="006B02E0" w:rsidP="006B02E0">
            <w:pPr>
              <w:spacing w:after="0"/>
              <w:rPr>
                <w:b/>
                <w:color w:val="000000"/>
              </w:rPr>
            </w:pPr>
            <w:r>
              <w:rPr>
                <w:b/>
                <w:color w:val="000000"/>
              </w:rPr>
              <w:t>“[18519/ 24701] x 100 = 0.75”</w:t>
            </w:r>
          </w:p>
        </w:tc>
      </w:tr>
      <w:tr w:rsidR="006B02E0" w14:paraId="0CF00E91" w14:textId="77777777" w:rsidTr="006B02E0">
        <w:tc>
          <w:tcPr>
            <w:tcW w:w="2256" w:type="dxa"/>
            <w:shd w:val="clear" w:color="auto" w:fill="auto"/>
            <w:tcMar>
              <w:top w:w="100" w:type="dxa"/>
              <w:left w:w="100" w:type="dxa"/>
              <w:bottom w:w="100" w:type="dxa"/>
              <w:right w:w="100" w:type="dxa"/>
            </w:tcMar>
          </w:tcPr>
          <w:p w14:paraId="199EA127" w14:textId="77777777" w:rsidR="006B02E0" w:rsidRDefault="006B02E0" w:rsidP="006B02E0">
            <w:pPr>
              <w:spacing w:after="0"/>
              <w:rPr>
                <w:b/>
                <w:color w:val="000000"/>
              </w:rPr>
            </w:pPr>
            <w:r>
              <w:rPr>
                <w:b/>
                <w:color w:val="000000"/>
              </w:rPr>
              <w:t>“Interest Coverage”</w:t>
            </w:r>
          </w:p>
        </w:tc>
        <w:tc>
          <w:tcPr>
            <w:tcW w:w="2256" w:type="dxa"/>
            <w:shd w:val="clear" w:color="auto" w:fill="auto"/>
            <w:tcMar>
              <w:top w:w="100" w:type="dxa"/>
              <w:left w:w="100" w:type="dxa"/>
              <w:bottom w:w="100" w:type="dxa"/>
              <w:right w:w="100" w:type="dxa"/>
            </w:tcMar>
          </w:tcPr>
          <w:p w14:paraId="759908A4" w14:textId="77777777" w:rsidR="006B02E0" w:rsidRDefault="006B02E0" w:rsidP="006B02E0">
            <w:pPr>
              <w:spacing w:after="0"/>
              <w:rPr>
                <w:b/>
                <w:color w:val="000000"/>
              </w:rPr>
            </w:pPr>
            <w:r>
              <w:rPr>
                <w:b/>
                <w:color w:val="000000"/>
              </w:rPr>
              <w:t>“[Profit before interest and tax / Interest charges]”</w:t>
            </w:r>
          </w:p>
        </w:tc>
        <w:tc>
          <w:tcPr>
            <w:tcW w:w="2257" w:type="dxa"/>
            <w:shd w:val="clear" w:color="auto" w:fill="auto"/>
            <w:tcMar>
              <w:top w:w="100" w:type="dxa"/>
              <w:left w:w="100" w:type="dxa"/>
              <w:bottom w:w="100" w:type="dxa"/>
              <w:right w:w="100" w:type="dxa"/>
            </w:tcMar>
          </w:tcPr>
          <w:p w14:paraId="0AED739E" w14:textId="77777777" w:rsidR="006B02E0" w:rsidRDefault="006B02E0" w:rsidP="006B02E0">
            <w:pPr>
              <w:spacing w:after="0"/>
              <w:rPr>
                <w:b/>
                <w:color w:val="000000"/>
              </w:rPr>
            </w:pPr>
            <w:r>
              <w:rPr>
                <w:b/>
                <w:color w:val="000000"/>
              </w:rPr>
              <w:t>“[1750/ 420] x 100 = 4.17”</w:t>
            </w:r>
          </w:p>
        </w:tc>
        <w:tc>
          <w:tcPr>
            <w:tcW w:w="2257" w:type="dxa"/>
            <w:shd w:val="clear" w:color="auto" w:fill="auto"/>
            <w:tcMar>
              <w:top w:w="100" w:type="dxa"/>
              <w:left w:w="100" w:type="dxa"/>
              <w:bottom w:w="100" w:type="dxa"/>
              <w:right w:w="100" w:type="dxa"/>
            </w:tcMar>
          </w:tcPr>
          <w:p w14:paraId="52792793" w14:textId="77777777" w:rsidR="006B02E0" w:rsidRDefault="006B02E0" w:rsidP="006B02E0">
            <w:pPr>
              <w:spacing w:after="0"/>
              <w:rPr>
                <w:b/>
                <w:color w:val="000000"/>
              </w:rPr>
            </w:pPr>
            <w:r>
              <w:rPr>
                <w:b/>
                <w:color w:val="000000"/>
              </w:rPr>
              <w:t xml:space="preserve">“[84/ 445] x 100 = 0.19” </w:t>
            </w:r>
          </w:p>
        </w:tc>
      </w:tr>
    </w:tbl>
    <w:p w14:paraId="706B942F" w14:textId="77777777" w:rsidR="00B15683" w:rsidRDefault="00B15683">
      <w:pPr>
        <w:spacing w:after="0" w:line="276" w:lineRule="auto"/>
        <w:rPr>
          <w:rFonts w:ascii="Arial" w:eastAsia="Arial" w:hAnsi="Arial" w:cs="Arial"/>
          <w:color w:val="000000"/>
          <w:sz w:val="22"/>
          <w:szCs w:val="22"/>
        </w:rPr>
      </w:pPr>
    </w:p>
    <w:p w14:paraId="6A20C229" w14:textId="77777777" w:rsidR="00B15683" w:rsidRDefault="007F1FB9">
      <w:pPr>
        <w:jc w:val="center"/>
        <w:rPr>
          <w:b/>
        </w:rPr>
      </w:pPr>
      <w:r>
        <w:rPr>
          <w:b/>
        </w:rPr>
        <w:t xml:space="preserve">Table 3: Gearing ratio </w:t>
      </w:r>
    </w:p>
    <w:p w14:paraId="05C59F1A" w14:textId="48192147" w:rsidR="00B15683" w:rsidRDefault="007F1FB9">
      <w:pPr>
        <w:jc w:val="center"/>
      </w:pPr>
      <w:r>
        <w:t>(Source: Learner)</w:t>
      </w:r>
    </w:p>
    <w:p w14:paraId="071E7C6F" w14:textId="0188916D" w:rsidR="00C957A1" w:rsidRDefault="00C957A1">
      <w:pPr>
        <w:jc w:val="center"/>
      </w:pPr>
      <w:r>
        <w:rPr>
          <w:noProof/>
        </w:rPr>
        <w:drawing>
          <wp:inline distT="0" distB="0" distL="0" distR="0" wp14:anchorId="780E760E" wp14:editId="5DD3E4EE">
            <wp:extent cx="4429125" cy="2876550"/>
            <wp:effectExtent l="0" t="0" r="9525" b="0"/>
            <wp:docPr id="2" name="Chart 2" title="Chart">
              <a:extLst xmlns:a="http://schemas.openxmlformats.org/drawingml/2006/main">
                <a:ext uri="{FF2B5EF4-FFF2-40B4-BE49-F238E27FC236}">
                  <a16:creationId xmlns:a16="http://schemas.microsoft.com/office/drawing/2014/main" id="{00000000-0008-0000-0000-00008C0AA7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7FFA22E" w14:textId="553FDF4A" w:rsidR="00C957A1" w:rsidRDefault="00C957A1" w:rsidP="00C957A1">
      <w:pPr>
        <w:jc w:val="center"/>
        <w:rPr>
          <w:b/>
        </w:rPr>
      </w:pPr>
      <w:r>
        <w:rPr>
          <w:b/>
        </w:rPr>
        <w:t xml:space="preserve">Figure 3: Gearing ratio </w:t>
      </w:r>
    </w:p>
    <w:p w14:paraId="24FDADFB" w14:textId="77777777" w:rsidR="00C957A1" w:rsidRDefault="00C957A1" w:rsidP="00C957A1">
      <w:pPr>
        <w:jc w:val="center"/>
      </w:pPr>
      <w:r>
        <w:t>(Source: Learner)</w:t>
      </w:r>
    </w:p>
    <w:p w14:paraId="6F3FA73C" w14:textId="77777777" w:rsidR="00C957A1" w:rsidRDefault="00C957A1">
      <w:pPr>
        <w:jc w:val="center"/>
      </w:pPr>
    </w:p>
    <w:p w14:paraId="097553C2" w14:textId="2F509BA2" w:rsidR="00B15683" w:rsidRDefault="007F1FB9">
      <w:r>
        <w:t xml:space="preserve">From the given table, it can be seen that there has been a decrease in the debt ratio of the company. In 2020 the debt ratio was estimated to be 0.75 which </w:t>
      </w:r>
      <w:r w:rsidR="00B82AEC">
        <w:t>decreased</w:t>
      </w:r>
      <w:r>
        <w:t xml:space="preserve"> to 0.69. However, the company has been able to increase its interest coverage ratio which </w:t>
      </w:r>
      <w:r>
        <w:t>was 0.19 in 2020 that increased to 4.17. Based on the above analysis, it can be concluded that Marriott International is a financially healthy company and is doing better than its competitors.</w:t>
      </w:r>
    </w:p>
    <w:p w14:paraId="751AEC80" w14:textId="77777777" w:rsidR="00B15683" w:rsidRDefault="007F1FB9">
      <w:pPr>
        <w:pStyle w:val="Heading1"/>
        <w:rPr>
          <w:rFonts w:eastAsia="Times New Roman" w:cs="Times New Roman"/>
        </w:rPr>
      </w:pPr>
      <w:bookmarkStart w:id="9" w:name="_Toc121259772"/>
      <w:r>
        <w:rPr>
          <w:rFonts w:eastAsia="Times New Roman" w:cs="Times New Roman"/>
        </w:rPr>
        <w:t>Knowledge from Ratio Analysis</w:t>
      </w:r>
      <w:bookmarkEnd w:id="9"/>
    </w:p>
    <w:p w14:paraId="24EFDF17" w14:textId="77777777" w:rsidR="00B15683" w:rsidRDefault="007F1FB9">
      <w:pPr>
        <w:rPr>
          <w:b/>
        </w:rPr>
      </w:pPr>
      <w:r>
        <w:rPr>
          <w:b/>
        </w:rPr>
        <w:t>b) “You are to investigate the li</w:t>
      </w:r>
      <w:r>
        <w:rPr>
          <w:b/>
        </w:rPr>
        <w:t>mitation of ratio analysis, including why an understanding of ratios and their fluctuations is essential for Hotel management in analysing the information seen in their financial statements”</w:t>
      </w:r>
    </w:p>
    <w:p w14:paraId="214E411C" w14:textId="77777777" w:rsidR="00B15683" w:rsidRDefault="007F1FB9">
      <w:pPr>
        <w:rPr>
          <w:b/>
          <w:i/>
        </w:rPr>
      </w:pPr>
      <w:r>
        <w:rPr>
          <w:b/>
          <w:i/>
        </w:rPr>
        <w:t>Limitation of ratio analysis</w:t>
      </w:r>
    </w:p>
    <w:p w14:paraId="52249B26" w14:textId="77777777" w:rsidR="00B15683" w:rsidRDefault="007F1FB9">
      <w:r>
        <w:t xml:space="preserve">1. </w:t>
      </w:r>
      <w:r>
        <w:rPr>
          <w:b/>
        </w:rPr>
        <w:t>Limited historical data</w:t>
      </w:r>
      <w:r>
        <w:t>: Ratio an</w:t>
      </w:r>
      <w:r>
        <w:t>alysis is based on past performance which means that it is limited by the information available. If a company has not been in existence for a long time or has not filed its financial statements for a number of years, it can be difficult to make accurate co</w:t>
      </w:r>
      <w:r>
        <w:t>mparisons (</w:t>
      </w:r>
      <w:r>
        <w:rPr>
          <w:color w:val="222222"/>
          <w:highlight w:val="white"/>
        </w:rPr>
        <w:t>Cottrell and Morris, 2017)</w:t>
      </w:r>
      <w:r>
        <w:t>.</w:t>
      </w:r>
    </w:p>
    <w:p w14:paraId="6160E1AF" w14:textId="77777777" w:rsidR="00B15683" w:rsidRDefault="007F1FB9">
      <w:r>
        <w:t xml:space="preserve"> 2. </w:t>
      </w:r>
      <w:r>
        <w:rPr>
          <w:b/>
        </w:rPr>
        <w:t>Accounting policies:</w:t>
      </w:r>
      <w:r>
        <w:t xml:space="preserve"> Different companies may have different accounting policies which can affect the reported figures. This can mean that the comparability of the results is reduced. 3. </w:t>
      </w:r>
      <w:r>
        <w:rPr>
          <w:b/>
        </w:rPr>
        <w:t>Data manipulation:</w:t>
      </w:r>
      <w:r>
        <w:t xml:space="preserve"> Companie</w:t>
      </w:r>
      <w:r>
        <w:t xml:space="preserve">s may manipulate their financial statements in order to present a more favourable picture. This can mean that ratios are not as accurate as they should be. </w:t>
      </w:r>
    </w:p>
    <w:p w14:paraId="5CBEF175" w14:textId="77777777" w:rsidR="00B15683" w:rsidRDefault="007F1FB9">
      <w:r>
        <w:t xml:space="preserve">4. </w:t>
      </w:r>
      <w:r>
        <w:rPr>
          <w:b/>
        </w:rPr>
        <w:t>Subjective judgements:</w:t>
      </w:r>
      <w:r>
        <w:t xml:space="preserve"> Ratio analysis relies on judgements from analysts which can be subjective and lead to incorrect conclusions.</w:t>
      </w:r>
    </w:p>
    <w:p w14:paraId="2441EB26" w14:textId="77777777" w:rsidR="00B15683" w:rsidRDefault="007F1FB9">
      <w:r>
        <w:t xml:space="preserve">5. </w:t>
      </w:r>
      <w:r>
        <w:rPr>
          <w:b/>
        </w:rPr>
        <w:t>Not all aspects of a business:</w:t>
      </w:r>
      <w:r>
        <w:t xml:space="preserve"> Ratios are only able to provide a limited view of a business and its performance. It does not take into account </w:t>
      </w:r>
      <w:r>
        <w:t>other factors such as customer service, product quality and employee morale (</w:t>
      </w:r>
      <w:r>
        <w:rPr>
          <w:color w:val="222222"/>
          <w:highlight w:val="white"/>
        </w:rPr>
        <w:t xml:space="preserve">Kadim </w:t>
      </w:r>
      <w:r>
        <w:rPr>
          <w:i/>
          <w:color w:val="222222"/>
          <w:highlight w:val="white"/>
        </w:rPr>
        <w:t xml:space="preserve">et al., </w:t>
      </w:r>
      <w:r>
        <w:rPr>
          <w:color w:val="222222"/>
          <w:highlight w:val="white"/>
        </w:rPr>
        <w:t>2020)</w:t>
      </w:r>
      <w:r>
        <w:t>.</w:t>
      </w:r>
    </w:p>
    <w:p w14:paraId="0FE6DBE3" w14:textId="3A0045D0" w:rsidR="00B15683" w:rsidRDefault="00C957A1">
      <w:r>
        <w:t>Having an understanding of ratios as well as assessing their fluctuations allows the company to gain a better insight into the performance of their business. Ratios provide an easy way to compare different financial information such as “profit margin, liquidity, efficiency, and debt levels”. By examining these ratios, hotel managers can identify potential financial problems or areas of improvement and then take corrective action. Ratios can also be considered to compare the performance of different hotels or to compare the performance of the same hotel over different periods of time. This helps hotel managers identify trends in performance and make informed decisions about the direction of the business. Ratios along with their fluctuations are critical tools for hotel management to assess the financial health of their business. Ratios can provide a snapshot of the financial situation of a hotel, allowing managers to identify potential areas of improvement and to make more informed decisions when it comes to budgeting and expense control. Ratios can also help managers to compare their performance to similar businesses in the industry, and to track their progress over time. By understanding and monitoring these ratios, hotel managers can use the data to adjust their strategy and ensure that their business remains competitive.</w:t>
      </w:r>
    </w:p>
    <w:p w14:paraId="268E4718" w14:textId="77777777" w:rsidR="00B15683" w:rsidRDefault="007F1FB9">
      <w:pPr>
        <w:pStyle w:val="Heading1"/>
        <w:rPr>
          <w:rFonts w:eastAsia="Times New Roman" w:cs="Times New Roman"/>
        </w:rPr>
      </w:pPr>
      <w:bookmarkStart w:id="10" w:name="_Toc121259773"/>
      <w:r>
        <w:rPr>
          <w:rFonts w:eastAsia="Times New Roman" w:cs="Times New Roman"/>
        </w:rPr>
        <w:t>Benefits and Limitations of Ratio Analysis</w:t>
      </w:r>
      <w:bookmarkEnd w:id="10"/>
    </w:p>
    <w:p w14:paraId="3B4A1CF7" w14:textId="77777777" w:rsidR="00B15683" w:rsidRDefault="007F1FB9">
      <w:pPr>
        <w:rPr>
          <w:b/>
        </w:rPr>
      </w:pPr>
      <w:r>
        <w:rPr>
          <w:b/>
        </w:rPr>
        <w:t xml:space="preserve">c) “Outline your understanding of ratios and its </w:t>
      </w:r>
      <w:r>
        <w:rPr>
          <w:b/>
        </w:rPr>
        <w:t>importance for decision making”</w:t>
      </w:r>
    </w:p>
    <w:p w14:paraId="254600E1" w14:textId="14E19786" w:rsidR="00B15683" w:rsidRDefault="007F1FB9">
      <w:r>
        <w:t xml:space="preserve">Financial ratio analysis is a powerful tool that will allow companies to quickly and easily see how your business is performing in key areas. By tracking the ratios over time, the company will be able to identify trends and </w:t>
      </w:r>
      <w:r>
        <w:t>make informed decisions about where to focus their attention (</w:t>
      </w:r>
      <w:r>
        <w:rPr>
          <w:color w:val="222222"/>
          <w:highlight w:val="white"/>
        </w:rPr>
        <w:t>Ullah and Malik,  2020)</w:t>
      </w:r>
      <w:r>
        <w:t>. Financial ratios can be used to perform a quick snapshot comparison of a company's overall financial condition in a given year. Ratio analysis is helpful in decision mak</w:t>
      </w:r>
      <w:r>
        <w:t>ing as it provides a clear picture of the financial condition of the business. It helps the management to make informed decisions. It helps in detecting financial weaknesses. It helps the management to take corrective actions to improve the financial condi</w:t>
      </w:r>
      <w:r>
        <w:t xml:space="preserve">tion of the business. Ratio analysis is helpful in comparing the financial performance of the business with that of its competitors. </w:t>
      </w:r>
    </w:p>
    <w:p w14:paraId="099C86B7" w14:textId="77777777" w:rsidR="00B15683" w:rsidRDefault="007F1FB9">
      <w:pPr>
        <w:pStyle w:val="Heading1"/>
        <w:rPr>
          <w:rFonts w:eastAsia="Times New Roman" w:cs="Times New Roman"/>
          <w:b w:val="0"/>
          <w:color w:val="000000"/>
          <w:szCs w:val="24"/>
        </w:rPr>
      </w:pPr>
      <w:bookmarkStart w:id="11" w:name="_Toc121259774"/>
      <w:r>
        <w:t>Conclusion</w:t>
      </w:r>
      <w:bookmarkEnd w:id="11"/>
    </w:p>
    <w:p w14:paraId="54E8DF30" w14:textId="77777777" w:rsidR="00B15683" w:rsidRDefault="007F1FB9">
      <w:r>
        <w:t>To conclude, financial ratio analysis is a valuable tool for decision making. It can help managers assess a com</w:t>
      </w:r>
      <w:r>
        <w:t>pany's financial health, identify trends, and make informed decisions about where to allocate resources. ratios can also be used to benchmark a company's performance against its peers. With respect to Marriott International’s the company can implement Rati</w:t>
      </w:r>
      <w:r>
        <w:t>o analysis as a financial tool which allows them to evaluate different aspects of a company’s business. It can be used to compare a company’s financials to its competitors or industry average, or to track changes in a company’s financials over time. Marrio</w:t>
      </w:r>
      <w:r>
        <w:t>tt International’s ratio analysis can be used to evaluate the company’s financial health, profitability, and efficiency.</w:t>
      </w:r>
    </w:p>
    <w:p w14:paraId="04C723EF" w14:textId="77777777" w:rsidR="00B15683" w:rsidRDefault="00B15683"/>
    <w:p w14:paraId="66BA4616" w14:textId="77777777" w:rsidR="00B15683" w:rsidRDefault="00B15683"/>
    <w:p w14:paraId="131FB806" w14:textId="77777777" w:rsidR="00B15683" w:rsidRDefault="00B15683"/>
    <w:p w14:paraId="42E38596" w14:textId="77777777" w:rsidR="00B15683" w:rsidRDefault="00B15683"/>
    <w:p w14:paraId="2D88A94E" w14:textId="77777777" w:rsidR="00B15683" w:rsidRDefault="00B15683"/>
    <w:p w14:paraId="6ED3D8B2" w14:textId="77777777" w:rsidR="00B15683" w:rsidRDefault="00B15683"/>
    <w:p w14:paraId="502D09D1" w14:textId="77777777" w:rsidR="00B15683" w:rsidRDefault="00B15683"/>
    <w:p w14:paraId="6ADE7928" w14:textId="77777777" w:rsidR="00B15683" w:rsidRDefault="00B15683"/>
    <w:p w14:paraId="468A3D14" w14:textId="77777777" w:rsidR="00B82AEC" w:rsidRDefault="00B82AEC">
      <w:pPr>
        <w:rPr>
          <w:b/>
          <w:color w:val="auto"/>
          <w:szCs w:val="32"/>
        </w:rPr>
      </w:pPr>
      <w:bookmarkStart w:id="12" w:name="_Toc121259775"/>
      <w:r>
        <w:br w:type="page"/>
      </w:r>
    </w:p>
    <w:p w14:paraId="06A15BB4" w14:textId="426F6533" w:rsidR="00B15683" w:rsidRDefault="007F1FB9">
      <w:pPr>
        <w:pStyle w:val="Heading1"/>
        <w:rPr>
          <w:rFonts w:eastAsia="Times New Roman" w:cs="Times New Roman"/>
        </w:rPr>
      </w:pPr>
      <w:r>
        <w:rPr>
          <w:rFonts w:eastAsia="Times New Roman" w:cs="Times New Roman"/>
        </w:rPr>
        <w:t>Bibliography</w:t>
      </w:r>
      <w:bookmarkEnd w:id="12"/>
    </w:p>
    <w:p w14:paraId="723DB0C7" w14:textId="77777777" w:rsidR="00B82AEC" w:rsidRDefault="00B82AEC">
      <w:pPr>
        <w:rPr>
          <w:color w:val="222222"/>
          <w:highlight w:val="white"/>
        </w:rPr>
      </w:pPr>
      <w:r>
        <w:rPr>
          <w:color w:val="222222"/>
          <w:highlight w:val="white"/>
        </w:rPr>
        <w:t xml:space="preserve">Carter, A.G., Creedy, D.K. and Sidebotham, M., 2017. Critical thinking evaluation in reflective writing: Development and testing of Carter Assessment of Critical Thinking in Midwifery (Reflection). </w:t>
      </w:r>
      <w:r>
        <w:rPr>
          <w:i/>
          <w:color w:val="222222"/>
          <w:highlight w:val="white"/>
        </w:rPr>
        <w:t>Midwifery</w:t>
      </w:r>
      <w:r>
        <w:rPr>
          <w:color w:val="222222"/>
          <w:highlight w:val="white"/>
        </w:rPr>
        <w:t xml:space="preserve">, </w:t>
      </w:r>
      <w:r>
        <w:rPr>
          <w:i/>
          <w:color w:val="222222"/>
          <w:highlight w:val="white"/>
        </w:rPr>
        <w:t>54</w:t>
      </w:r>
      <w:r>
        <w:rPr>
          <w:color w:val="222222"/>
          <w:highlight w:val="white"/>
        </w:rPr>
        <w:t>, pp.73-80.</w:t>
      </w:r>
    </w:p>
    <w:p w14:paraId="43B3BB9A" w14:textId="77777777" w:rsidR="00B82AEC" w:rsidRDefault="00B82AEC">
      <w:pPr>
        <w:rPr>
          <w:color w:val="222222"/>
          <w:highlight w:val="white"/>
        </w:rPr>
      </w:pPr>
      <w:r>
        <w:rPr>
          <w:color w:val="222222"/>
          <w:highlight w:val="white"/>
        </w:rPr>
        <w:t xml:space="preserve">Cottrell, S. and Morris, N., 2017. </w:t>
      </w:r>
      <w:r>
        <w:rPr>
          <w:i/>
          <w:color w:val="222222"/>
          <w:highlight w:val="white"/>
        </w:rPr>
        <w:t>Study skills connected: using technology to support your studies</w:t>
      </w:r>
      <w:r>
        <w:rPr>
          <w:color w:val="222222"/>
          <w:highlight w:val="white"/>
        </w:rPr>
        <w:t>. Bloomsbury Publishing.</w:t>
      </w:r>
    </w:p>
    <w:p w14:paraId="6130DFC8" w14:textId="77777777" w:rsidR="00B82AEC" w:rsidRDefault="00B82AEC">
      <w:pPr>
        <w:rPr>
          <w:color w:val="222222"/>
          <w:highlight w:val="white"/>
        </w:rPr>
      </w:pPr>
      <w:r>
        <w:rPr>
          <w:color w:val="222222"/>
          <w:highlight w:val="white"/>
        </w:rPr>
        <w:t xml:space="preserve">Cottrell, S., 2010. </w:t>
      </w:r>
      <w:r>
        <w:rPr>
          <w:i/>
          <w:color w:val="222222"/>
          <w:highlight w:val="white"/>
        </w:rPr>
        <w:t>Skills for success</w:t>
      </w:r>
      <w:r>
        <w:rPr>
          <w:color w:val="222222"/>
          <w:highlight w:val="white"/>
        </w:rPr>
        <w:t>. Palgrave Macmillan.</w:t>
      </w:r>
    </w:p>
    <w:p w14:paraId="2B05D785" w14:textId="77777777" w:rsidR="00B82AEC" w:rsidRDefault="00B82AEC">
      <w:pPr>
        <w:rPr>
          <w:color w:val="222222"/>
          <w:highlight w:val="white"/>
        </w:rPr>
      </w:pPr>
      <w:r>
        <w:rPr>
          <w:color w:val="222222"/>
          <w:highlight w:val="white"/>
        </w:rPr>
        <w:t xml:space="preserve">Cottrell, S., 2013. </w:t>
      </w:r>
      <w:r>
        <w:rPr>
          <w:i/>
          <w:color w:val="222222"/>
          <w:highlight w:val="white"/>
        </w:rPr>
        <w:t>The study skills handbook</w:t>
      </w:r>
      <w:r>
        <w:rPr>
          <w:color w:val="222222"/>
          <w:highlight w:val="white"/>
        </w:rPr>
        <w:t>. Macmillan International Higher Education.</w:t>
      </w:r>
    </w:p>
    <w:p w14:paraId="1A29D752" w14:textId="77777777" w:rsidR="00B82AEC" w:rsidRDefault="00B82AEC">
      <w:pPr>
        <w:rPr>
          <w:color w:val="222222"/>
          <w:highlight w:val="white"/>
        </w:rPr>
      </w:pPr>
      <w:r>
        <w:rPr>
          <w:color w:val="222222"/>
          <w:highlight w:val="white"/>
        </w:rPr>
        <w:t xml:space="preserve">Cottrell, S., 2017. </w:t>
      </w:r>
      <w:r>
        <w:rPr>
          <w:i/>
          <w:color w:val="222222"/>
          <w:highlight w:val="white"/>
        </w:rPr>
        <w:t>The exam skills handbook: Achieving peak performance</w:t>
      </w:r>
      <w:r>
        <w:rPr>
          <w:color w:val="222222"/>
          <w:highlight w:val="white"/>
        </w:rPr>
        <w:t>. Bloomsbury Publishing.</w:t>
      </w:r>
    </w:p>
    <w:p w14:paraId="52361BA3" w14:textId="77777777" w:rsidR="00B82AEC" w:rsidRDefault="00B82AEC">
      <w:pPr>
        <w:rPr>
          <w:color w:val="222222"/>
          <w:highlight w:val="white"/>
        </w:rPr>
      </w:pPr>
      <w:r>
        <w:rPr>
          <w:color w:val="222222"/>
          <w:highlight w:val="white"/>
        </w:rPr>
        <w:t xml:space="preserve">Kadim, A., Sunardi, N. and Husain, T., 2020. The modeling firm's value based on financial ratios, intellectual capital and dividend policy. </w:t>
      </w:r>
      <w:r>
        <w:rPr>
          <w:i/>
          <w:color w:val="222222"/>
          <w:highlight w:val="white"/>
        </w:rPr>
        <w:t>Accounting</w:t>
      </w:r>
      <w:r>
        <w:rPr>
          <w:color w:val="222222"/>
          <w:highlight w:val="white"/>
        </w:rPr>
        <w:t xml:space="preserve">, </w:t>
      </w:r>
      <w:r>
        <w:rPr>
          <w:i/>
          <w:color w:val="222222"/>
          <w:highlight w:val="white"/>
        </w:rPr>
        <w:t>6</w:t>
      </w:r>
      <w:r>
        <w:rPr>
          <w:color w:val="222222"/>
          <w:highlight w:val="white"/>
        </w:rPr>
        <w:t>(5), pp.859-870.</w:t>
      </w:r>
    </w:p>
    <w:p w14:paraId="00CF148F" w14:textId="77777777" w:rsidR="00B82AEC" w:rsidRDefault="00B82AEC">
      <w:pPr>
        <w:rPr>
          <w:color w:val="222222"/>
          <w:highlight w:val="white"/>
        </w:rPr>
      </w:pPr>
      <w:r>
        <w:rPr>
          <w:color w:val="222222"/>
          <w:highlight w:val="white"/>
        </w:rPr>
        <w:t xml:space="preserve">marriott.com, 2022 Marriott International [Online] Available at: &lt;https://www.marriott.com/default.mi?scid=75ecff20-25a5-4cc5-ae8c-ad6f5a506571&amp;gclid=92469b51558a19cd2198f8de2c3cffec&amp;gclsrc=3p.ds&gt; [Accseed on 6th December 2022] </w:t>
      </w:r>
    </w:p>
    <w:p w14:paraId="23546B59" w14:textId="77777777" w:rsidR="00B82AEC" w:rsidRDefault="00B82AEC">
      <w:pPr>
        <w:rPr>
          <w:color w:val="222222"/>
          <w:highlight w:val="white"/>
        </w:rPr>
      </w:pPr>
      <w:r>
        <w:rPr>
          <w:color w:val="222222"/>
          <w:highlight w:val="white"/>
        </w:rPr>
        <w:t xml:space="preserve">Ullah, S. and Malik, Z.K., 2020. Analysis of the determinants of participation, strengths and weaknesses of vocational trainings of federally administered tribal area’s development authority. </w:t>
      </w:r>
      <w:r>
        <w:rPr>
          <w:i/>
          <w:color w:val="222222"/>
          <w:highlight w:val="white"/>
        </w:rPr>
        <w:t>International Journal of Economics and Financial Issues</w:t>
      </w:r>
      <w:r>
        <w:rPr>
          <w:color w:val="222222"/>
          <w:highlight w:val="white"/>
        </w:rPr>
        <w:t xml:space="preserve">, </w:t>
      </w:r>
      <w:r>
        <w:rPr>
          <w:i/>
          <w:color w:val="222222"/>
          <w:highlight w:val="white"/>
        </w:rPr>
        <w:t>10</w:t>
      </w:r>
      <w:r>
        <w:rPr>
          <w:color w:val="222222"/>
          <w:highlight w:val="white"/>
        </w:rPr>
        <w:t>(3), pp.149-157.</w:t>
      </w:r>
    </w:p>
    <w:p w14:paraId="78A6EE0D" w14:textId="77777777" w:rsidR="00B82AEC" w:rsidRDefault="00B82AEC">
      <w:pPr>
        <w:rPr>
          <w:color w:val="222222"/>
          <w:highlight w:val="white"/>
        </w:rPr>
      </w:pPr>
      <w:r>
        <w:rPr>
          <w:color w:val="222222"/>
          <w:highlight w:val="white"/>
        </w:rPr>
        <w:t>Wei, L., 2018. Marriott International, Inc: A Financial Analysis.</w:t>
      </w:r>
    </w:p>
    <w:p w14:paraId="77B62292" w14:textId="77777777" w:rsidR="00B15683" w:rsidRDefault="00B15683">
      <w:pPr>
        <w:rPr>
          <w:rFonts w:ascii="Arial" w:eastAsia="Arial" w:hAnsi="Arial" w:cs="Arial"/>
          <w:color w:val="222222"/>
          <w:sz w:val="20"/>
          <w:szCs w:val="20"/>
          <w:highlight w:val="white"/>
        </w:rPr>
      </w:pPr>
    </w:p>
    <w:p w14:paraId="21593B78" w14:textId="77777777" w:rsidR="00B15683" w:rsidRDefault="00B15683"/>
    <w:sectPr w:rsidR="00B15683">
      <w:headerReference w:type="default" r:id="rId12"/>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26EAC" w14:textId="77777777" w:rsidR="00FC319C" w:rsidRDefault="00FC319C">
      <w:pPr>
        <w:spacing w:after="0" w:line="240" w:lineRule="auto"/>
      </w:pPr>
      <w:r>
        <w:separator/>
      </w:r>
    </w:p>
  </w:endnote>
  <w:endnote w:type="continuationSeparator" w:id="0">
    <w:p w14:paraId="1D918A3C" w14:textId="77777777" w:rsidR="00FC319C" w:rsidRDefault="00FC3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8BED2" w14:textId="77777777" w:rsidR="00FC319C" w:rsidRDefault="00FC319C">
      <w:pPr>
        <w:spacing w:after="0" w:line="240" w:lineRule="auto"/>
      </w:pPr>
      <w:r>
        <w:separator/>
      </w:r>
    </w:p>
  </w:footnote>
  <w:footnote w:type="continuationSeparator" w:id="0">
    <w:p w14:paraId="61B8CE65" w14:textId="77777777" w:rsidR="00FC319C" w:rsidRDefault="00FC31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488F5" w14:textId="77777777" w:rsidR="00B15683" w:rsidRDefault="00B1568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683"/>
    <w:rsid w:val="00052B7A"/>
    <w:rsid w:val="001134C8"/>
    <w:rsid w:val="0016184E"/>
    <w:rsid w:val="0027520C"/>
    <w:rsid w:val="003A21A5"/>
    <w:rsid w:val="006B02E0"/>
    <w:rsid w:val="007F0B50"/>
    <w:rsid w:val="007F1FB9"/>
    <w:rsid w:val="00975097"/>
    <w:rsid w:val="00B15683"/>
    <w:rsid w:val="00B71488"/>
    <w:rsid w:val="00B82AEC"/>
    <w:rsid w:val="00BA502C"/>
    <w:rsid w:val="00BC63DF"/>
    <w:rsid w:val="00C957A1"/>
    <w:rsid w:val="00E4002F"/>
    <w:rsid w:val="00FC319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759BB"/>
  <w15:docId w15:val="{42C730E7-BBA4-4657-BBFA-4D534BAE8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53740"/>
        <w:sz w:val="24"/>
        <w:szCs w:val="24"/>
        <w:lang w:val="en-GB" w:eastAsia="en-US" w:bidi="bn-BD"/>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2AEC"/>
    <w:pPr>
      <w:keepNext/>
      <w:keepLines/>
      <w:spacing w:before="240" w:after="0"/>
      <w:outlineLvl w:val="0"/>
    </w:pPr>
    <w:rPr>
      <w:rFonts w:eastAsiaTheme="majorEastAsia" w:cstheme="majorBidi"/>
      <w:b/>
      <w:color w:val="auto"/>
      <w:szCs w:val="32"/>
    </w:rPr>
  </w:style>
  <w:style w:type="paragraph" w:styleId="Heading2">
    <w:name w:val="heading 2"/>
    <w:basedOn w:val="Normal"/>
    <w:next w:val="Normal"/>
    <w:link w:val="Heading2Char"/>
    <w:uiPriority w:val="9"/>
    <w:unhideWhenUsed/>
    <w:qFormat/>
    <w:rsid w:val="00C957A1"/>
    <w:pPr>
      <w:keepNext/>
      <w:keepLines/>
      <w:spacing w:before="40" w:after="0"/>
      <w:outlineLvl w:val="1"/>
    </w:pPr>
    <w:rPr>
      <w:rFonts w:eastAsiaTheme="majorEastAsia" w:cstheme="majorBidi"/>
      <w:b/>
      <w:color w:val="auto"/>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B82AEC"/>
    <w:rPr>
      <w:rFonts w:eastAsiaTheme="majorEastAsia" w:cstheme="majorBidi"/>
      <w:b/>
      <w:color w:val="auto"/>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C957A1"/>
    <w:rPr>
      <w:rFonts w:eastAsiaTheme="majorEastAsia" w:cstheme="majorBidi"/>
      <w:b/>
      <w:color w:val="auto"/>
      <w:szCs w:val="26"/>
    </w:rPr>
  </w:style>
  <w:style w:type="paragraph" w:styleId="TOC2">
    <w:name w:val="toc 2"/>
    <w:basedOn w:val="Normal"/>
    <w:next w:val="Normal"/>
    <w:autoRedefine/>
    <w:uiPriority w:val="39"/>
    <w:unhideWhenUsed/>
    <w:rsid w:val="00115B96"/>
    <w:pPr>
      <w:spacing w:after="100"/>
      <w:ind w:left="22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Desktop\simran\simran%20fl\New%20folder%20(2)\New%20folder\Financial%20Management%20for%20the%20Hotel%20Industry_Rox.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LENOVO\Desktop\simran\simran%20fl\New%20folder%20(2)\New%20folder\Financial%20Management%20for%20the%20Hotel%20Industry_Rox.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LENOVO\Desktop\simran\simran%20fl\New%20folder%20(2)\New%20folder\Financial%20Management%20for%20the%20Hotel%20Industry_Rox.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a:t>Profitability ratio</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2021</c:v>
          </c:tx>
          <c:spPr>
            <a:gradFill>
              <a:gsLst>
                <a:gs pos="100000">
                  <a:schemeClr val="accent1">
                    <a:alpha val="0"/>
                  </a:schemeClr>
                </a:gs>
                <a:gs pos="50000">
                  <a:schemeClr val="accent1"/>
                </a:gs>
              </a:gsLst>
              <a:lin ang="5400000" scaled="0"/>
            </a:gradFill>
            <a:ln>
              <a:noFill/>
            </a:ln>
            <a:effectLst/>
            <a:sp3d/>
          </c:spPr>
          <c:invertIfNegative val="1"/>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Sheet1!$D$6:$D$9</c:f>
              <c:strCache>
                <c:ptCount val="4"/>
                <c:pt idx="0">
                  <c:v>Gross profit </c:v>
                </c:pt>
                <c:pt idx="1">
                  <c:v>Net profit </c:v>
                </c:pt>
                <c:pt idx="2">
                  <c:v>ROCE</c:v>
                </c:pt>
                <c:pt idx="3">
                  <c:v>Assets turnover</c:v>
                </c:pt>
              </c:strCache>
            </c:strRef>
          </c:cat>
          <c:val>
            <c:numRef>
              <c:f>Sheet1!$E$6:$E$9</c:f>
              <c:numCache>
                <c:formatCode>0.0%</c:formatCode>
                <c:ptCount val="4"/>
                <c:pt idx="0">
                  <c:v>0.20213610449592265</c:v>
                </c:pt>
                <c:pt idx="1">
                  <c:v>7.9310095980370934E-2</c:v>
                </c:pt>
                <c:pt idx="2">
                  <c:v>9.1402904000835686E-2</c:v>
                </c:pt>
                <c:pt idx="3">
                  <c:v>0.7237543089940458</c:v>
                </c:pt>
              </c:numCache>
            </c:numRef>
          </c:val>
          <c:extLst>
            <c:ext xmlns:c16="http://schemas.microsoft.com/office/drawing/2014/chart" uri="{C3380CC4-5D6E-409C-BE32-E72D297353CC}">
              <c16:uniqueId val="{00000000-A7E6-4798-9D6B-62B10ECAA422}"/>
            </c:ext>
          </c:extLst>
        </c:ser>
        <c:ser>
          <c:idx val="1"/>
          <c:order val="1"/>
          <c:tx>
            <c:v>2020</c:v>
          </c:tx>
          <c:spPr>
            <a:gradFill>
              <a:gsLst>
                <a:gs pos="100000">
                  <a:schemeClr val="accent2">
                    <a:alpha val="0"/>
                  </a:schemeClr>
                </a:gs>
                <a:gs pos="50000">
                  <a:schemeClr val="accent2"/>
                </a:gs>
              </a:gsLst>
              <a:lin ang="5400000" scaled="0"/>
            </a:gradFill>
            <a:ln>
              <a:noFill/>
            </a:ln>
            <a:effectLst/>
            <a:sp3d/>
          </c:spPr>
          <c:invertIfNegative val="1"/>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Sheet1!$D$6:$D$9</c:f>
              <c:strCache>
                <c:ptCount val="4"/>
                <c:pt idx="0">
                  <c:v>Gross profit </c:v>
                </c:pt>
                <c:pt idx="1">
                  <c:v>Net profit </c:v>
                </c:pt>
                <c:pt idx="2">
                  <c:v>ROCE</c:v>
                </c:pt>
                <c:pt idx="3">
                  <c:v>Assets turnover</c:v>
                </c:pt>
              </c:strCache>
            </c:strRef>
          </c:cat>
          <c:val>
            <c:numRef>
              <c:f>Sheet1!$F$6:$F$9</c:f>
              <c:numCache>
                <c:formatCode>0.0%</c:formatCode>
                <c:ptCount val="4"/>
                <c:pt idx="0">
                  <c:v>0.13801910888279253</c:v>
                </c:pt>
                <c:pt idx="1">
                  <c:v>-2.5257780720840034E-2</c:v>
                </c:pt>
                <c:pt idx="2">
                  <c:v>4.4329516069449579E-3</c:v>
                </c:pt>
                <c:pt idx="3">
                  <c:v>0.55786585044065651</c:v>
                </c:pt>
              </c:numCache>
            </c:numRef>
          </c:val>
          <c:extLst>
            <c:ext xmlns:c16="http://schemas.microsoft.com/office/drawing/2014/chart" uri="{C3380CC4-5D6E-409C-BE32-E72D297353CC}">
              <c16:uniqueId val="{00000001-A7E6-4798-9D6B-62B10ECAA422}"/>
            </c:ext>
          </c:extLst>
        </c:ser>
        <c:dLbls>
          <c:showLegendKey val="0"/>
          <c:showVal val="0"/>
          <c:showCatName val="0"/>
          <c:showSerName val="0"/>
          <c:showPercent val="0"/>
          <c:showBubbleSize val="0"/>
        </c:dLbls>
        <c:gapWidth val="150"/>
        <c:gapDepth val="0"/>
        <c:shape val="box"/>
        <c:axId val="1347455905"/>
        <c:axId val="1221413729"/>
        <c:axId val="0"/>
      </c:bar3DChart>
      <c:catAx>
        <c:axId val="1347455905"/>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1413729"/>
        <c:crosses val="autoZero"/>
        <c:auto val="1"/>
        <c:lblAlgn val="ctr"/>
        <c:lblOffset val="100"/>
        <c:noMultiLvlLbl val="1"/>
      </c:catAx>
      <c:valAx>
        <c:axId val="1221413729"/>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745590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none" spc="50" baseline="0">
                <a:solidFill>
                  <a:schemeClr val="tx1">
                    <a:lumMod val="65000"/>
                    <a:lumOff val="35000"/>
                  </a:schemeClr>
                </a:solidFill>
                <a:latin typeface="+mn-lt"/>
                <a:ea typeface="+mn-ea"/>
                <a:cs typeface="+mn-cs"/>
              </a:defRPr>
            </a:pPr>
            <a:r>
              <a:rPr lang="en-US"/>
              <a:t>Liquidity ratio</a:t>
            </a:r>
          </a:p>
        </c:rich>
      </c:tx>
      <c:overlay val="0"/>
      <c:spPr>
        <a:noFill/>
        <a:ln>
          <a:noFill/>
        </a:ln>
        <a:effectLst/>
      </c:sp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1"/>
        <c:ser>
          <c:idx val="0"/>
          <c:order val="0"/>
          <c:tx>
            <c:v>2021</c:v>
          </c:tx>
          <c:spPr>
            <a:noFill/>
            <a:ln w="19050" cap="flat" cmpd="sng" algn="ctr">
              <a:solidFill>
                <a:schemeClr val="accent1"/>
              </a:solidFill>
              <a:miter lim="800000"/>
            </a:ln>
            <a:effectLst/>
            <a:sp3d contourW="19050">
              <a:contourClr>
                <a:schemeClr val="accent1"/>
              </a:contourClr>
            </a:sp3d>
          </c:spPr>
          <c:invertIfNegative val="1"/>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Sheet1!$D$14:$D$15</c:f>
              <c:strCache>
                <c:ptCount val="2"/>
                <c:pt idx="0">
                  <c:v>Accounting receivable</c:v>
                </c:pt>
                <c:pt idx="1">
                  <c:v>Accounting payable </c:v>
                </c:pt>
              </c:strCache>
            </c:strRef>
          </c:cat>
          <c:val>
            <c:numRef>
              <c:f>Sheet1!$E$14:$E$15</c:f>
              <c:numCache>
                <c:formatCode>0</c:formatCode>
                <c:ptCount val="2"/>
                <c:pt idx="0">
                  <c:v>52.206826874503861</c:v>
                </c:pt>
                <c:pt idx="1">
                  <c:v>23.967981186685961</c:v>
                </c:pt>
              </c:numCache>
            </c:numRef>
          </c:val>
          <c:extLst>
            <c:ext xmlns:c16="http://schemas.microsoft.com/office/drawing/2014/chart" uri="{C3380CC4-5D6E-409C-BE32-E72D297353CC}">
              <c16:uniqueId val="{00000000-F5D6-493F-B113-1E8326C29FB1}"/>
            </c:ext>
          </c:extLst>
        </c:ser>
        <c:ser>
          <c:idx val="1"/>
          <c:order val="1"/>
          <c:tx>
            <c:v>2020</c:v>
          </c:tx>
          <c:spPr>
            <a:noFill/>
            <a:ln w="19050" cap="flat" cmpd="sng" algn="ctr">
              <a:solidFill>
                <a:schemeClr val="accent2"/>
              </a:solidFill>
              <a:miter lim="800000"/>
            </a:ln>
            <a:effectLst/>
            <a:sp3d contourW="19050">
              <a:contourClr>
                <a:schemeClr val="accent2"/>
              </a:contourClr>
            </a:sp3d>
          </c:spPr>
          <c:invertIfNegative val="1"/>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Sheet1!$D$14:$D$15</c:f>
              <c:strCache>
                <c:ptCount val="2"/>
                <c:pt idx="0">
                  <c:v>Accounting receivable</c:v>
                </c:pt>
                <c:pt idx="1">
                  <c:v>Accounting payable </c:v>
                </c:pt>
              </c:strCache>
            </c:strRef>
          </c:cat>
          <c:val>
            <c:numRef>
              <c:f>Sheet1!$F$14:$F$15</c:f>
              <c:numCache>
                <c:formatCode>0</c:formatCode>
                <c:ptCount val="2"/>
                <c:pt idx="0">
                  <c:v>61.046258632106706</c:v>
                </c:pt>
                <c:pt idx="1">
                  <c:v>21.110074626865671</c:v>
                </c:pt>
              </c:numCache>
            </c:numRef>
          </c:val>
          <c:extLst>
            <c:ext xmlns:c16="http://schemas.microsoft.com/office/drawing/2014/chart" uri="{C3380CC4-5D6E-409C-BE32-E72D297353CC}">
              <c16:uniqueId val="{00000001-F5D6-493F-B113-1E8326C29FB1}"/>
            </c:ext>
          </c:extLst>
        </c:ser>
        <c:dLbls>
          <c:showLegendKey val="0"/>
          <c:showVal val="0"/>
          <c:showCatName val="0"/>
          <c:showSerName val="0"/>
          <c:showPercent val="0"/>
          <c:showBubbleSize val="0"/>
        </c:dLbls>
        <c:gapWidth val="164"/>
        <c:shape val="box"/>
        <c:axId val="689456929"/>
        <c:axId val="2037442243"/>
        <c:axId val="0"/>
      </c:bar3DChart>
      <c:catAx>
        <c:axId val="689456929"/>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2037442243"/>
        <c:crosses val="autoZero"/>
        <c:auto val="1"/>
        <c:lblAlgn val="ctr"/>
        <c:lblOffset val="100"/>
        <c:noMultiLvlLbl val="1"/>
      </c:catAx>
      <c:valAx>
        <c:axId val="2037442243"/>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rich>
          </c:tx>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689456929"/>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zero"/>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Gearing ratio</a:t>
            </a:r>
          </a:p>
        </c:rich>
      </c:tx>
      <c:overlay val="0"/>
      <c:spPr>
        <a:noFill/>
        <a:ln>
          <a:noFill/>
        </a:ln>
        <a:effectLst/>
      </c:spPr>
    </c:title>
    <c:autoTitleDeleted val="0"/>
    <c:plotArea>
      <c:layout/>
      <c:barChart>
        <c:barDir val="bar"/>
        <c:grouping val="clustered"/>
        <c:varyColors val="1"/>
        <c:ser>
          <c:idx val="0"/>
          <c:order val="0"/>
          <c:tx>
            <c:v>2021</c:v>
          </c:tx>
          <c:spPr>
            <a:noFill/>
            <a:ln w="9525" cap="flat" cmpd="sng" algn="ctr">
              <a:solidFill>
                <a:schemeClr val="accent1"/>
              </a:solidFill>
              <a:miter lim="800000"/>
            </a:ln>
            <a:effectLst>
              <a:glow rad="63500">
                <a:schemeClr val="accent1">
                  <a:satMod val="175000"/>
                  <a:alpha val="25000"/>
                </a:schemeClr>
              </a:glow>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Sheet1!$D$18:$D$19</c:f>
              <c:strCache>
                <c:ptCount val="2"/>
                <c:pt idx="0">
                  <c:v>Debt ratio </c:v>
                </c:pt>
                <c:pt idx="1">
                  <c:v>Interest coverage </c:v>
                </c:pt>
              </c:strCache>
            </c:strRef>
          </c:cat>
          <c:val>
            <c:numRef>
              <c:f>Sheet1!$E$18:$E$19</c:f>
              <c:numCache>
                <c:formatCode>0.00</c:formatCode>
                <c:ptCount val="2"/>
                <c:pt idx="0">
                  <c:v>0.6939302625914765</c:v>
                </c:pt>
                <c:pt idx="1">
                  <c:v>4.166666666666667</c:v>
                </c:pt>
              </c:numCache>
            </c:numRef>
          </c:val>
          <c:extLst>
            <c:ext xmlns:c16="http://schemas.microsoft.com/office/drawing/2014/chart" uri="{C3380CC4-5D6E-409C-BE32-E72D297353CC}">
              <c16:uniqueId val="{00000000-C107-4401-95C0-19EE33472D82}"/>
            </c:ext>
          </c:extLst>
        </c:ser>
        <c:ser>
          <c:idx val="1"/>
          <c:order val="1"/>
          <c:tx>
            <c:v>2020</c:v>
          </c:tx>
          <c:spPr>
            <a:noFill/>
            <a:ln w="9525" cap="flat" cmpd="sng" algn="ctr">
              <a:solidFill>
                <a:schemeClr val="accent2"/>
              </a:solidFill>
              <a:miter lim="800000"/>
            </a:ln>
            <a:effectLst>
              <a:glow rad="63500">
                <a:schemeClr val="accent2">
                  <a:satMod val="175000"/>
                  <a:alpha val="25000"/>
                </a:schemeClr>
              </a:glow>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Sheet1!$D$18:$D$19</c:f>
              <c:strCache>
                <c:ptCount val="2"/>
                <c:pt idx="0">
                  <c:v>Debt ratio </c:v>
                </c:pt>
                <c:pt idx="1">
                  <c:v>Interest coverage </c:v>
                </c:pt>
              </c:strCache>
            </c:strRef>
          </c:cat>
          <c:val>
            <c:numRef>
              <c:f>Sheet1!$F$18:$F$19</c:f>
              <c:numCache>
                <c:formatCode>0.00</c:formatCode>
                <c:ptCount val="2"/>
                <c:pt idx="0">
                  <c:v>0.7497267317112668</c:v>
                </c:pt>
                <c:pt idx="1">
                  <c:v>0.18876404494382024</c:v>
                </c:pt>
              </c:numCache>
            </c:numRef>
          </c:val>
          <c:extLst>
            <c:ext xmlns:c16="http://schemas.microsoft.com/office/drawing/2014/chart" uri="{C3380CC4-5D6E-409C-BE32-E72D297353CC}">
              <c16:uniqueId val="{00000001-C107-4401-95C0-19EE33472D82}"/>
            </c:ext>
          </c:extLst>
        </c:ser>
        <c:dLbls>
          <c:showLegendKey val="0"/>
          <c:showVal val="0"/>
          <c:showCatName val="0"/>
          <c:showSerName val="0"/>
          <c:showPercent val="0"/>
          <c:showBubbleSize val="0"/>
        </c:dLbls>
        <c:gapWidth val="315"/>
        <c:axId val="162604974"/>
        <c:axId val="959689147"/>
      </c:barChart>
      <c:catAx>
        <c:axId val="16260497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959689147"/>
        <c:crosses val="autoZero"/>
        <c:auto val="1"/>
        <c:lblAlgn val="ctr"/>
        <c:lblOffset val="100"/>
        <c:noMultiLvlLbl val="1"/>
      </c:catAx>
      <c:valAx>
        <c:axId val="959689147"/>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6260497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zero"/>
    <c:showDLblsOverMax val="1"/>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lGKor6ID36CsLLwGIROjDb1Wmg==">AMUW2mVFHQy8+y2WqIVfKXiXuklodk+QtcdZaXMO5GEFYIINh5zaM+CjXrSKaZ2Q1hHIrfDWQhoOattkp6T8zjNCe8tFfe+ldlDpobhk5Rjqk6xKGAQEtmtEgHNvBtRPVQ4zdQB0cgP5tcQHwWjFOUMG1Fu5oegD3BYe0iPZxrNmrTp2LyqTwGswxSbAZIU9wYILGFQ7MG4/fqb4N4rqjD6mrFnh4gVWXR40YJCRwSSYfoFC5Jk8s3a5ligiYjfsp1UwtC3Qsc+zouKpBUOgJjGB5W2T9rVgvmEwvlFdHB2nSVlQ53cZLo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2244</Words>
  <Characters>12793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Pitson</dc:creator>
  <cp:lastModifiedBy>ALB20858191 (Alexandra Albu)</cp:lastModifiedBy>
  <cp:revision>2</cp:revision>
  <dcterms:created xsi:type="dcterms:W3CDTF">2022-12-09T23:05:00Z</dcterms:created>
  <dcterms:modified xsi:type="dcterms:W3CDTF">2022-12-09T23:05:00Z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