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8"/>
                <w:rFonts w:ascii="Arial" w:hAnsi="Arial" w:cs="Arial"/>
                <w:bCs/>
                <w:sz w:val="22"/>
                <w:szCs w:val="22"/>
              </w:rPr>
              <w:t>https://mytsd.uwtsd.ac.uk</w:t>
            </w:r>
            <w:r>
              <w:rPr>
                <w:rStyle w:val="18"/>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eastAsia="宋体" w:cs="Arial"/>
                <w:sz w:val="22"/>
                <w:szCs w:val="22"/>
                <w:lang w:val="en-US" w:eastAsia="zh-CN"/>
              </w:rPr>
            </w:pPr>
            <w:r>
              <w:rPr>
                <w:rFonts w:hint="default" w:ascii="Arial" w:hAnsi="Arial" w:cs="Arial"/>
                <w:sz w:val="22"/>
                <w:szCs w:val="22"/>
                <w:lang w:val="en-US"/>
              </w:rPr>
              <w:t>M</w:t>
            </w:r>
            <w:r>
              <w:rPr>
                <w:rFonts w:hint="eastAsia" w:ascii="Arial" w:hAnsi="Arial" w:eastAsia="宋体" w:cs="Arial"/>
                <w:sz w:val="22"/>
                <w:szCs w:val="22"/>
                <w:lang w:val="en-US" w:eastAsia="zh-CN"/>
              </w:rPr>
              <w:t xml:space="preserve">ingmei </w:t>
            </w:r>
            <w:r>
              <w:rPr>
                <w:rFonts w:hint="default" w:ascii="Arial" w:hAnsi="Arial" w:eastAsia="宋体" w:cs="Arial"/>
                <w:sz w:val="22"/>
                <w:szCs w:val="22"/>
                <w:lang w:val="en-US" w:eastAsia="zh-CN"/>
              </w:rPr>
              <w:t>X</w:t>
            </w:r>
            <w:r>
              <w:rPr>
                <w:rFonts w:hint="eastAsia" w:ascii="Arial" w:hAnsi="Arial" w:eastAsia="宋体" w:cs="Arial"/>
                <w:sz w:val="22"/>
                <w:szCs w:val="22"/>
                <w:lang w:val="en-US" w:eastAsia="zh-CN"/>
              </w:rPr>
              <w:t>ue</w:t>
            </w:r>
          </w:p>
        </w:tc>
      </w:tr>
      <w:tr w14:paraId="58EB8D36">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868674973"/>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226438905"/>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2964C02">
            <w:pPr>
              <w:rPr>
                <w:rFonts w:ascii="Arial" w:hAnsi="Arial" w:cs="Arial"/>
                <w:sz w:val="22"/>
                <w:szCs w:val="22"/>
              </w:rPr>
            </w:pPr>
            <w:r>
              <w:rPr>
                <w:rFonts w:hint="default" w:ascii="Arial Regular" w:hAnsi="Arial Regular" w:cs="Arial Regular"/>
                <w:sz w:val="22"/>
                <w:szCs w:val="22"/>
                <w:lang w:val="en-US" w:eastAsia="zh-Hans"/>
              </w:rPr>
              <w:t>W</w:t>
            </w:r>
            <w:r>
              <w:rPr>
                <w:rFonts w:hint="default" w:ascii="Arial Regular" w:hAnsi="Arial Regular" w:eastAsia="宋体" w:cs="Arial Regular"/>
                <w:sz w:val="22"/>
                <w:szCs w:val="22"/>
                <w:lang w:val="en-US" w:eastAsia="zh-CN"/>
              </w:rPr>
              <w:t>ales institute of Science and Art</w:t>
            </w:r>
          </w:p>
        </w:tc>
      </w:tr>
      <w:tr w14:paraId="37E7F8A3">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57CB938A">
            <w:pPr>
              <w:rPr>
                <w:rFonts w:ascii="Arial" w:hAnsi="Arial" w:cs="Arial"/>
                <w:sz w:val="22"/>
                <w:szCs w:val="22"/>
              </w:rPr>
            </w:pPr>
            <w:r>
              <w:rPr>
                <w:rFonts w:ascii="Arial" w:hAnsi="Arial" w:cs="Arial"/>
                <w:sz w:val="22"/>
                <w:szCs w:val="22"/>
              </w:rPr>
              <w:t>UWTSD - Swansea</w:t>
            </w:r>
          </w:p>
        </w:tc>
      </w:tr>
      <w:tr w14:paraId="20811D96">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6D16D89E">
            <w:pPr>
              <w:rPr>
                <w:rFonts w:ascii="Arial" w:hAnsi="Arial" w:cs="Arial"/>
                <w:sz w:val="22"/>
                <w:szCs w:val="22"/>
              </w:rPr>
            </w:pPr>
            <w:r>
              <w:rPr>
                <w:rFonts w:hint="eastAsia" w:ascii="Arial" w:hAnsi="Arial" w:eastAsia="宋体" w:cs="Arial"/>
                <w:sz w:val="22"/>
                <w:szCs w:val="22"/>
                <w:lang w:val="en-US" w:eastAsia="zh-CN"/>
              </w:rPr>
              <w:t>2221944@student</w:t>
            </w:r>
            <w:r>
              <w:rPr>
                <w:rFonts w:hint="default" w:ascii="Arial" w:hAnsi="Arial" w:eastAsia="宋体" w:cs="Arial"/>
                <w:sz w:val="22"/>
                <w:szCs w:val="22"/>
                <w:lang w:val="en-US" w:eastAsia="zh-CN"/>
              </w:rPr>
              <w:t>.uwtsd.ac.uk</w:t>
            </w:r>
          </w:p>
        </w:tc>
      </w:tr>
      <w:tr w14:paraId="4AEAF2F1">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331BC1EA">
            <w:pPr>
              <w:rPr>
                <w:rFonts w:hint="default" w:ascii="Arial" w:hAnsi="Arial" w:cs="Arial"/>
                <w:sz w:val="22"/>
                <w:szCs w:val="22"/>
                <w:lang w:val="en-US"/>
              </w:rPr>
            </w:pPr>
            <w:r>
              <w:rPr>
                <w:rFonts w:hint="default" w:ascii="Arial" w:hAnsi="Arial" w:cs="Arial"/>
                <w:sz w:val="22"/>
                <w:szCs w:val="22"/>
                <w:lang w:val="en-US"/>
              </w:rPr>
              <w:t>7726439908</w:t>
            </w:r>
          </w:p>
        </w:tc>
      </w:tr>
      <w:tr w14:paraId="165283C3">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2221944</w:t>
            </w:r>
          </w:p>
        </w:tc>
      </w:tr>
      <w:tr w14:paraId="4EAC5A4D">
        <w:trPr>
          <w:trHeight w:val="624"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ascii="Arial" w:hAnsi="Arial" w:cs="Arial"/>
                <w:sz w:val="22"/>
                <w:szCs w:val="22"/>
              </w:rPr>
              <w:t>Professional Doctorate student in Art &amp; Design</w:t>
            </w:r>
          </w:p>
        </w:tc>
      </w:tr>
      <w:tr w14:paraId="49F32132">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6BE31CDC">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210632429"/>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8"/>
                <w:rFonts w:ascii="Arial" w:hAnsi="Arial" w:cs="Arial"/>
                <w:b/>
                <w:bCs/>
                <w:color w:val="auto"/>
                <w:sz w:val="22"/>
                <w:szCs w:val="22"/>
                <w:u w:val="none"/>
              </w:rPr>
              <w:t>UWTSD Research Ethics &amp; Integrity Code of Practice</w:t>
            </w:r>
            <w:r>
              <w:rPr>
                <w:rStyle w:val="18"/>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839162525"/>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72426404"/>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233301335"/>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583376501"/>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546003752"/>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280414811"/>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58553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310719935"/>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37201688"/>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08589251"/>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284398763"/>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2136C9F7">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pStyle w:val="9"/>
              <w:keepNext w:val="0"/>
              <w:keepLines w:val="0"/>
              <w:widowControl/>
              <w:suppressLineNumbers w:val="0"/>
              <w:rPr>
                <w:rFonts w:hint="default" w:ascii="Arial" w:hAnsi="Arial" w:eastAsia="宋体" w:cs="Arial"/>
                <w:sz w:val="22"/>
                <w:szCs w:val="22"/>
                <w:lang w:val="en-US" w:eastAsia="zh-CN"/>
              </w:rPr>
            </w:pPr>
            <w:r>
              <w:rPr>
                <w:rFonts w:hint="default" w:ascii="Arial Regular" w:hAnsi="Arial Regular" w:cs="Arial Regular"/>
                <w:sz w:val="22"/>
                <w:szCs w:val="22"/>
              </w:rPr>
              <w:t>Empathic Dialogue Prototype Design and Validation for Chinese Students in the UK</w:t>
            </w:r>
          </w:p>
        </w:tc>
      </w:tr>
      <w:tr w14:paraId="52752113">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hint="eastAsia" w:ascii="Arial" w:hAnsi="Arial" w:eastAsia="宋体" w:cs="Arial"/>
                <w:sz w:val="22"/>
                <w:szCs w:val="22"/>
                <w:lang w:val="en-US" w:eastAsia="zh-CN"/>
              </w:rPr>
            </w:pPr>
            <w:r>
              <w:rPr>
                <w:rFonts w:ascii="Arial" w:hAnsi="Arial" w:cs="Arial"/>
                <w:sz w:val="22"/>
                <w:szCs w:val="22"/>
                <w:lang w:val="en-US"/>
              </w:rPr>
              <w:t>07/202</w:t>
            </w:r>
            <w:r>
              <w:rPr>
                <w:rFonts w:hint="eastAsia" w:ascii="Arial" w:hAnsi="Arial" w:eastAsia="宋体" w:cs="Arial"/>
                <w:sz w:val="22"/>
                <w:szCs w:val="22"/>
                <w:lang w:val="en-US" w:eastAsia="zh-CN"/>
              </w:rPr>
              <w:t>6</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hint="eastAsia" w:ascii="Arial" w:hAnsi="Arial" w:eastAsia="宋体" w:cs="Arial"/>
                <w:sz w:val="22"/>
                <w:szCs w:val="22"/>
                <w:lang w:val="en-US" w:eastAsia="zh-CN"/>
              </w:rPr>
            </w:pPr>
            <w:r>
              <w:rPr>
                <w:rFonts w:ascii="Arial" w:hAnsi="Arial" w:cs="Arial"/>
                <w:sz w:val="22"/>
                <w:szCs w:val="22"/>
                <w:lang w:val="en-US"/>
              </w:rPr>
              <w:t>1</w:t>
            </w:r>
            <w:r>
              <w:rPr>
                <w:rFonts w:hint="eastAsia" w:ascii="Arial" w:hAnsi="Arial" w:eastAsia="宋体" w:cs="Arial"/>
                <w:sz w:val="22"/>
                <w:szCs w:val="22"/>
                <w:lang w:val="en-US" w:eastAsia="zh-CN"/>
              </w:rPr>
              <w:t>2</w:t>
            </w:r>
            <w:r>
              <w:rPr>
                <w:rFonts w:ascii="Arial" w:hAnsi="Arial" w:cs="Arial"/>
                <w:sz w:val="22"/>
                <w:szCs w:val="22"/>
                <w:lang w:val="en-US"/>
              </w:rPr>
              <w:t>/202</w:t>
            </w:r>
            <w:r>
              <w:rPr>
                <w:rFonts w:hint="eastAsia" w:ascii="Arial" w:hAnsi="Arial" w:eastAsia="宋体" w:cs="Arial"/>
                <w:sz w:val="22"/>
                <w:szCs w:val="22"/>
                <w:lang w:val="en-US" w:eastAsia="zh-CN"/>
              </w:rPr>
              <w:t>6</w:t>
            </w:r>
          </w:p>
        </w:tc>
      </w:tr>
      <w:tr w14:paraId="158575DD">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1"/>
              <w:numPr>
                <w:ilvl w:val="0"/>
                <w:numId w:val="1"/>
              </w:numPr>
              <w:ind w:left="0"/>
              <w:contextualSpacing w:val="0"/>
              <w:rPr>
                <w:rFonts w:ascii="Arial" w:hAnsi="Arial" w:cs="Arial"/>
                <w:i/>
              </w:rPr>
            </w:pPr>
            <w:r>
              <w:rPr>
                <w:rFonts w:ascii="Arial" w:hAnsi="Arial" w:cs="Arial"/>
                <w:i/>
              </w:rPr>
              <w:t>Purpose of Research Activity</w:t>
            </w:r>
          </w:p>
          <w:p w14:paraId="51A7B78C">
            <w:pPr>
              <w:pStyle w:val="31"/>
              <w:numPr>
                <w:ilvl w:val="0"/>
                <w:numId w:val="1"/>
              </w:numPr>
              <w:ind w:left="0"/>
              <w:contextualSpacing w:val="0"/>
              <w:rPr>
                <w:rFonts w:ascii="Arial" w:hAnsi="Arial" w:cs="Arial"/>
                <w:i/>
              </w:rPr>
            </w:pPr>
            <w:r>
              <w:rPr>
                <w:rFonts w:ascii="Arial" w:hAnsi="Arial" w:cs="Arial"/>
                <w:i/>
              </w:rPr>
              <w:t>Proposed Research Question</w:t>
            </w:r>
          </w:p>
          <w:p w14:paraId="2A394C41">
            <w:pPr>
              <w:pStyle w:val="31"/>
              <w:numPr>
                <w:ilvl w:val="0"/>
                <w:numId w:val="1"/>
              </w:numPr>
              <w:ind w:left="0"/>
              <w:contextualSpacing w:val="0"/>
              <w:rPr>
                <w:rFonts w:ascii="Arial" w:hAnsi="Arial" w:cs="Arial"/>
                <w:i/>
              </w:rPr>
            </w:pPr>
            <w:r>
              <w:rPr>
                <w:rFonts w:ascii="Arial" w:hAnsi="Arial" w:cs="Arial"/>
                <w:i/>
              </w:rPr>
              <w:t>Aims of Research Activity</w:t>
            </w:r>
          </w:p>
          <w:p w14:paraId="732F1DA5">
            <w:pPr>
              <w:pStyle w:val="31"/>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1"/>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40455E00">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 xml:space="preserve">This study aims to design and test a high-fidelity prototype for an AI emotional companion app targeting Chinese international students who have been in the UK for no more than 12 months. It seeks to help them achieve a subjective sense of “being present and understood” during high-pressure situations such as classroom participation, socialising with strangers, and cultural clashes. This, in turn, aims to alleviate immediate emotional distress and encourage small steps towards offline connections. Existing research indicates chatbots can provide short-term stress relief, with human-like presentation and empathetic dialogue enhancing trust and sustained usage. However, clear evidence remains lacking regarding which elements and mechanisms, and in what combination, prove most effective for specific scenarios faced by UK-based international students. Consequently, this study will co-design dialogue libraries with participants, producing reusable principles for presence-empathy design, dialogue materials, and a prototype </w:t>
            </w:r>
            <w:r>
              <w:rPr>
                <w:rFonts w:hint="default" w:ascii="Arial Regular" w:hAnsi="Arial Regular" w:cs="Arial Regular"/>
                <w:sz w:val="22"/>
                <w:szCs w:val="22"/>
                <w:lang w:val="en-US"/>
              </w:rPr>
              <w:t>A</w:t>
            </w:r>
            <w:r>
              <w:rPr>
                <w:rFonts w:hint="default" w:ascii="Arial Regular" w:hAnsi="Arial Regular" w:cs="Arial Regular"/>
                <w:sz w:val="22"/>
                <w:szCs w:val="22"/>
              </w:rPr>
              <w:t>pp.</w:t>
            </w: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374CF24F">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Which design elements (visual personification, empathetic phrasing structures, etc.) can most effectively make participants feel present and understood at critical moments, thereby reducing immediate negative emotions and facilitating small offline actions?</w:t>
            </w: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574A3C8C">
            <w:pPr>
              <w:rPr>
                <w:rFonts w:ascii="Arial" w:hAnsi="Arial" w:cs="Arial"/>
              </w:rPr>
            </w:pPr>
            <w:r>
              <w:rPr>
                <w:rFonts w:hint="eastAsia" w:ascii="Arial" w:hAnsi="Arial" w:cs="Arial"/>
                <w:color w:val="808080"/>
                <w:sz w:val="18"/>
                <w:szCs w:val="18"/>
              </w:rPr>
              <w:t>Identify and define a set of AI presence cues and visual anthropomorphic representations that consistently enhance the sense of being present and understood.Implement these cues within a functional prototype application.Assess the short-term impact on immediate emotional engagement and incremental offline connections.Establish clear design principles and a dialogue script library.</w:t>
            </w:r>
            <w:r>
              <w:rPr>
                <w:rFonts w:ascii="Arial" w:hAnsi="Arial" w:cs="Arial"/>
                <w:color w:val="808080"/>
                <w:sz w:val="18"/>
                <w:szCs w:val="18"/>
              </w:rPr>
              <w:t>(this box should expand as you type)</w:t>
            </w:r>
          </w:p>
        </w:tc>
      </w:tr>
      <w:tr w14:paraId="15B95D37">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67ED0148">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Define and categorise specific scenarios, operationalising ‘presence cues’ into toggleable design elements (rhythm, memory, anthropomorphism, empathetic phrasing), and establish concise metrics.</w:t>
            </w:r>
          </w:p>
          <w:p w14:paraId="0C1044E9">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Conduct participatory workshops to generate a dialogue atom library, implementing element toggles within a prototype app alongside minimal data collection (short questionnaires, interviews, usage logs, etc.).</w:t>
            </w:r>
          </w:p>
          <w:p w14:paraId="2359784C">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3. Through controlled dialogue testing (researchers simulate AI in the backend for precise presentation control), compare the effects of single vs. combined cues, low vs. high personification, and other conditions on perceived presence/understanding versus immediate negative emotions. Identify the minimal effective combination and its boundaries.</w:t>
            </w:r>
          </w:p>
          <w:p w14:paraId="63AA5A72">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4. Conduct small-scale testing with the minimal effective combination to evaluate completion rates and acceptance. Refine design principles and iterate the prototype.</w:t>
            </w: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2847E07E">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This study employed a mixed-methods approach, conducted in three phases: first, generating scenarios, cues, and dialogue materials through participatory workshops and dialogue laboratories; second, using WoZ dialogue testing to validate the mechanism of ‘presence cues – perceived presence/understanding – immediate negative emotions’; and finally, assessing feasibility and acceptability. The research subjects comprised Chinese international students aged 18 or above who had been in the UK for less than one year. Primary data types collected included workshop outputs (photographs of whiteboards and sticky notes, scenario and cue matrices, dialogue sentence banks, etc.), dialogue screen recordings and audio files with corresponding transcripts, instant mini-questionnaires, brief scales, and usage logs.</w:t>
            </w:r>
          </w:p>
          <w:p w14:paraId="14FA645B">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Step 1: Participatory Workshops and Dialogue Labs</w:t>
            </w:r>
          </w:p>
          <w:p w14:paraId="710F4D1C">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Conduct participatory workshops utilising scenario cards and touchpoint maps to identify high-pressure situations (classroom participation, socialising with strangers, cultural clashes, etc.). Co-create a ‘Scenario and Presence Cue’ matrix and dialogue atom sentence bank, while collecting ineffective or uncomfortable phrasing. Subsequently, dialogue laboratories were conducted: each participant engaged in two brief dialogues—one with a ‘generic AI’ and one with a ‘clue-enhanced AI’ (featuring personalised/anthropomorphic visuals, empathetic phrasing, and lightweight relational memory). Both dialogues were screen-recorded and audio-recorded, with playback interviews annotating each segment: ‘At which line did you feel present, understood, or interrupted? Why?’</w:t>
            </w:r>
          </w:p>
          <w:p w14:paraId="541B19A1">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Data: Whiteboard notes, sticky note photographs, opportunity matrix, phrase library inventory, etc.; dialogue recordings, audio and transcripts; playback interview recordings and transcripts; researcher observation notes; baseline forms.</w:t>
            </w:r>
          </w:p>
          <w:p w14:paraId="78D7F65F">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Step 2: Wizard-of-Oz Group Dialogue Testing</w:t>
            </w:r>
          </w:p>
          <w:p w14:paraId="7F3B9B00">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In a controlled environment, employ the Wizard-of-Oz method (researcher “playing” the AI in the background) to validate the mechanism linking presence cues – perceived presence/understanding – to immediate emotional responses. Identify specific scenarios and randomly assign elements such as pacing, visual anthropomorphism, linguistic empathy structures, etc. Immediately after each dialogue round, conduct minimalist measurements: perceived presence/understanding, immediate emotional state, small-step offline connection intent, etc.</w:t>
            </w:r>
          </w:p>
          <w:p w14:paraId="44212775">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Data: Dialogue transcripts, real-time questionnaire responses, researcher operation logs, etc.</w:t>
            </w:r>
          </w:p>
          <w:p w14:paraId="7A97BD1B">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Step 3: Small-Scale Pilot Testing</w:t>
            </w:r>
          </w:p>
          <w:p w14:paraId="3BE08AB6">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Implement the most effective minimal combinations identified above as a high-fidelity prototype app. Conduct short-duration mobile pilot testing with a fully designed interaction flow and usage path.</w:t>
            </w:r>
          </w:p>
          <w:p w14:paraId="3A5EE434">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Data: Brief questionnaires, usage logs.</w:t>
            </w:r>
          </w:p>
          <w:p w14:paraId="3B2518DB">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Data Analysis:</w:t>
            </w:r>
          </w:p>
          <w:p w14:paraId="7937CB3F">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This study first integrates qualitative materials through reflective thematic analysis, then employs linear mixed-effects models to test controlled experimental variables for quantitative differences and trends, ultimately achieving an integrated interpretation of quantitative-qualitative findings. The qualitative component conducts reflective thematic analysis on workshop outputs and dialogue lab recordings, transcripts, and replay interviews. Throughout the research, reflexive memos and decision logs are maintained, with transparent theme construction and evidence chains serving as quality standards. For quantitative analysis, data from the WoZ group design will be modelled using linear mixed-effects models: fixed effects include cue conditions, contexts, and interactions; random effects include participants. Continuous outcomes will be modelled using LMMs, employing reasonable random structures and information criteria comparisons whilst ensuring model convergence. Pilot phases will additionally utilise questionnaires or brief scales to assess trends and feasibility.</w:t>
            </w: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72CAABD7">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This research activity will be conducted within controlled on-campus premises and controlled online environments in Swansea City and will not take place in public spaces or participants' residences. Offline activities will primarily be held in bookable seminar rooms or workshop classrooms on campus. Should these rooms become temporarily unavailable, equivalent arrangements of the same standard will be made in the university library or small interview rooms.</w:t>
            </w: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7F45701A">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This research activity will be conducted within controlled on-campus premises and controlled online environments in Swansea City and will not take place in public spaces or participants' residences. Offline activities will primarily be held in bookable seminar rooms or workshop classrooms on campus. Should these rooms become temporarily unavailable, equivalent arrangements of the same standard will be made in the university library or small interview rooms.</w:t>
            </w: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CD7161C">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384390097"/>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69311FE">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813550103"/>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DCF812">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0820067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9813774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01343330"/>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44495060"/>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71952310"/>
              <w14:checkbox>
                <w14:checked w14:val="1"/>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D1FC51D">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267045620"/>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EF526F3">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787891688"/>
              <w14:checkbox>
                <w14:checked w14:val="1"/>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2CF3DD">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11432814"/>
              <w14:checkbox>
                <w14:checked w14:val="0"/>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B8C103">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9842049"/>
              <w14:checkbox>
                <w14:checked w14:val="1"/>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07BE1E">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645033880"/>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379949682"/>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8401421"/>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973850202"/>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72966158"/>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496843115"/>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818792847"/>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69148131"/>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397267667"/>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351020746"/>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6809971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119277430"/>
              <w14:checkbox>
                <w14:checked w14:val="1"/>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886501937"/>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989490851"/>
              <w14:checkbox>
                <w14:checked w14:val="1"/>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1"/>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259370389"/>
              <w14:checkbox>
                <w14:checked w14:val="0"/>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B42D3F">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993808160"/>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A43E90C">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98917332"/>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74774543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283223801"/>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31866165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715198545"/>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05AE411A">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Participatory Workshop: Inviting 6–8 participants</w:t>
            </w:r>
          </w:p>
          <w:p w14:paraId="6F476CC9">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Dialogue Lab, Replay Interviews and WoZ Dialogue Experiment: Inviting 10 participants</w:t>
            </w: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380E00D8">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Chinese students aged 18 or over who have been in the UK for ≤12 months, residing or studying in Swansea and able to participate in local in-person activities.</w:t>
            </w: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1CEF6A61">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Local Community Groups – International Student Office emails and announcements, faculty and programme-specific year group emails, on-campus digital displays and posters (Library, Learning Centre, Students' Union, etc.).</w:t>
            </w:r>
          </w:p>
          <w:p w14:paraId="4B961E12">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Student Societies: Swansea Chinese Students and Scholars Association (CSSA Swansea) and associated WeChat groups/official accounts (for recruitment notices and registration QR codes only).</w:t>
            </w: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75973556"/>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87155507"/>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0438716"/>
              <w14:checkbox>
                <w14:checked w14:val="1"/>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33734781"/>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4781459"/>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22704963"/>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4320255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2362363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67663788"/>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26740052"/>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77215663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85796974"/>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1497858"/>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15292709"/>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28240301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01575006"/>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82393101"/>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39853348"/>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181392995"/>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8266803"/>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52547568"/>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44175037"/>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34DF16C3">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Emotional Distress Risk - Recalling classroom anxiety, social setbacks, cultural discrimination, or similar scenarios during participatory workshops, dialogue labs, or WoZ sessions may trigger negative emotions such as discomfort, anxiety, or sadness among participants.</w:t>
            </w:r>
          </w:p>
          <w:p w14:paraId="5921E9B2">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Privacy and Identity Exposure in Group Settings – Sharing personal experiences during group workshops carries risks of identification, misinterpretation, or misrepresentation by peers.</w:t>
            </w:r>
          </w:p>
          <w:p w14:paraId="7EE80823">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3. Personal Data and Information Security – Inadequate management of audio/video recordings, dialogue transcripts, and usage logs may lead to leaks, unauthorised access, or misuse.</w:t>
            </w: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156B74E4">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Employing minimal-risk design and bilingual informed consent, participants may pause, skip questions, or withdraw at any time without affecting compensation; activity duration and intensity are controlled, with scheduled breaks.</w:t>
            </w:r>
          </w:p>
          <w:p w14:paraId="69B848B0">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Group confidentiality and respect protocols are established at commencement, encouraging pseudonyms and anonymous expression via sticky notes; materials requiring display are photographed solely for content documentation without capturing faces; published outcomes undergo de-identification and contextual anonymisation.</w:t>
            </w:r>
          </w:p>
          <w:p w14:paraId="1E4F230F">
            <w:pPr>
              <w:pStyle w:val="9"/>
              <w:keepNext w:val="0"/>
              <w:keepLines w:val="0"/>
              <w:widowControl/>
              <w:suppressLineNumbers w:val="0"/>
              <w:rPr>
                <w:rFonts w:ascii="Arial" w:hAnsi="Arial" w:cs="Arial"/>
                <w:sz w:val="22"/>
                <w:szCs w:val="22"/>
              </w:rPr>
            </w:pPr>
            <w:r>
              <w:rPr>
                <w:rFonts w:hint="default" w:ascii="Arial Regular" w:hAnsi="Arial Regular" w:cs="Arial Regular"/>
                <w:sz w:val="22"/>
                <w:szCs w:val="22"/>
              </w:rPr>
              <w:t>3. Data minimisation and de-identification. Only essential text and brief questionnaires are collected; no location tracking, address book access, or sensor data is gathered. Contact details and research data are stored in separate repositories.</w:t>
            </w: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353A143C">
            <w:pPr>
              <w:pStyle w:val="9"/>
              <w:keepNext w:val="0"/>
              <w:keepLines w:val="0"/>
              <w:widowControl/>
              <w:suppressLineNumbers w:val="0"/>
              <w:rPr>
                <w:rFonts w:hint="default" w:ascii="Arial Regular" w:hAnsi="Arial Regular" w:cs="Arial Regular"/>
                <w:b w:val="0"/>
                <w:sz w:val="22"/>
                <w:szCs w:val="22"/>
              </w:rPr>
            </w:pPr>
            <w:r>
              <w:rPr>
                <w:rFonts w:hint="default" w:ascii="Arial Regular" w:hAnsi="Arial Regular" w:cs="Arial Regular"/>
                <w:b w:val="0"/>
                <w:sz w:val="22"/>
                <w:szCs w:val="22"/>
              </w:rPr>
              <w:t xml:space="preserve">This study does not actively enquire about sensitive topics such as sexual behaviour, substance use, or criminal activity; all questions may be skipped. However, participants may spontaneously mention sensitive or distressing content during open-ended narratives or conversations. We shall clearly state the </w:t>
            </w:r>
            <w:r>
              <w:rPr>
                <w:rStyle w:val="14"/>
                <w:rFonts w:hint="default" w:ascii="Arial Regular" w:hAnsi="Arial Regular" w:cs="Arial Regular"/>
                <w:b w:val="0"/>
                <w:sz w:val="22"/>
                <w:szCs w:val="22"/>
              </w:rPr>
              <w:t>limits of confidentiality</w:t>
            </w:r>
            <w:r>
              <w:rPr>
                <w:rFonts w:hint="default" w:ascii="Arial Regular" w:hAnsi="Arial Regular" w:cs="Arial Regular"/>
                <w:b w:val="0"/>
                <w:sz w:val="22"/>
                <w:szCs w:val="22"/>
              </w:rPr>
              <w:t xml:space="preserve"> in the participant information sheet and consent form: should </w:t>
            </w:r>
            <w:r>
              <w:rPr>
                <w:rStyle w:val="14"/>
                <w:rFonts w:hint="default" w:ascii="Arial Regular" w:hAnsi="Arial Regular" w:cs="Arial Regular"/>
                <w:b w:val="0"/>
                <w:sz w:val="22"/>
                <w:szCs w:val="22"/>
              </w:rPr>
              <w:t>real or highly probable risk of serious harm</w:t>
            </w:r>
            <w:r>
              <w:rPr>
                <w:rFonts w:hint="default" w:ascii="Arial Regular" w:hAnsi="Arial Regular" w:cs="Arial Regular"/>
                <w:b w:val="0"/>
                <w:sz w:val="22"/>
                <w:szCs w:val="22"/>
              </w:rPr>
              <w:t xml:space="preserve"> to oneself or others arise during the study, or should information involving </w:t>
            </w:r>
            <w:r>
              <w:rPr>
                <w:rStyle w:val="14"/>
                <w:rFonts w:hint="default" w:ascii="Arial Regular" w:hAnsi="Arial Regular" w:cs="Arial Regular"/>
                <w:b w:val="0"/>
                <w:sz w:val="22"/>
                <w:szCs w:val="22"/>
              </w:rPr>
              <w:t>potential/actual illegal activity</w:t>
            </w:r>
            <w:r>
              <w:rPr>
                <w:rFonts w:hint="default" w:ascii="Arial Regular" w:hAnsi="Arial Regular" w:cs="Arial Regular"/>
                <w:b w:val="0"/>
                <w:sz w:val="22"/>
                <w:szCs w:val="22"/>
              </w:rPr>
              <w:t xml:space="preserve"> relating to the </w:t>
            </w:r>
            <w:r>
              <w:rPr>
                <w:rStyle w:val="14"/>
                <w:rFonts w:hint="default" w:ascii="Arial Regular" w:hAnsi="Arial Regular" w:cs="Arial Regular"/>
                <w:b w:val="0"/>
                <w:sz w:val="22"/>
                <w:szCs w:val="22"/>
              </w:rPr>
              <w:t>safety of vulnerable groups</w:t>
            </w:r>
            <w:r>
              <w:rPr>
                <w:rFonts w:hint="default" w:ascii="Arial Regular" w:hAnsi="Arial Regular" w:cs="Arial Regular"/>
                <w:b w:val="0"/>
                <w:sz w:val="22"/>
                <w:szCs w:val="22"/>
              </w:rPr>
              <w:t> be disclosed, researchers are obliged to disclose such information to appropriate authorities (e.g., the school safeguarding team, police/emergency services) only to the extent necessary to fulfil legal and institutional safeguarding responsibilities. Immediate risks always take precedence – 999 (UWTSD, 2022).</w:t>
            </w:r>
          </w:p>
          <w:p w14:paraId="3E906AF4">
            <w:pPr>
              <w:pStyle w:val="9"/>
              <w:keepNext w:val="0"/>
              <w:keepLines w:val="0"/>
              <w:widowControl/>
              <w:suppressLineNumbers w:val="0"/>
              <w:rPr>
                <w:rFonts w:hint="default" w:ascii="Arial Regular" w:hAnsi="Arial Regular" w:cs="Arial Regular"/>
                <w:b w:val="0"/>
                <w:sz w:val="22"/>
                <w:szCs w:val="22"/>
              </w:rPr>
            </w:pPr>
            <w:r>
              <w:rPr>
                <w:rFonts w:hint="default" w:ascii="Arial Regular" w:hAnsi="Arial Regular" w:cs="Arial Regular"/>
                <w:b w:val="0"/>
                <w:sz w:val="22"/>
                <w:szCs w:val="22"/>
              </w:rPr>
              <w:t xml:space="preserve">For </w:t>
            </w:r>
            <w:r>
              <w:rPr>
                <w:rStyle w:val="14"/>
                <w:rFonts w:hint="default" w:ascii="Arial Regular" w:hAnsi="Arial Regular" w:cs="Arial Regular"/>
                <w:b w:val="0"/>
                <w:sz w:val="22"/>
                <w:szCs w:val="22"/>
              </w:rPr>
              <w:t>mild discomfort/embarrassment</w:t>
            </w:r>
            <w:r>
              <w:rPr>
                <w:rFonts w:hint="default" w:ascii="Arial Regular" w:hAnsi="Arial Regular" w:cs="Arial Regular"/>
                <w:b w:val="0"/>
                <w:sz w:val="22"/>
                <w:szCs w:val="22"/>
              </w:rPr>
              <w:t xml:space="preserve">, the researcher will reduce intensity (change topic, take a break) and offer three options: continue, reschedule, or withdraw. Relevant segments may be omitted from recording or deleted upon request. For </w:t>
            </w:r>
            <w:r>
              <w:rPr>
                <w:rStyle w:val="14"/>
                <w:rFonts w:hint="default" w:ascii="Arial Regular" w:hAnsi="Arial Regular" w:cs="Arial Regular"/>
                <w:b w:val="0"/>
                <w:sz w:val="22"/>
                <w:szCs w:val="22"/>
              </w:rPr>
              <w:t>moderate distress</w:t>
            </w:r>
            <w:r>
              <w:rPr>
                <w:rFonts w:hint="default" w:ascii="Arial Regular" w:hAnsi="Arial Regular" w:cs="Arial Regular"/>
                <w:b w:val="0"/>
                <w:sz w:val="22"/>
                <w:szCs w:val="22"/>
              </w:rPr>
              <w:t xml:space="preserve"> (e.g., evident anxiety/crying), the session will pause immediately for emotional grounding, with on-campus/off-campus support channels provided post-session. Should </w:t>
            </w:r>
            <w:r>
              <w:rPr>
                <w:rStyle w:val="14"/>
                <w:rFonts w:hint="default" w:ascii="Arial Regular" w:hAnsi="Arial Regular" w:cs="Arial Regular"/>
                <w:b w:val="0"/>
                <w:sz w:val="22"/>
                <w:szCs w:val="22"/>
              </w:rPr>
              <w:t>severe risk</w:t>
            </w:r>
            <w:r>
              <w:rPr>
                <w:rFonts w:hint="default" w:ascii="Arial Regular" w:hAnsi="Arial Regular" w:cs="Arial Regular"/>
                <w:b w:val="0"/>
                <w:sz w:val="22"/>
                <w:szCs w:val="22"/>
              </w:rPr>
              <w:t xml:space="preserve"> arise (intent to self-harm/harm others or inability to protect oneself), the researcher shall terminate the study and activate the </w:t>
            </w:r>
            <w:r>
              <w:rPr>
                <w:rStyle w:val="14"/>
                <w:rFonts w:hint="default" w:ascii="Arial Regular" w:hAnsi="Arial Regular" w:cs="Arial Regular"/>
                <w:b w:val="0"/>
                <w:sz w:val="22"/>
                <w:szCs w:val="22"/>
              </w:rPr>
              <w:t>crisis procedure</w:t>
            </w:r>
            <w:r>
              <w:rPr>
                <w:rFonts w:hint="default" w:ascii="Arial Regular" w:hAnsi="Arial Regular" w:cs="Arial Regular"/>
                <w:b w:val="0"/>
                <w:sz w:val="22"/>
                <w:szCs w:val="22"/>
              </w:rPr>
              <w:t xml:space="preserve">: accompany the participant on-site/during the call while contacting the university’s </w:t>
            </w:r>
            <w:r>
              <w:rPr>
                <w:rStyle w:val="14"/>
                <w:rFonts w:hint="default" w:ascii="Arial Regular" w:hAnsi="Arial Regular" w:cs="Arial Regular"/>
                <w:b w:val="0"/>
                <w:sz w:val="22"/>
                <w:szCs w:val="22"/>
              </w:rPr>
              <w:t>Safeguarding/Wellbeing</w:t>
            </w:r>
            <w:r>
              <w:rPr>
                <w:rFonts w:hint="default" w:ascii="Arial Regular" w:hAnsi="Arial Regular" w:cs="Arial Regular"/>
                <w:b w:val="0"/>
                <w:sz w:val="22"/>
                <w:szCs w:val="22"/>
              </w:rPr>
              <w:t xml:space="preserve"> team. As required, call </w:t>
            </w:r>
            <w:r>
              <w:rPr>
                <w:rStyle w:val="14"/>
                <w:rFonts w:hint="default" w:ascii="Arial Regular" w:hAnsi="Arial Regular" w:cs="Arial Regular"/>
                <w:b w:val="0"/>
                <w:sz w:val="22"/>
                <w:szCs w:val="22"/>
              </w:rPr>
              <w:t>NHS 111</w:t>
            </w:r>
            <w:r>
              <w:rPr>
                <w:rFonts w:hint="default" w:ascii="Arial Regular" w:hAnsi="Arial Regular" w:cs="Arial Regular"/>
                <w:b w:val="0"/>
                <w:sz w:val="22"/>
                <w:szCs w:val="22"/>
              </w:rPr>
              <w:t xml:space="preserve"> (non-emergency medical advice) or </w:t>
            </w:r>
            <w:r>
              <w:rPr>
                <w:rStyle w:val="14"/>
                <w:rFonts w:hint="default" w:ascii="Arial Regular" w:hAnsi="Arial Regular" w:cs="Arial Regular"/>
                <w:b w:val="0"/>
                <w:sz w:val="22"/>
                <w:szCs w:val="22"/>
              </w:rPr>
              <w:t>999</w:t>
            </w:r>
            <w:r>
              <w:rPr>
                <w:rFonts w:hint="default" w:ascii="Arial Regular" w:hAnsi="Arial Regular" w:cs="Arial Regular"/>
                <w:b w:val="0"/>
                <w:sz w:val="22"/>
                <w:szCs w:val="22"/>
              </w:rPr>
              <w:t xml:space="preserve"> (emergency danger), documenting and reporting with </w:t>
            </w:r>
            <w:r>
              <w:rPr>
                <w:rStyle w:val="14"/>
                <w:rFonts w:hint="default" w:ascii="Arial Regular" w:hAnsi="Arial Regular" w:cs="Arial Regular"/>
                <w:b w:val="0"/>
                <w:sz w:val="22"/>
                <w:szCs w:val="22"/>
              </w:rPr>
              <w:t>the minimum necessary information</w:t>
            </w:r>
            <w:r>
              <w:rPr>
                <w:rFonts w:hint="default" w:ascii="Arial Regular" w:hAnsi="Arial Regular" w:cs="Arial Regular"/>
                <w:b w:val="0"/>
                <w:sz w:val="22"/>
                <w:szCs w:val="22"/>
              </w:rPr>
              <w:t> (UWTSD, 2024).</w:t>
            </w: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1A3FE7BE">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Emotional exhaustion and secondary trauma – Listening to international students' narratives of stress may lead to researcher burnout.</w:t>
            </w:r>
          </w:p>
          <w:p w14:paraId="514CA3D2">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Data processing and legal compliance risks – Researchers' mishandling, accidental deletion, or unauthorised transfer of audio-visual recordings/conversation transcripts may trigger regulatory breaches.</w:t>
            </w: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7CB19912">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Conduct personal risk assessments as advised by the institution, manage session duration and schedule breaks, seek guidance and support from supervisors and peers when necessary, familiarise yourself with and utilise the institution's wellbeing support resources, and postpone recruitment or reschedule sessions if required (UWTSD, 2022).</w:t>
            </w:r>
          </w:p>
          <w:p w14:paraId="62DEB169">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Adhere to research data management and privacy statements, implement strict access controls, retain data for ≤24 months, and destroy it according to established procedures (UWTSD, 2024).</w:t>
            </w: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45234206">
            <w:pPr>
              <w:autoSpaceDE w:val="0"/>
              <w:autoSpaceDN w:val="0"/>
              <w:adjustRightInd w:val="0"/>
              <w:rPr>
                <w:rFonts w:ascii="Arial" w:hAnsi="Arial" w:cs="Arial"/>
                <w:sz w:val="22"/>
                <w:szCs w:val="22"/>
              </w:rPr>
            </w:pPr>
            <w:r>
              <w:rPr>
                <w:rFonts w:ascii="Arial" w:hAnsi="Arial" w:cs="Arial"/>
                <w:sz w:val="22"/>
                <w:szCs w:val="22"/>
              </w:rPr>
              <w:t>Risk to the University:</w:t>
            </w:r>
          </w:p>
          <w:p w14:paraId="03CF3CB2">
            <w:pPr>
              <w:rPr>
                <w:rFonts w:ascii="Arial" w:hAnsi="Arial" w:cs="Arial"/>
                <w:sz w:val="22"/>
                <w:szCs w:val="22"/>
              </w:rPr>
            </w:pPr>
            <w:r>
              <w:rPr>
                <w:rFonts w:hint="eastAsia" w:ascii="Arial" w:hAnsi="Arial" w:cs="Arial"/>
                <w:sz w:val="22"/>
                <w:szCs w:val="22"/>
              </w:rPr>
              <w:t>Minimum risk – data protection</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shd w:val="clear" w:color="auto" w:fill="auto"/>
            <w:vAlign w:val="top"/>
          </w:tcPr>
          <w:p w14:paraId="7ADDC10E">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127DB8B">
            <w:pPr>
              <w:spacing w:line="240" w:lineRule="auto"/>
              <w:jc w:val="left"/>
              <w:rPr>
                <w:rFonts w:ascii="Arial" w:hAnsi="Arial" w:cs="Arial"/>
                <w:sz w:val="22"/>
                <w:szCs w:val="22"/>
                <w:lang w:val="en-US" w:eastAsia="zh-CN"/>
              </w:rPr>
            </w:pPr>
            <w:r>
              <w:rPr>
                <w:rFonts w:hint="eastAsia" w:ascii="Arial" w:hAnsi="Arial" w:cs="Arial"/>
                <w:sz w:val="22"/>
                <w:szCs w:val="22"/>
                <w:lang w:val="en-US" w:eastAsia="zh-CN"/>
              </w:rPr>
              <w:t>I will follow UWTSD's Research Data Management Policy document to maintain high ethical standards and protect the University.</w:t>
            </w:r>
          </w:p>
          <w:p w14:paraId="027F2F63">
            <w:pPr>
              <w:autoSpaceDE w:val="0"/>
              <w:autoSpaceDN w:val="0"/>
              <w:adjustRightInd w:val="0"/>
              <w:rPr>
                <w:rFonts w:ascii="Arial" w:hAnsi="Arial" w:eastAsia="Times New Roman" w:cs="Arial"/>
                <w:lang w:val="en-GB" w:eastAsia="en-US" w:bidi="ar-SA"/>
              </w:rPr>
            </w:pPr>
            <w:r>
              <w:rPr>
                <w:rFonts w:ascii="Arial" w:hAnsi="Arial" w:cs="Arial"/>
                <w:i/>
                <w:color w:val="808080"/>
                <w:sz w:val="18"/>
                <w:szCs w:val="18"/>
              </w:rPr>
              <w:t>(this box should expand as you type)</w:t>
            </w:r>
          </w:p>
        </w:tc>
      </w:tr>
      <w:tr w14:paraId="404AE437">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76C8E5ED">
            <w:pPr>
              <w:rPr>
                <w:rFonts w:ascii="Arial" w:hAnsi="Arial" w:cs="Arial"/>
                <w:sz w:val="22"/>
                <w:szCs w:val="22"/>
              </w:rPr>
            </w:pPr>
            <w:r>
              <w:rPr>
                <w:rFonts w:hint="eastAsia" w:ascii="Arial" w:hAnsi="Arial" w:cs="Arial"/>
                <w:sz w:val="22"/>
                <w:szCs w:val="22"/>
              </w:rPr>
              <w:t>There are currently no environmental risks</w:t>
            </w:r>
            <w:r>
              <w:rPr>
                <w:rFonts w:ascii="Arial" w:hAnsi="Arial" w:cs="Arial"/>
                <w:sz w:val="22"/>
                <w:szCs w:val="22"/>
              </w:rPr>
              <w:t>.</w:t>
            </w: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BD6679B">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2188041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524498496"/>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97333498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r>
      <w:tr w14:paraId="0DB9CC66">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69404F68">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On-site clarification and immediate explanation – At the conclusion of each research activity (workshops, dialogue labs and WoZ), researchers will conduct a brief oral debriefing. This will outline the purpose of the session, recording methods, how data will be used and stored, participants' right to withdraw and request data removal, along with subsequent contact channels and support resources.</w:t>
            </w:r>
          </w:p>
          <w:p w14:paraId="75548BD1">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Record Verification – For activities involving audio/video recording and transcription, a secure link to an anonymised summary will be sent via institutional email within 48 hours post-activity. Participants are requested to submit requests for corrections, omissions, or non-citation within 7–14 days; failure to respond within this period will be deemed tacit consent for anonymous use in research analysis.</w:t>
            </w:r>
          </w:p>
          <w:p w14:paraId="157B839A">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3. Project Conclusion and Findings Feedback – Upon project completion, all participants will receive a research briefing and invitation to an online presentation summarising the research questions, methodology, key findings, and future publication plans (including prototype demonstration pages, etc.). Should extended quotations or interface screenshots be required for academic papers or exhibitions, participants' consent will be sought again.</w:t>
            </w: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424FD9C8">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Ethical Basis and Informed Consent Arrangements (Informed, Voluntary, Competent)</w:t>
            </w:r>
          </w:p>
          <w:p w14:paraId="4A8752CF">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 xml:space="preserve">This study exclusively recruits Chinese international students in the UK who are aged 18 or above and possess full legal capacity. </w:t>
            </w:r>
            <w:r>
              <w:rPr>
                <w:rFonts w:hint="default" w:ascii="Arial Regular" w:hAnsi="Arial Regular" w:cs="Arial Regular"/>
                <w:sz w:val="22"/>
                <w:szCs w:val="22"/>
                <w:lang w:val="en-US"/>
              </w:rPr>
              <w:t>I</w:t>
            </w:r>
            <w:r>
              <w:rPr>
                <w:rFonts w:hint="eastAsia" w:ascii="Arial Regular" w:hAnsi="Arial Regular" w:eastAsia="宋体" w:cs="Arial Regular"/>
                <w:sz w:val="22"/>
                <w:szCs w:val="22"/>
                <w:lang w:val="en-US" w:eastAsia="zh-CN"/>
              </w:rPr>
              <w:t xml:space="preserve">n </w:t>
            </w:r>
            <w:r>
              <w:rPr>
                <w:rFonts w:hint="default" w:ascii="Arial Regular" w:hAnsi="Arial Regular" w:cs="Arial Regular"/>
                <w:sz w:val="22"/>
                <w:szCs w:val="22"/>
              </w:rPr>
              <w:t>accordance with UWTSD's ethical principles, consent is grounded in three pillars: informed, voluntary, and competent. Participants may only freely choose to participate after fully understanding the study's purpose, procedures, potential risks/benefits, and data processing arrangements, and without any real or perceived coercion (UWTSD, 2022). Consequently, prior to any data collection commencing, we shall provide prospective participants with a Participant Information Sheet (PIS) and allow reasonab</w:t>
            </w:r>
            <w:bookmarkStart w:id="0" w:name="_GoBack"/>
            <w:bookmarkEnd w:id="0"/>
            <w:r>
              <w:rPr>
                <w:rFonts w:hint="default" w:ascii="Arial Regular" w:hAnsi="Arial Regular" w:cs="Arial Regular"/>
                <w:sz w:val="22"/>
                <w:szCs w:val="22"/>
              </w:rPr>
              <w:t>le time for its review and questions. This shall cover activity type and duration (participatory workshops, dialogue labs, WoZ short dialogues, mobile pilot testing, etc.), potential discomfort and available support, arrangements for audio/video recording/screen capture arrangements, WoZ simulation and post-deception disclosure protocols, compensation standards, confidentiality and its limitations (including necessary disclosure where risk of real harm to self/others arises), data categories and purposes, legal basis, retention periods and storage locations, access controls, and data subject rights.</w:t>
            </w:r>
          </w:p>
          <w:p w14:paraId="1E742023">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On-site Experience, Right to Withdraw and Support (Workshops / WoZ / Pilot)</w:t>
            </w:r>
          </w:p>
          <w:p w14:paraId="7BEA058C">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Prior to organising participatory workshops, it shall be explained that participants may express opinions in any comfortable and secure manner (verbal, anonymous note-writing, card rearrangement, etc.) and may pause, skip topics or withdraw at any time without affecting compensation received or their relationship with the institution. The entire research process adheres to the principle of ‘permission to withdraw at any stage’ (including during or after activities), prominently stated in the PIS and consent form (UWTSD, 2022). For WoZ brief dialogues, participants are informed beforehand of the ‘simulation/researcher-controlled AI background’ setup; should participants experience discomfort, anxiety, or other adverse emotions during the session, intensity would be reduced or the session paused, with support channels provided both within and outside the university (e.g., university wellbeing/counselling services, GP, NHS 111/999, Samaritans). In cases of real or highly probable risks to self or others, researchers would not provide diagnosis or treatment but would refer or report within necessary limits according to the university's safeguarding protocols; this ‘confidentiality limit’ is clearly stated in the consent materials. Regarding privacy and data, I commit to strictly minimising collection and ensuring de-identification; all identifiable consent records and research data are stored in separate, encrypted university repositories accessible only to the research team. Retention periods shall not exceed those specified in the protocol, with data destroyed upon expiry according to established procedures. Research data will be used solely for doctoral research and academic dissemination (presented anonymously) and will not be employed for purposes unrelated to the study objectives.</w:t>
            </w: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220EAEB4">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1. Anonymisation practices – In any externally facing texts, charts, or presentations, participants' real names, student ID numbers, contact details, or any individually identifiable combinations of information shall not appear; these shall be uniformly replaced with codes (e.g., P01, P02) or neutral designations (UWTSD, 2022). Where necessary, details shall undergo minor rewriting/synthesis to prevent ‘piecemeal re-identification’. Raw audio/video recordings or screen captures shall not be released externally. Dialogue and interface displays shall utilise simulated scenarios or anonymised screenshots. For extended quotations or interface excerpts, written consent shall be obtained from participants on a case-by-case basis.</w:t>
            </w:r>
          </w:p>
          <w:p w14:paraId="72AD0920">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2. Confidentiality and its limitations – Strict confidentiality is maintained throughout all stages, with access restricted to the research team on a “need-to-know” basis. However, should the research reveal risks of actual or highly probable serious harm to oneself or others, or potential/actual illegal information concerning the safety of vulnerable groups, disclosure/referral will occur within the minimum necessary scope per the University's Safeguarding policy. Where feasible, participants will be informed of such disclosure and its recipients (UWTSD, 2022).</w:t>
            </w:r>
          </w:p>
          <w:p w14:paraId="3CF4A24C">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3. No Real-Name Disclosure – This study does not permit real-name publication. Should an individual participant proactively request in writing to be named in exhibitions or acknowledgements, we shall conduct risk disclosure and reassessment of consent. Only with supervisor/faculty approval and provided it does not compromise others' anonymity will limited acknowledgements (without disclosing personal experiences/data) be considered, with anonymity remaining the default preference (UWTSD, 2022).</w:t>
            </w: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9"/>
              <w:autoSpaceDE w:val="0"/>
              <w:autoSpaceDN w:val="0"/>
              <w:adjustRightInd w:val="0"/>
              <w:jc w:val="center"/>
              <w:rPr>
                <w:rFonts w:ascii="Arial" w:hAnsi="Arial" w:eastAsia="MS Gothic" w:cs="Arial"/>
                <w:sz w:val="22"/>
                <w:szCs w:val="22"/>
                <w:lang w:val="en-US"/>
              </w:rPr>
            </w:pPr>
            <w:sdt>
              <w:sdtPr>
                <w:rPr>
                  <w:rFonts w:ascii="Arial" w:hAnsi="Arial" w:cs="Arial"/>
                  <w:sz w:val="22"/>
                  <w:szCs w:val="22"/>
                </w:rPr>
                <w:id w:val="62494510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3ECD14DF">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609E86D">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 personal data processed in this study includes contact information; paper/electronic consent records; audio, video, screen recordings and transcribed texts generated during participatory workshops, dialogue labs and WoZ sessions; minimal usage logs; and any sensitive content inadvertently mentioned by participants in open narratives, which will be redacted/masked during transcription and excluded from analysis and outputs.</w:t>
            </w:r>
          </w:p>
          <w:p w14:paraId="61B46217">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 aforementioned data is solely utilised for identifying and validating the impact of AI presence cues on perceptions of “being present/understood” and immediate negative emotions within specific cross-cultural contexts, and for prototype iteration and feasibility assessment. All external outputs (reports/papers/exhibitions) appear in anonymised form, with no disclosure of identifiable information (UWTSD, 2022).</w:t>
            </w:r>
          </w:p>
          <w:p w14:paraId="30F0654F">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 processing of personal data is legally grounded in informed consent. Measures including de-identification, separate storage, encryption, and minimised access are implemented. Data is stored within the institution's controlled encrypted environment (UK/EU data centres) and retained strictly according to research methodology timelines, after which it is destroyed. No identifiable raw data is transferred overseas. All practices adhere to UWTSD's Research Ethics and Integrity Standards and Research Data Management Policy (UWTSD, 2024).</w:t>
            </w: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9"/>
              <w:autoSpaceDE w:val="0"/>
              <w:autoSpaceDN w:val="0"/>
              <w:adjustRightInd w:val="0"/>
              <w:jc w:val="center"/>
              <w:rPr>
                <w:rFonts w:ascii="Arial" w:hAnsi="Arial" w:cs="Arial"/>
              </w:rPr>
            </w:pPr>
            <w:sdt>
              <w:sdtPr>
                <w:rPr>
                  <w:rFonts w:ascii="Arial" w:hAnsi="Arial" w:cs="Arial"/>
                  <w:sz w:val="22"/>
                  <w:szCs w:val="22"/>
                </w:rPr>
                <w:id w:val="1838310"/>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r>
      <w:tr w14:paraId="4DD80E5A">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103631820"/>
              <w14:checkbox>
                <w14:checked w14:val="1"/>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964593D">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30761023"/>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824742680"/>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590765022"/>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963803251"/>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965068814"/>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15054754"/>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145DF2">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3AB60F97">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Data Protection and Storage:</w:t>
            </w:r>
          </w:p>
          <w:p w14:paraId="5494DECD">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Data protection measures for this study adhere to the UK GDPR/DPA 2018 and UWTSD's Research Data Management Policy, Research Ethics and Integrity Guidelines, and Group Data Protection Policy. These ensure data confidentiality, integrity, and availability at both organisational and technical levels (UWTSD, 2024).</w:t>
            </w:r>
          </w:p>
          <w:p w14:paraId="654BB10C">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Storage Location and Architecture:</w:t>
            </w:r>
          </w:p>
          <w:p w14:paraId="5BF31BCE">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All primary storage and backups of research data utilise the institution-licensed and controlled OneDrive for Business/Research Data Store (UK/EU data centres), benefiting from institutional-level static encryption and version history/snapshots. The storage of identifiable data on personal cloud services or unauthorised platforms is prohibited (UWTSD, 2024). Temporary files generated during offline data collection (e.g., recordings/screencasts) may only be temporarily retained on institutional devices with full-disc encryption (BitLocker/FileVault) enabled. These must be uploaded to controlled storage immediately after meetings, and local copies deleted.</w:t>
            </w:r>
          </w:p>
          <w:p w14:paraId="75576750">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Access Control and Password Protection:</w:t>
            </w:r>
          </w:p>
          <w:p w14:paraId="2CF6B5FC">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Implement the principle of least privilege and ‘need-to-know’ access, permitting access solely to the research team; control logins via institutional accounts, multi-factor authentication (MFA), and strong password policies; employ sharing policies including time-limited access, view-only permissions, download restrictions, and watermarking, whilst retaining access audit records (UWTSD, 2024). Paper materials (e.g., signed consent forms) are generated only when necessary and stored in lockable cabinets/drawers, with rooms managed via access control/registration systems (UWTSD, 2018).</w:t>
            </w:r>
          </w:p>
          <w:p w14:paraId="4299EFE2">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Backup and Version Control:</w:t>
            </w:r>
          </w:p>
          <w:p w14:paraId="09EC220E">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Research Data Store/OneDrive provides automatic version history/snapshots; research teams conduct monthly manual spot checks (verifying ability to roll back to earlier versions and backup availability), maintaining data inventories and change logs within the data directory (UWTSD, 2024). Removable media are not used for long-term backups. Where approved temporary redundancy requires encrypted portable hard drives, devices must be fully encrypted, stored under separate lock, immediately disconnected after use, and subject to documented in/out procedures.</w:t>
            </w: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428441687"/>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306765018"/>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38904726"/>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34565905"/>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567054154"/>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0416CA8">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94224539"/>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DDEF902">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374852643"/>
              <w14:checkbox>
                <w14:checked w14:val="0"/>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E98A9D">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0064A520">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This study will conduct data archiving, but only for non-identifiable data and materials; all identifiable personal data will not be included in the archive repository. Instead, it will be destroyed in accordance with the law once the research objectives have been achieved and the retention period specified in the ethical approval has elapsed. Archival items include irreversibly anonymised quantitative summaries and model results, minimally necessary anonymised qualitative excerpts, thematic structure diagrams, research materials, and metadata. Prior to repository inclusion, all content undergoes field removal and generalisation, text desensitisation/synthesis, separate storage of contact details and research data, and dual-review quality assurance to ensure irreversible anonymisation (UWTSD, 2024; Data Protection Act, 2018).</w:t>
            </w:r>
          </w:p>
          <w:p w14:paraId="5CCE8CA0">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 entire process adheres to the ‘appropriate technical and organisational measures’ requirements of the DPA 2018 and UK GDPR: controlled accounts and encrypted transmission, version and change logging, minimised access and auditing, third parties processing only de-identified fragments and signing DPAs/confidentiality agreements, with DPIA (Data Protection Impact Assessment) completed/to be completed alongside PG2 archiving (Data Protection Act, 2018; UWTSD, 2024).</w:t>
            </w: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rPr>
                <w:rFonts w:ascii="Arial" w:hAnsi="Arial" w:cs="Arial"/>
                <w:sz w:val="22"/>
                <w:szCs w:val="22"/>
              </w:rPr>
            </w:pPr>
          </w:p>
          <w:p w14:paraId="21F742FE">
            <w:pPr>
              <w:autoSpaceDE w:val="0"/>
              <w:autoSpaceDN w:val="0"/>
              <w:adjustRightInd w:val="0"/>
              <w:rPr>
                <w:rFonts w:hint="eastAsia" w:ascii="Arial" w:hAnsi="Arial" w:cs="Arial"/>
                <w:sz w:val="22"/>
                <w:szCs w:val="22"/>
              </w:rPr>
            </w:pPr>
            <w:r>
              <w:rPr>
                <w:rFonts w:hint="eastAsia" w:ascii="Arial" w:hAnsi="Arial" w:cs="Arial"/>
                <w:sz w:val="22"/>
                <w:szCs w:val="22"/>
              </w:rPr>
              <w:t>To safeguard participant privacy and confidentiality, access to research data is restricted to authorised personnel only.</w:t>
            </w:r>
          </w:p>
          <w:p w14:paraId="7194EED4">
            <w:pPr>
              <w:autoSpaceDE w:val="0"/>
              <w:autoSpaceDN w:val="0"/>
              <w:adjustRightInd w:val="0"/>
              <w:rPr>
                <w:rFonts w:hint="eastAsia" w:ascii="Arial" w:hAnsi="Arial" w:cs="Arial"/>
                <w:sz w:val="22"/>
                <w:szCs w:val="22"/>
              </w:rPr>
            </w:pPr>
          </w:p>
          <w:p w14:paraId="6C6BD37B">
            <w:pPr>
              <w:autoSpaceDE w:val="0"/>
              <w:autoSpaceDN w:val="0"/>
              <w:adjustRightInd w:val="0"/>
              <w:rPr>
                <w:rFonts w:ascii="Arial" w:hAnsi="Arial" w:cs="Arial"/>
                <w:sz w:val="22"/>
                <w:szCs w:val="22"/>
              </w:rPr>
            </w:pPr>
            <w:r>
              <w:rPr>
                <w:rFonts w:hint="eastAsia" w:ascii="Arial" w:hAnsi="Arial" w:cs="Arial"/>
                <w:sz w:val="22"/>
                <w:szCs w:val="22"/>
              </w:rPr>
              <w:t>Supervisors. The supervisory team overseeing the project will have authorised access to the full corpus of data generated by the study.</w:t>
            </w: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p>
          <w:p w14:paraId="075DBA85">
            <w:pPr>
              <w:autoSpaceDE w:val="0"/>
              <w:autoSpaceDN w:val="0"/>
              <w:adjustRightInd w:val="0"/>
              <w:rPr>
                <w:rFonts w:ascii="Arial" w:hAnsi="Arial" w:cs="Arial"/>
                <w:sz w:val="22"/>
                <w:szCs w:val="22"/>
              </w:rPr>
            </w:pPr>
            <w:r>
              <w:rPr>
                <w:rFonts w:hint="eastAsia" w:ascii="Arial" w:hAnsi="Arial" w:cs="Arial"/>
                <w:sz w:val="22"/>
                <w:szCs w:val="22"/>
              </w:rPr>
              <w:t>As the researcher, I will have primary responsibility for the data generated by this study during the active research phase.</w:t>
            </w: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51E1E0E6">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 xml:space="preserve">As a researcher, I exercise daily control and custody over data within the framework of the institution acting as data controller. All data is exclusively stored within UWTSD's OneDrive for Business / Research Data Store, utilising encryption, MFA, least privilege access, and access auditing. Consent documents and contact information are stored in separate repositories from research data, with identity-code mapping tables encrypted independently. Offline-collected audio-visual material is temporarily retained only on institution-owned devices with full-disc encryption, with local copies promptly deleted upon upload to controlled storage. </w:t>
            </w:r>
            <w:r>
              <w:rPr>
                <w:rFonts w:hint="default" w:ascii="Arial Regular" w:hAnsi="Arial Regular" w:cs="Arial Regular"/>
                <w:sz w:val="22"/>
                <w:szCs w:val="22"/>
                <w:lang w:val="en-US"/>
              </w:rPr>
              <w:t>D</w:t>
            </w:r>
            <w:r>
              <w:rPr>
                <w:rFonts w:hint="default" w:ascii="Arial Regular" w:hAnsi="Arial Regular" w:eastAsia="宋体" w:cs="Arial Regular"/>
                <w:sz w:val="22"/>
                <w:szCs w:val="22"/>
                <w:lang w:val="en-US" w:eastAsia="zh-CN"/>
              </w:rPr>
              <w:t xml:space="preserve">ata </w:t>
            </w:r>
            <w:r>
              <w:rPr>
                <w:rFonts w:hint="default" w:ascii="Arial Regular" w:hAnsi="Arial Regular" w:cs="Arial Regular"/>
                <w:sz w:val="22"/>
                <w:szCs w:val="22"/>
              </w:rPr>
              <w:t>formats comprise de-identified transcripts, anonymised questionnaires and logs, audio-visual recordings, and analytical scripts. Identifiable data is securely destroyed after ≤24 months of retention, with no overseas transfers; only anonymised data is archived in the UWTSD Research Data Repository; no identifiable raw data is archived.</w:t>
            </w: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8"/>
                <w:rFonts w:ascii="Arial" w:hAnsi="Arial" w:cs="Arial"/>
                <w:color w:val="000000"/>
                <w:sz w:val="22"/>
                <w:szCs w:val="22"/>
              </w:rPr>
              <w:t>https://researchdata.uwtsd.ac.uk/</w:t>
            </w:r>
            <w:r>
              <w:rPr>
                <w:rStyle w:val="18"/>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ascii="Arial" w:hAnsi="Arial" w:cs="Arial"/>
                <w:sz w:val="22"/>
                <w:szCs w:val="22"/>
              </w:rPr>
            </w:pPr>
          </w:p>
          <w:p w14:paraId="429E695D">
            <w:pPr>
              <w:keepNext w:val="0"/>
              <w:keepLines w:val="0"/>
              <w:widowControl/>
              <w:suppressLineNumbers w:val="0"/>
              <w:jc w:val="left"/>
              <w:rPr>
                <w:rFonts w:hint="default" w:ascii="Arial Regular" w:hAnsi="Arial Regular" w:cs="Arial Regular"/>
                <w:sz w:val="22"/>
                <w:szCs w:val="22"/>
              </w:rPr>
            </w:pPr>
            <w:r>
              <w:rPr>
                <w:rFonts w:hint="default" w:ascii="Arial Regular" w:hAnsi="Arial Regular" w:eastAsia="宋体" w:cs="Arial Regular"/>
                <w:kern w:val="0"/>
                <w:sz w:val="22"/>
                <w:szCs w:val="22"/>
                <w:lang w:val="en-US" w:eastAsia="zh-CN" w:bidi="ar"/>
              </w:rPr>
              <w:t>All research data deposited in the UWTSD Research Data Repository will be preserved and maintained on a permanent basis, in line with the University’s Research Data Policy (2018), which stipulates that repository items are retained indefinitely. Long-term stewardship and governance rest with the UWTSD Research Data Repository, under the authority of the Repository Director.</w:t>
            </w: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8"/>
                <w:rFonts w:ascii="Arial" w:hAnsi="Arial" w:cs="Arial"/>
                <w:color w:val="000000"/>
                <w:sz w:val="22"/>
                <w:szCs w:val="22"/>
              </w:rPr>
              <w:t>https://www.uwtsd.ac.uk/library/research-data-management/</w:t>
            </w:r>
            <w:r>
              <w:rPr>
                <w:rStyle w:val="18"/>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8"/>
                <w:rFonts w:ascii="Arial" w:hAnsi="Arial" w:cs="Arial"/>
                <w:sz w:val="22"/>
                <w:szCs w:val="22"/>
              </w:rPr>
              <w:t>https://www.uwtsd.ac.uk/research/research-ethics/</w:t>
            </w:r>
            <w:r>
              <w:rPr>
                <w:rStyle w:val="18"/>
                <w:rFonts w:ascii="Arial" w:hAnsi="Arial" w:cs="Arial"/>
                <w:sz w:val="22"/>
                <w:szCs w:val="22"/>
              </w:rPr>
              <w:fldChar w:fldCharType="end"/>
            </w:r>
            <w:r>
              <w:rPr>
                <w:rFonts w:ascii="Arial" w:hAnsi="Arial" w:cs="Arial"/>
                <w:sz w:val="22"/>
                <w:szCs w:val="22"/>
              </w:rPr>
              <w:t xml:space="preserve"> </w:t>
            </w:r>
          </w:p>
        </w:tc>
      </w:tr>
      <w:tr w14:paraId="0D670A38">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eastAsia="宋体" w:cs="Arial"/>
                <w:sz w:val="22"/>
                <w:szCs w:val="22"/>
                <w:lang w:val="en-US" w:eastAsia="zh-CN"/>
              </w:rPr>
            </w:pPr>
            <w:r>
              <w:rPr>
                <w:rFonts w:hint="default" w:ascii="Arial" w:hAnsi="Arial" w:cs="Arial"/>
                <w:sz w:val="22"/>
                <w:szCs w:val="22"/>
                <w:lang w:val="en-US"/>
              </w:rPr>
              <w:t>M</w:t>
            </w:r>
            <w:r>
              <w:rPr>
                <w:rFonts w:hint="eastAsia" w:ascii="Arial" w:hAnsi="Arial" w:eastAsia="宋体" w:cs="Arial"/>
                <w:sz w:val="22"/>
                <w:szCs w:val="22"/>
                <w:lang w:val="en-US" w:eastAsia="zh-CN"/>
              </w:rPr>
              <w:t xml:space="preserve">ingmei </w:t>
            </w:r>
            <w:r>
              <w:rPr>
                <w:rFonts w:hint="default" w:ascii="Arial" w:hAnsi="Arial" w:eastAsia="宋体" w:cs="Arial"/>
                <w:sz w:val="22"/>
                <w:szCs w:val="22"/>
                <w:lang w:val="en-US" w:eastAsia="zh-CN"/>
              </w:rPr>
              <w:t>X</w:t>
            </w:r>
            <w:r>
              <w:rPr>
                <w:rFonts w:hint="eastAsia" w:ascii="Arial" w:hAnsi="Arial" w:eastAsia="宋体" w:cs="Arial"/>
                <w:sz w:val="22"/>
                <w:szCs w:val="22"/>
                <w:lang w:val="en-US" w:eastAsia="zh-CN"/>
              </w:rPr>
              <w:t>ue</w:t>
            </w: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30/08/2025</w:t>
            </w: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rPr>
          <w:trHeight w:val="346" w:hRule="atLeast"/>
        </w:trPr>
        <w:tc>
          <w:tcPr>
            <w:tcW w:w="365" w:type="pct"/>
            <w:shd w:val="clear" w:color="auto" w:fill="F1F1F1" w:themeFill="background1" w:themeFillShade="F2"/>
            <w:vAlign w:val="center"/>
          </w:tcPr>
          <w:p w14:paraId="33C64BB8">
            <w:pPr>
              <w:pStyle w:val="31"/>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1"/>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1"/>
              <w:ind w:left="0"/>
              <w:rPr>
                <w:rFonts w:ascii="Arial" w:hAnsi="Arial" w:cs="Arial"/>
              </w:rPr>
            </w:pPr>
          </w:p>
        </w:tc>
        <w:tc>
          <w:tcPr>
            <w:tcW w:w="1014" w:type="pct"/>
            <w:vMerge w:val="restart"/>
          </w:tcPr>
          <w:p w14:paraId="7BA89991">
            <w:pPr>
              <w:pStyle w:val="31"/>
              <w:ind w:left="0"/>
              <w:rPr>
                <w:rFonts w:ascii="Arial" w:hAnsi="Arial" w:cs="Arial"/>
              </w:rPr>
            </w:pPr>
            <w:r>
              <w:rPr>
                <w:rFonts w:ascii="Arial" w:hAnsi="Arial" w:cs="Arial"/>
                <w:b/>
                <w:bCs/>
              </w:rPr>
              <w:t>Date:</w:t>
            </w:r>
          </w:p>
        </w:tc>
      </w:tr>
      <w:tr w14:paraId="3D4592A7">
        <w:trPr>
          <w:trHeight w:val="347" w:hRule="atLeast"/>
        </w:trPr>
        <w:tc>
          <w:tcPr>
            <w:tcW w:w="365" w:type="pct"/>
            <w:shd w:val="clear" w:color="auto" w:fill="F1F1F1" w:themeFill="background1" w:themeFillShade="F2"/>
            <w:vAlign w:val="center"/>
          </w:tcPr>
          <w:p w14:paraId="71B2DBDC">
            <w:pPr>
              <w:pStyle w:val="31"/>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1"/>
              <w:ind w:left="0"/>
              <w:rPr>
                <w:rFonts w:ascii="Arial" w:hAnsi="Arial" w:cs="Arial"/>
              </w:rPr>
            </w:pPr>
            <w:r>
              <w:rPr>
                <w:rFonts w:ascii="Arial" w:hAnsi="Arial" w:cs="Arial"/>
              </w:rPr>
              <w:t>Signature:</w:t>
            </w:r>
          </w:p>
        </w:tc>
        <w:tc>
          <w:tcPr>
            <w:tcW w:w="2176" w:type="pct"/>
            <w:shd w:val="clear" w:color="auto" w:fill="auto"/>
            <w:vAlign w:val="center"/>
          </w:tcPr>
          <w:p w14:paraId="7D041473">
            <w:pPr>
              <w:pStyle w:val="31"/>
              <w:ind w:left="0"/>
              <w:rPr>
                <w:rFonts w:ascii="Arial" w:hAnsi="Arial" w:cs="Arial"/>
              </w:rPr>
            </w:pPr>
          </w:p>
          <w:p w14:paraId="20916ADA">
            <w:pPr>
              <w:pStyle w:val="31"/>
              <w:ind w:left="0"/>
              <w:rPr>
                <w:rFonts w:ascii="Arial" w:hAnsi="Arial" w:cs="Arial"/>
              </w:rPr>
            </w:pPr>
          </w:p>
        </w:tc>
        <w:tc>
          <w:tcPr>
            <w:tcW w:w="1014" w:type="pct"/>
            <w:vMerge w:val="continue"/>
            <w:vAlign w:val="center"/>
          </w:tcPr>
          <w:p w14:paraId="05BCF667">
            <w:pPr>
              <w:pStyle w:val="31"/>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rPr>
          <w:trHeight w:val="346" w:hRule="atLeast"/>
        </w:trPr>
        <w:tc>
          <w:tcPr>
            <w:tcW w:w="366" w:type="pct"/>
            <w:shd w:val="clear" w:color="auto" w:fill="F1F1F1" w:themeFill="background1" w:themeFillShade="F2"/>
            <w:vAlign w:val="center"/>
          </w:tcPr>
          <w:p w14:paraId="13B6DAE8">
            <w:pPr>
              <w:pStyle w:val="31"/>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1"/>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1"/>
              <w:ind w:left="0"/>
              <w:rPr>
                <w:rFonts w:ascii="Arial" w:hAnsi="Arial" w:cs="Arial"/>
              </w:rPr>
            </w:pPr>
          </w:p>
        </w:tc>
        <w:tc>
          <w:tcPr>
            <w:tcW w:w="1013" w:type="pct"/>
            <w:vMerge w:val="restart"/>
          </w:tcPr>
          <w:p w14:paraId="68B145B4">
            <w:pPr>
              <w:pStyle w:val="31"/>
              <w:ind w:left="0"/>
              <w:rPr>
                <w:rFonts w:ascii="Arial" w:hAnsi="Arial" w:cs="Arial"/>
              </w:rPr>
            </w:pPr>
            <w:r>
              <w:rPr>
                <w:rFonts w:ascii="Arial" w:hAnsi="Arial" w:cs="Arial"/>
                <w:b/>
                <w:bCs/>
              </w:rPr>
              <w:t>Date:</w:t>
            </w:r>
          </w:p>
        </w:tc>
      </w:tr>
      <w:tr w14:paraId="415162DC">
        <w:trPr>
          <w:trHeight w:val="347" w:hRule="atLeast"/>
        </w:trPr>
        <w:tc>
          <w:tcPr>
            <w:tcW w:w="366" w:type="pct"/>
            <w:shd w:val="clear" w:color="auto" w:fill="F1F1F1" w:themeFill="background1" w:themeFillShade="F2"/>
            <w:vAlign w:val="center"/>
          </w:tcPr>
          <w:p w14:paraId="6454DEE5">
            <w:pPr>
              <w:pStyle w:val="31"/>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1"/>
              <w:ind w:left="0"/>
              <w:rPr>
                <w:rFonts w:ascii="Arial" w:hAnsi="Arial" w:cs="Arial"/>
              </w:rPr>
            </w:pPr>
            <w:r>
              <w:rPr>
                <w:rFonts w:ascii="Arial" w:hAnsi="Arial" w:cs="Arial"/>
              </w:rPr>
              <w:t>Signature:</w:t>
            </w:r>
          </w:p>
        </w:tc>
        <w:tc>
          <w:tcPr>
            <w:tcW w:w="2176" w:type="pct"/>
            <w:shd w:val="clear" w:color="auto" w:fill="auto"/>
            <w:vAlign w:val="center"/>
          </w:tcPr>
          <w:p w14:paraId="3AC0A20C">
            <w:pPr>
              <w:pStyle w:val="31"/>
              <w:ind w:left="0"/>
              <w:rPr>
                <w:rFonts w:ascii="Arial" w:hAnsi="Arial" w:cs="Arial"/>
              </w:rPr>
            </w:pPr>
          </w:p>
          <w:p w14:paraId="0B158BE4">
            <w:pPr>
              <w:pStyle w:val="31"/>
              <w:ind w:left="0"/>
              <w:rPr>
                <w:rFonts w:ascii="Arial" w:hAnsi="Arial" w:cs="Arial"/>
              </w:rPr>
            </w:pPr>
          </w:p>
        </w:tc>
        <w:tc>
          <w:tcPr>
            <w:tcW w:w="1013" w:type="pct"/>
            <w:vMerge w:val="continue"/>
            <w:vAlign w:val="center"/>
          </w:tcPr>
          <w:p w14:paraId="54A46206">
            <w:pPr>
              <w:pStyle w:val="31"/>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rPr>
          <w:trHeight w:val="413" w:hRule="atLeast"/>
        </w:trPr>
        <w:tc>
          <w:tcPr>
            <w:tcW w:w="675" w:type="dxa"/>
            <w:shd w:val="clear" w:color="auto" w:fill="BEBEBE" w:themeFill="background1" w:themeFillShade="BF"/>
            <w:vAlign w:val="center"/>
          </w:tcPr>
          <w:sdt>
            <w:sdtPr>
              <w:rPr>
                <w:rFonts w:ascii="Arial" w:hAnsi="Arial" w:cs="Arial"/>
              </w:rPr>
              <w:id w:val="57883425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rPr>
          <w:trHeight w:val="492" w:hRule="atLeast"/>
        </w:trPr>
        <w:tc>
          <w:tcPr>
            <w:tcW w:w="675" w:type="dxa"/>
            <w:shd w:val="clear" w:color="auto" w:fill="BEBEBE" w:themeFill="background1" w:themeFillShade="BF"/>
            <w:vAlign w:val="center"/>
          </w:tcPr>
          <w:sdt>
            <w:sdtPr>
              <w:rPr>
                <w:rFonts w:ascii="Arial" w:hAnsi="Arial" w:cs="Arial"/>
              </w:rPr>
              <w:id w:val="159297418"/>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8"/>
                <w:rFonts w:ascii="Arial" w:hAnsi="Arial" w:cs="Arial"/>
                <w:sz w:val="22"/>
                <w:szCs w:val="22"/>
              </w:rPr>
              <w:t>https://mytsd.uwtsd.ac.uk</w:t>
            </w:r>
            <w:r>
              <w:rPr>
                <w:rStyle w:val="18"/>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CC"/>
    <w:family w:val="roman"/>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604030504040204"/>
    <w:charset w:val="00"/>
    <w:family w:val="swiss"/>
    <w:pitch w:val="default"/>
    <w:sig w:usb0="E1002AFF" w:usb1="C000605B" w:usb2="00000029" w:usb3="00000000" w:csb0="200101FF" w:csb1="20280000"/>
  </w:font>
  <w:font w:name="Cambria">
    <w:altName w:val="苹方-简"/>
    <w:panose1 w:val="02040503050406030204"/>
    <w:charset w:val="00"/>
    <w:family w:val="roman"/>
    <w:pitch w:val="default"/>
    <w:sig w:usb0="00000000" w:usb1="00000000" w:usb2="02000000" w:usb3="00000000" w:csb0="0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Arial Regular">
    <w:panose1 w:val="020B0704020202020204"/>
    <w:charset w:val="00"/>
    <w:family w:val="auto"/>
    <w:pitch w:val="default"/>
    <w:sig w:usb0="E0002AFF" w:usb1="C0007843" w:usb2="00000009" w:usb3="00000000" w:csb0="400001FF" w:csb1="FFFF0000"/>
  </w:font>
  <w:font w:name="Arial Bold">
    <w:panose1 w:val="020B0704020202020204"/>
    <w:charset w:val="00"/>
    <w:family w:val="auto"/>
    <w:pitch w:val="default"/>
    <w:sig w:usb0="E0002AFF" w:usb1="C0007843" w:usb2="00000009" w:usb3="00000000" w:csb0="400001FF" w:csb1="FFFF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字体管家幻影伯爵">
    <w:panose1 w:val="02010600060101010101"/>
    <w:charset w:val="86"/>
    <w:family w:val="auto"/>
    <w:pitch w:val="default"/>
    <w:sig w:usb0="910002FF" w:usb1="2BDFFCFB" w:usb2="00000036" w:usb3="00000000" w:csb0="203F01FF" w:csb1="D7FF0000"/>
  </w:font>
  <w:font w:name="★超刚黑">
    <w:panose1 w:val="00000900000000000000"/>
    <w:charset w:val="88"/>
    <w:family w:val="auto"/>
    <w:pitch w:val="default"/>
    <w:sig w:usb0="A00002FF" w:usb1="3ACFFD7A" w:usb2="00000016" w:usb3="00000000" w:csb0="00100005" w:csb1="00000000"/>
  </w:font>
  <w:font w:name="Hiragino Sans">
    <w:panose1 w:val="020B0800000000000000"/>
    <w:charset w:val="80"/>
    <w:family w:val="auto"/>
    <w:pitch w:val="default"/>
    <w:sig w:usb0="800002CF" w:usb1="6AC7FCFC" w:usb2="00000012" w:usb3="00000000" w:csb0="0002000D"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8"/>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7BF465F"/>
    <w:rsid w:val="1E1BC39F"/>
    <w:rsid w:val="2FFFBBB4"/>
    <w:rsid w:val="345E56BF"/>
    <w:rsid w:val="35DFBF73"/>
    <w:rsid w:val="3EFA6279"/>
    <w:rsid w:val="3EFF3D5B"/>
    <w:rsid w:val="4EDFED8F"/>
    <w:rsid w:val="52FFE52A"/>
    <w:rsid w:val="693501D7"/>
    <w:rsid w:val="69AFC72B"/>
    <w:rsid w:val="6EF607ED"/>
    <w:rsid w:val="6FB738E1"/>
    <w:rsid w:val="6FF70C73"/>
    <w:rsid w:val="70AD8AE9"/>
    <w:rsid w:val="73FF5E64"/>
    <w:rsid w:val="777F614A"/>
    <w:rsid w:val="77D6FC4E"/>
    <w:rsid w:val="77EFAA57"/>
    <w:rsid w:val="7AFE6D69"/>
    <w:rsid w:val="7CF343B4"/>
    <w:rsid w:val="7CFE59CC"/>
    <w:rsid w:val="7EE7E6BB"/>
    <w:rsid w:val="7F9F53E7"/>
    <w:rsid w:val="7FAEE98A"/>
    <w:rsid w:val="7FCB688D"/>
    <w:rsid w:val="9AF7CA2A"/>
    <w:rsid w:val="9FBF2586"/>
    <w:rsid w:val="AFECE077"/>
    <w:rsid w:val="B1E7BDAD"/>
    <w:rsid w:val="BEEFECA6"/>
    <w:rsid w:val="BF2B94D7"/>
    <w:rsid w:val="BF6E8972"/>
    <w:rsid w:val="BFBDA001"/>
    <w:rsid w:val="BFD72E39"/>
    <w:rsid w:val="BFE53E6A"/>
    <w:rsid w:val="C5FA5F67"/>
    <w:rsid w:val="DFF3C56E"/>
    <w:rsid w:val="EDD717A3"/>
    <w:rsid w:val="EFDF436C"/>
    <w:rsid w:val="F5CE760B"/>
    <w:rsid w:val="F746788B"/>
    <w:rsid w:val="F7BF5F8B"/>
    <w:rsid w:val="FBBB214A"/>
    <w:rsid w:val="FBDE1572"/>
    <w:rsid w:val="FEBF227E"/>
    <w:rsid w:val="FF7DE6D4"/>
    <w:rsid w:val="FFA6A5F9"/>
    <w:rsid w:val="FFBB46A1"/>
    <w:rsid w:val="FFBFADF0"/>
    <w:rsid w:val="FFFF169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4"/>
    <w:basedOn w:val="1"/>
    <w:next w:val="1"/>
    <w:link w:val="21"/>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9"/>
    <w:semiHidden/>
    <w:unhideWhenUsed/>
    <w:uiPriority w:val="99"/>
  </w:style>
  <w:style w:type="paragraph" w:styleId="5">
    <w:name w:val="Balloon Text"/>
    <w:basedOn w:val="1"/>
    <w:link w:val="24"/>
    <w:semiHidden/>
    <w:uiPriority w:val="99"/>
    <w:rPr>
      <w:rFonts w:ascii="Tahoma" w:hAnsi="Tahoma" w:cs="Tahoma"/>
      <w:sz w:val="16"/>
      <w:szCs w:val="16"/>
    </w:rPr>
  </w:style>
  <w:style w:type="paragraph" w:styleId="6">
    <w:name w:val="footer"/>
    <w:basedOn w:val="1"/>
    <w:link w:val="26"/>
    <w:uiPriority w:val="99"/>
    <w:pPr>
      <w:tabs>
        <w:tab w:val="center" w:pos="4513"/>
        <w:tab w:val="right" w:pos="9026"/>
      </w:tabs>
    </w:pPr>
  </w:style>
  <w:style w:type="paragraph" w:styleId="7">
    <w:name w:val="header"/>
    <w:basedOn w:val="1"/>
    <w:link w:val="25"/>
    <w:semiHidden/>
    <w:uiPriority w:val="99"/>
    <w:pPr>
      <w:tabs>
        <w:tab w:val="center" w:pos="4513"/>
        <w:tab w:val="right" w:pos="9026"/>
      </w:tabs>
    </w:pPr>
  </w:style>
  <w:style w:type="paragraph" w:styleId="8">
    <w:name w:val="Body Text 2"/>
    <w:basedOn w:val="1"/>
    <w:link w:val="22"/>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30"/>
    <w:semiHidden/>
    <w:unhideWhenUsed/>
    <w:uiPriority w:val="99"/>
    <w:rPr>
      <w:b/>
      <w:bCs/>
    </w:rPr>
  </w:style>
  <w:style w:type="table" w:styleId="12">
    <w:name w:val="Table Grid"/>
    <w:basedOn w:val="11"/>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Emphasis"/>
    <w:basedOn w:val="13"/>
    <w:qFormat/>
    <w:uiPriority w:val="20"/>
    <w:rPr>
      <w:i/>
    </w:rPr>
  </w:style>
  <w:style w:type="character" w:styleId="18">
    <w:name w:val="Hyperlink"/>
    <w:uiPriority w:val="0"/>
    <w:rPr>
      <w:color w:val="0000FF"/>
      <w:u w:val="single"/>
    </w:rPr>
  </w:style>
  <w:style w:type="character" w:styleId="19">
    <w:name w:val="annotation reference"/>
    <w:semiHidden/>
    <w:unhideWhenUsed/>
    <w:uiPriority w:val="99"/>
    <w:rPr>
      <w:sz w:val="16"/>
      <w:szCs w:val="16"/>
    </w:rPr>
  </w:style>
  <w:style w:type="character" w:customStyle="1" w:styleId="20">
    <w:name w:val="Heading 1 Char"/>
    <w:link w:val="2"/>
    <w:uiPriority w:val="99"/>
    <w:rPr>
      <w:rFonts w:ascii="Cambria" w:hAnsi="Cambria" w:cs="Cambria"/>
      <w:b/>
      <w:bCs/>
      <w:kern w:val="32"/>
      <w:sz w:val="32"/>
      <w:szCs w:val="32"/>
      <w:lang w:eastAsia="en-US"/>
    </w:rPr>
  </w:style>
  <w:style w:type="character" w:customStyle="1" w:styleId="21">
    <w:name w:val="Heading 4 Char"/>
    <w:link w:val="3"/>
    <w:semiHidden/>
    <w:uiPriority w:val="99"/>
    <w:rPr>
      <w:rFonts w:ascii="Calibri" w:hAnsi="Calibri" w:cs="Calibri"/>
      <w:b/>
      <w:bCs/>
      <w:sz w:val="28"/>
      <w:szCs w:val="28"/>
      <w:lang w:eastAsia="en-US"/>
    </w:rPr>
  </w:style>
  <w:style w:type="character" w:customStyle="1" w:styleId="22">
    <w:name w:val="Body Text 2 Char"/>
    <w:link w:val="8"/>
    <w:semiHidden/>
    <w:uiPriority w:val="99"/>
    <w:rPr>
      <w:sz w:val="20"/>
      <w:szCs w:val="20"/>
      <w:lang w:eastAsia="en-US"/>
    </w:rPr>
  </w:style>
  <w:style w:type="paragraph" w:customStyle="1" w:styleId="23">
    <w:name w:val="deannah1"/>
    <w:basedOn w:val="1"/>
    <w:uiPriority w:val="99"/>
    <w:pPr>
      <w:keepNext/>
      <w:spacing w:after="240"/>
    </w:pPr>
    <w:rPr>
      <w:b/>
      <w:bCs/>
      <w:sz w:val="24"/>
      <w:szCs w:val="24"/>
    </w:rPr>
  </w:style>
  <w:style w:type="character" w:customStyle="1" w:styleId="24">
    <w:name w:val="Balloon Text Char"/>
    <w:link w:val="5"/>
    <w:semiHidden/>
    <w:uiPriority w:val="99"/>
    <w:rPr>
      <w:sz w:val="2"/>
      <w:szCs w:val="2"/>
      <w:lang w:eastAsia="en-US"/>
    </w:rPr>
  </w:style>
  <w:style w:type="character" w:customStyle="1" w:styleId="25">
    <w:name w:val="Header Char"/>
    <w:link w:val="7"/>
    <w:semiHidden/>
    <w:uiPriority w:val="99"/>
    <w:rPr>
      <w:lang w:eastAsia="en-US"/>
    </w:rPr>
  </w:style>
  <w:style w:type="character" w:customStyle="1" w:styleId="26">
    <w:name w:val="Footer Char"/>
    <w:link w:val="6"/>
    <w:uiPriority w:val="99"/>
    <w:rPr>
      <w:lang w:eastAsia="en-US"/>
    </w:rPr>
  </w:style>
  <w:style w:type="character" w:customStyle="1" w:styleId="27">
    <w:name w:val="Hyperlink1"/>
    <w:uiPriority w:val="99"/>
    <w:rPr>
      <w:color w:val="535353"/>
      <w:u w:val="single"/>
    </w:rPr>
  </w:style>
  <w:style w:type="paragraph" w:customStyle="1" w:styleId="28">
    <w:name w:val="Normal (Web)1"/>
    <w:basedOn w:val="1"/>
    <w:uiPriority w:val="99"/>
    <w:pPr>
      <w:spacing w:before="100" w:beforeAutospacing="1" w:after="300"/>
    </w:pPr>
    <w:rPr>
      <w:sz w:val="24"/>
      <w:szCs w:val="24"/>
      <w:lang w:eastAsia="en-GB"/>
    </w:rPr>
  </w:style>
  <w:style w:type="character" w:customStyle="1" w:styleId="29">
    <w:name w:val="Comment Text Char"/>
    <w:link w:val="4"/>
    <w:semiHidden/>
    <w:uiPriority w:val="99"/>
    <w:rPr>
      <w:lang w:eastAsia="en-US"/>
    </w:rPr>
  </w:style>
  <w:style w:type="character" w:customStyle="1" w:styleId="30">
    <w:name w:val="Comment Subject Char"/>
    <w:link w:val="10"/>
    <w:semiHidden/>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Unresolved Mention"/>
    <w:basedOn w:val="13"/>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17</Pages>
  <Words>3607</Words>
  <Characters>20440</Characters>
  <Lines>170</Lines>
  <Paragraphs>47</Paragraphs>
  <TotalTime>225</TotalTime>
  <ScaleCrop>false</ScaleCrop>
  <LinksUpToDate>false</LinksUpToDate>
  <CharactersWithSpaces>24000</CharactersWithSpaces>
  <Application>WPS Office_6.14.0.8924_F1E327BC-269C-435d-A152-05C5408002CA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2021-07-01T11:47:00Z</dcterms:created>
  <dc:creator>Kevin Brice</dc:creator>
  <cp:lastModifiedBy>薛mm</cp:lastModifiedBy>
  <cp:lastPrinted>2016-10-25T13:21:00Z</cp:lastPrinted>
  <dcterms:modified xsi:type="dcterms:W3CDTF">2025-09-05T10:10:05Z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KSOProductBuildVer">
    <vt:lpwstr>2052-6.14.0.8924</vt:lpwstr>
  </property>
  <property fmtid="{D5CDD505-2E9C-101B-9397-08002B2CF9AE}" pid="5" name="ICV">
    <vt:lpwstr>21D1D1B7A670C5035392B968093CA1A6_43</vt:lpwstr>
  </property>
</Properties>
</file>