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991DA9F" wp14:paraId="438B3F93" wp14:textId="5C612921">
      <w:pPr>
        <w:pStyle w:val="Heading1"/>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Component1- BMHP6026</w:t>
      </w:r>
    </w:p>
    <w:p xmlns:wp14="http://schemas.microsoft.com/office/word/2010/wordml" w:rsidP="3991DA9F" wp14:paraId="27E18DED" wp14:textId="7D09D041">
      <w:pPr>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Ishrat Hussain- 2318968</w:t>
      </w:r>
    </w:p>
    <w:p xmlns:wp14="http://schemas.microsoft.com/office/word/2010/wordml" w:rsidP="3991DA9F" wp14:paraId="7DDD2F55" wp14:textId="3BE1BED1">
      <w:pPr>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Digital Transformation in Health and Care Professionals</w:t>
      </w:r>
    </w:p>
    <w:p xmlns:wp14="http://schemas.microsoft.com/office/word/2010/wordml" w:rsidP="3991DA9F" wp14:paraId="12393D9A" wp14:textId="7A6016F1">
      <w:pPr>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Lecturer- Zakiya Ahmed</w:t>
      </w:r>
    </w:p>
    <w:p xmlns:wp14="http://schemas.microsoft.com/office/word/2010/wordml" w:rsidP="3991DA9F" wp14:paraId="08115385" wp14:textId="66D69041">
      <w:pPr>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p>
    <w:p xmlns:wp14="http://schemas.microsoft.com/office/word/2010/wordml" w:rsidP="3991DA9F" wp14:paraId="5255B9BA" wp14:textId="7CB69465">
      <w:pPr>
        <w:spacing w:before="100" w:after="100" w:line="360" w:lineRule="auto"/>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Submission date- Sunday March 1</w:t>
      </w:r>
      <w:r w:rsidRPr="3991DA9F" w:rsidR="516D09A0">
        <w:rPr>
          <w:rFonts w:ascii="Arial" w:hAnsi="Arial" w:eastAsia="Arial" w:cs="Arial"/>
          <w:b w:val="1"/>
          <w:bCs w:val="1"/>
          <w:i w:val="0"/>
          <w:iCs w:val="0"/>
          <w:caps w:val="0"/>
          <w:smallCaps w:val="0"/>
          <w:noProof w:val="0"/>
          <w:color w:val="000000" w:themeColor="text1" w:themeTint="FF" w:themeShade="FF"/>
          <w:sz w:val="56"/>
          <w:szCs w:val="56"/>
          <w:vertAlign w:val="superscript"/>
          <w:lang w:val="en-GB"/>
        </w:rPr>
        <w:t>st</w:t>
      </w:r>
      <w:r w:rsidRPr="3991DA9F" w:rsidR="516D09A0">
        <w:rPr>
          <w:rFonts w:ascii="Arial" w:hAnsi="Arial" w:eastAsia="Arial" w:cs="Arial"/>
          <w:b w:val="1"/>
          <w:bCs w:val="1"/>
          <w:i w:val="0"/>
          <w:iCs w:val="0"/>
          <w:caps w:val="0"/>
          <w:smallCaps w:val="0"/>
          <w:noProof w:val="0"/>
          <w:color w:val="000000" w:themeColor="text1" w:themeTint="FF" w:themeShade="FF"/>
          <w:sz w:val="56"/>
          <w:szCs w:val="56"/>
          <w:lang w:val="en-GB"/>
        </w:rPr>
        <w:t>, 2026.</w:t>
      </w:r>
    </w:p>
    <w:p xmlns:wp14="http://schemas.microsoft.com/office/word/2010/wordml" w:rsidP="3991DA9F" wp14:paraId="083347F6" wp14:textId="6425D6E0">
      <w:pPr>
        <w:keepNext w:val="1"/>
        <w:keepLines w:val="1"/>
        <w:spacing w:before="322" w:beforeAutospacing="off" w:after="322" w:afterAutospacing="off" w:line="360" w:lineRule="auto"/>
        <w:rPr>
          <w:rFonts w:ascii="Arial" w:hAnsi="Arial" w:eastAsia="Arial" w:cs="Arial"/>
          <w:b w:val="0"/>
          <w:bCs w:val="0"/>
          <w:i w:val="0"/>
          <w:iCs w:val="0"/>
          <w:caps w:val="0"/>
          <w:smallCaps w:val="0"/>
          <w:noProof w:val="0"/>
          <w:color w:val="0F4761" w:themeColor="accent1" w:themeTint="FF" w:themeShade="BF"/>
          <w:sz w:val="28"/>
          <w:szCs w:val="28"/>
          <w:lang w:val="en-US"/>
        </w:rPr>
      </w:pPr>
    </w:p>
    <w:p xmlns:wp14="http://schemas.microsoft.com/office/word/2010/wordml" w:rsidP="3991DA9F" wp14:paraId="5B231439" wp14:textId="6EB543BB">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3991DA9F" wp14:paraId="48D30BAD" wp14:textId="6BBE120C">
      <w:pPr>
        <w:pStyle w:val="Heading1"/>
        <w:spacing w:before="322" w:beforeAutospacing="off" w:after="322" w:afterAutospacing="off"/>
        <w:rPr>
          <w:rFonts w:ascii="Arial" w:hAnsi="Arial" w:eastAsia="Arial" w:cs="Arial"/>
          <w:b w:val="1"/>
          <w:bCs w:val="1"/>
          <w:noProof w:val="0"/>
          <w:color w:val="000000" w:themeColor="text1" w:themeTint="FF" w:themeShade="FF"/>
          <w:sz w:val="24"/>
          <w:szCs w:val="24"/>
          <w:lang w:val="en-US"/>
        </w:rPr>
      </w:pPr>
      <w:r w:rsidRPr="3991DA9F" w:rsidR="516D09A0">
        <w:rPr>
          <w:rFonts w:ascii="Arial" w:hAnsi="Arial" w:eastAsia="Arial" w:cs="Arial"/>
          <w:b w:val="1"/>
          <w:bCs w:val="1"/>
          <w:noProof w:val="0"/>
          <w:color w:val="000000" w:themeColor="text1" w:themeTint="FF" w:themeShade="FF"/>
          <w:sz w:val="24"/>
          <w:szCs w:val="24"/>
          <w:lang w:val="en-US"/>
        </w:rPr>
        <w:t>Evaluating the NHS App as a Digital Innovation in Health and Social Care</w:t>
      </w:r>
    </w:p>
    <w:p xmlns:wp14="http://schemas.microsoft.com/office/word/2010/wordml" w:rsidP="3991DA9F" wp14:paraId="5D30E56E" wp14:textId="49C93CDA">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pPr>
      <w:r w:rsidRPr="3991DA9F" w:rsidR="516D09A0">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US"/>
        </w:rPr>
        <w:t>Introduction</w:t>
      </w:r>
    </w:p>
    <w:p xmlns:wp14="http://schemas.microsoft.com/office/word/2010/wordml" w:rsidP="3991DA9F" wp14:paraId="1C9D7012" wp14:textId="01D7082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NHS App is a nationally implemented digital platform designed to provide service users with </w:t>
      </w:r>
      <w:r w:rsidRPr="3991DA9F" w:rsidR="516D09A0">
        <w:rPr>
          <w:rFonts w:ascii="Arial" w:hAnsi="Arial" w:eastAsia="Arial" w:cs="Arial" w:asciiTheme="minorAscii" w:hAnsiTheme="minorAscii" w:eastAsiaTheme="minorAscii" w:cstheme="minorAscii"/>
          <w:b w:val="0"/>
          <w:bCs w:val="0"/>
          <w:noProof w:val="0"/>
          <w:sz w:val="22"/>
          <w:szCs w:val="22"/>
          <w:lang w:val="en-US"/>
        </w:rPr>
        <w:t>centralised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access to NHS services, including appointment booking, prescription </w:t>
      </w:r>
      <w:bookmarkStart w:name="_Int_kFhJvn9t" w:id="2132601660"/>
      <w:r w:rsidRPr="3991DA9F" w:rsidR="516D09A0">
        <w:rPr>
          <w:rFonts w:ascii="Arial" w:hAnsi="Arial" w:eastAsia="Arial" w:cs="Arial" w:asciiTheme="minorAscii" w:hAnsiTheme="minorAscii" w:eastAsiaTheme="minorAscii" w:cstheme="minorAscii"/>
          <w:b w:val="0"/>
          <w:bCs w:val="0"/>
          <w:noProof w:val="0"/>
          <w:sz w:val="22"/>
          <w:szCs w:val="22"/>
          <w:lang w:val="en-US"/>
        </w:rPr>
        <w:t>ordering</w:t>
      </w:r>
      <w:bookmarkEnd w:id="2132601660"/>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access to personal health records. As digital technologies become increasingly embedded within health and social care, national policy has positioned digital access tools as central to improving efficiency, </w:t>
      </w:r>
      <w:bookmarkStart w:name="_Int_Q3l2xumF" w:id="1589972549"/>
      <w:r w:rsidRPr="3991DA9F" w:rsidR="516D09A0">
        <w:rPr>
          <w:rFonts w:ascii="Arial" w:hAnsi="Arial" w:eastAsia="Arial" w:cs="Arial" w:asciiTheme="minorAscii" w:hAnsiTheme="minorAscii" w:eastAsiaTheme="minorAscii" w:cstheme="minorAscii"/>
          <w:b w:val="0"/>
          <w:bCs w:val="0"/>
          <w:noProof w:val="0"/>
          <w:sz w:val="22"/>
          <w:szCs w:val="22"/>
          <w:lang w:val="en-US"/>
        </w:rPr>
        <w:t>accessibility</w:t>
      </w:r>
      <w:bookmarkEnd w:id="1589972549"/>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patient involvement across services.</w:t>
      </w:r>
    </w:p>
    <w:p xmlns:wp14="http://schemas.microsoft.com/office/word/2010/wordml" w:rsidP="3991DA9F" wp14:paraId="160A1CFB" wp14:textId="1E7A5DD5">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strategic role of the NHS App is explicitly articulated in </w:t>
      </w:r>
      <w:r w:rsidRPr="3991DA9F" w:rsidR="516D09A0">
        <w:rPr>
          <w:rFonts w:ascii="Arial" w:hAnsi="Arial" w:eastAsia="Arial" w:cs="Arial" w:asciiTheme="minorAscii" w:hAnsiTheme="minorAscii" w:eastAsiaTheme="minorAscii" w:cstheme="minorAscii"/>
          <w:b w:val="0"/>
          <w:bCs w:val="0"/>
          <w:i w:val="1"/>
          <w:iCs w:val="1"/>
          <w:noProof w:val="0"/>
          <w:sz w:val="22"/>
          <w:szCs w:val="22"/>
          <w:lang w:val="en-US"/>
        </w:rPr>
        <w:t>The NHS Long Term Plan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which </w:t>
      </w:r>
      <w:r w:rsidRPr="3991DA9F" w:rsidR="516D09A0">
        <w:rPr>
          <w:rFonts w:ascii="Arial" w:hAnsi="Arial" w:eastAsia="Arial" w:cs="Arial" w:asciiTheme="minorAscii" w:hAnsiTheme="minorAscii" w:eastAsiaTheme="minorAscii" w:cstheme="minorAscii"/>
          <w:b w:val="0"/>
          <w:bCs w:val="0"/>
          <w:noProof w:val="0"/>
          <w:sz w:val="22"/>
          <w:szCs w:val="22"/>
          <w:lang w:val="en-US"/>
        </w:rPr>
        <w:t>emphasises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the use of digital tools to support patient empowerment, preventative health </w:t>
      </w:r>
      <w:r w:rsidRPr="3991DA9F" w:rsidR="516D09A0">
        <w:rPr>
          <w:rFonts w:ascii="Arial" w:hAnsi="Arial" w:eastAsia="Arial" w:cs="Arial" w:asciiTheme="minorAscii" w:hAnsiTheme="minorAscii" w:eastAsiaTheme="minorAscii" w:cstheme="minorAscii"/>
          <w:b w:val="0"/>
          <w:bCs w:val="0"/>
          <w:noProof w:val="0"/>
          <w:sz w:val="22"/>
          <w:szCs w:val="22"/>
          <w:lang w:val="en-US"/>
        </w:rPr>
        <w:t>behaviours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more sustainable service delivery within primary and community care (NHS England, 2019). This policy direction is further reinforced by </w:t>
      </w:r>
      <w:r w:rsidRPr="3991DA9F" w:rsidR="516D09A0">
        <w:rPr>
          <w:rFonts w:ascii="Arial" w:hAnsi="Arial" w:eastAsia="Arial" w:cs="Arial" w:asciiTheme="minorAscii" w:hAnsiTheme="minorAscii" w:eastAsiaTheme="minorAscii" w:cstheme="minorAscii"/>
          <w:b w:val="0"/>
          <w:bCs w:val="0"/>
          <w:i w:val="1"/>
          <w:iCs w:val="1"/>
          <w:noProof w:val="0"/>
          <w:sz w:val="22"/>
          <w:szCs w:val="22"/>
          <w:lang w:val="en-US"/>
        </w:rPr>
        <w:t>What Good Looks Like: A Framework for Digital Transformation in Health and Care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which frames digital platforms such as the NHS App as mechanisms for improving access to services, enabling </w:t>
      </w:r>
      <w:bookmarkStart w:name="_Int_d9yeuQgS" w:id="287241357"/>
      <w:r w:rsidRPr="3991DA9F" w:rsidR="516D09A0">
        <w:rPr>
          <w:rFonts w:ascii="Arial" w:hAnsi="Arial" w:eastAsia="Arial" w:cs="Arial" w:asciiTheme="minorAscii" w:hAnsiTheme="minorAscii" w:eastAsiaTheme="minorAscii" w:cstheme="minorAscii"/>
          <w:b w:val="0"/>
          <w:bCs w:val="0"/>
          <w:noProof w:val="0"/>
          <w:sz w:val="22"/>
          <w:szCs w:val="22"/>
          <w:lang w:val="en-US"/>
        </w:rPr>
        <w:t>self-care</w:t>
      </w:r>
      <w:bookmarkEnd w:id="287241357"/>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reducing pressure on traditional care pathways (NHS England, 2021).</w:t>
      </w:r>
    </w:p>
    <w:p xmlns:wp14="http://schemas.microsoft.com/office/word/2010/wordml" w:rsidP="3991DA9F" wp14:paraId="39B5672E" wp14:textId="30448ED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The NHS App began public rollout in 2019, meeting the assessment requirement for a UK digital innovation implemented within the last ten years (NHS England, 2019). In line with the assessment guidance, this report critically evaluates the NHS App, focusing on its impact on service delivery and community outcomes, while drawing on workforce and patient-related considerations where relevant to support the analysis.</w:t>
      </w:r>
    </w:p>
    <w:p xmlns:wp14="http://schemas.microsoft.com/office/word/2010/wordml" w:rsidP="3991DA9F" wp14:paraId="413BBA16" wp14:textId="15FC72D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NHS App was developed to provide a single digital access point for a range of NHS services, allowing users to manage aspects of their care independently. Core functions include ordering repeat prescriptions, viewing elements of medical </w:t>
      </w:r>
      <w:bookmarkStart w:name="_Int_fqFOsBmv" w:id="615748563"/>
      <w:r w:rsidRPr="3991DA9F" w:rsidR="516D09A0">
        <w:rPr>
          <w:rFonts w:ascii="Arial" w:hAnsi="Arial" w:eastAsia="Arial" w:cs="Arial" w:asciiTheme="minorAscii" w:hAnsiTheme="minorAscii" w:eastAsiaTheme="minorAscii" w:cstheme="minorAscii"/>
          <w:b w:val="0"/>
          <w:bCs w:val="0"/>
          <w:noProof w:val="0"/>
          <w:sz w:val="22"/>
          <w:szCs w:val="22"/>
          <w:lang w:val="en-US"/>
        </w:rPr>
        <w:t>records</w:t>
      </w:r>
      <w:bookmarkEnd w:id="615748563"/>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receiving appointment-related information. National policy positions these functions as mechanisms to increase patient involvement and support prevention through improved access to information and self-management resources (NHS England, 2019).</w:t>
      </w:r>
    </w:p>
    <w:p xmlns:wp14="http://schemas.microsoft.com/office/word/2010/wordml" w:rsidP="3991DA9F" wp14:paraId="5472084E" wp14:textId="54D9E45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This policy commitment is reinforced by </w:t>
      </w:r>
      <w:r w:rsidRPr="3991DA9F" w:rsidR="516D09A0">
        <w:rPr>
          <w:rFonts w:ascii="Arial" w:hAnsi="Arial" w:eastAsia="Arial" w:cs="Arial" w:asciiTheme="minorAscii" w:hAnsiTheme="minorAscii" w:eastAsiaTheme="minorAscii" w:cstheme="minorAscii"/>
          <w:b w:val="0"/>
          <w:bCs w:val="0"/>
          <w:i w:val="1"/>
          <w:iCs w:val="1"/>
          <w:noProof w:val="0"/>
          <w:sz w:val="22"/>
          <w:szCs w:val="22"/>
          <w:lang w:val="en-US"/>
        </w:rPr>
        <w:t>What Good Looks Like: A Framework for Digital Transformation in Health and Care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which </w:t>
      </w:r>
      <w:r w:rsidRPr="3991DA9F" w:rsidR="516D09A0">
        <w:rPr>
          <w:rFonts w:ascii="Arial" w:hAnsi="Arial" w:eastAsia="Arial" w:cs="Arial" w:asciiTheme="minorAscii" w:hAnsiTheme="minorAscii" w:eastAsiaTheme="minorAscii" w:cstheme="minorAscii"/>
          <w:b w:val="0"/>
          <w:bCs w:val="0"/>
          <w:noProof w:val="0"/>
          <w:sz w:val="22"/>
          <w:szCs w:val="22"/>
          <w:lang w:val="en-US"/>
        </w:rPr>
        <w:t>identifies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digital tools as essential to improving accessibility, enabling </w:t>
      </w:r>
      <w:bookmarkStart w:name="_Int_Q0R7Y52k" w:id="1647567827"/>
      <w:r w:rsidRPr="3991DA9F" w:rsidR="516D09A0">
        <w:rPr>
          <w:rFonts w:ascii="Arial" w:hAnsi="Arial" w:eastAsia="Arial" w:cs="Arial" w:asciiTheme="minorAscii" w:hAnsiTheme="minorAscii" w:eastAsiaTheme="minorAscii" w:cstheme="minorAscii"/>
          <w:b w:val="0"/>
          <w:bCs w:val="0"/>
          <w:noProof w:val="0"/>
          <w:sz w:val="22"/>
          <w:szCs w:val="22"/>
          <w:lang w:val="en-US"/>
        </w:rPr>
        <w:t>self-care</w:t>
      </w:r>
      <w:bookmarkEnd w:id="1647567827"/>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supporting more efficient use of healthcare resources (NHS England, 2021). Empirical evidence supports this strategic intent: NHS Digital reports over 50 million NHS App registrations, with repeat prescription requests and appointment management </w:t>
      </w:r>
      <w:r w:rsidRPr="3991DA9F" w:rsidR="516D09A0">
        <w:rPr>
          <w:rFonts w:ascii="Arial" w:hAnsi="Arial" w:eastAsia="Arial" w:cs="Arial" w:asciiTheme="minorAscii" w:hAnsiTheme="minorAscii" w:eastAsiaTheme="minorAscii" w:cstheme="minorAscii"/>
          <w:b w:val="0"/>
          <w:bCs w:val="0"/>
          <w:noProof w:val="0"/>
          <w:sz w:val="22"/>
          <w:szCs w:val="22"/>
          <w:lang w:val="en-US"/>
        </w:rPr>
        <w:t>representing</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the most </w:t>
      </w:r>
      <w:r w:rsidRPr="3991DA9F" w:rsidR="516D09A0">
        <w:rPr>
          <w:rFonts w:ascii="Arial" w:hAnsi="Arial" w:eastAsia="Arial" w:cs="Arial" w:asciiTheme="minorAscii" w:hAnsiTheme="minorAscii" w:eastAsiaTheme="minorAscii" w:cstheme="minorAscii"/>
          <w:b w:val="0"/>
          <w:bCs w:val="0"/>
          <w:noProof w:val="0"/>
          <w:sz w:val="22"/>
          <w:szCs w:val="22"/>
          <w:lang w:val="en-US"/>
        </w:rPr>
        <w:t>frequently</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used features (NHS Digital, 2023). These usage patterns </w:t>
      </w:r>
      <w:r w:rsidRPr="3991DA9F" w:rsidR="516D09A0">
        <w:rPr>
          <w:rFonts w:ascii="Arial" w:hAnsi="Arial" w:eastAsia="Arial" w:cs="Arial" w:asciiTheme="minorAscii" w:hAnsiTheme="minorAscii" w:eastAsiaTheme="minorAscii" w:cstheme="minorAscii"/>
          <w:b w:val="0"/>
          <w:bCs w:val="0"/>
          <w:noProof w:val="0"/>
          <w:sz w:val="22"/>
          <w:szCs w:val="22"/>
          <w:lang w:val="en-US"/>
        </w:rPr>
        <w:t>demonstrate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 deliberate transfer of routine administrative activity from staff to service users.</w:t>
      </w:r>
    </w:p>
    <w:p xmlns:wp14="http://schemas.microsoft.com/office/word/2010/wordml" w:rsidP="3991DA9F" wp14:paraId="176C3360" wp14:textId="0D771E5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Independent analysis suggests that the NHS App forms part of a broader strategy to reconfigure access to care rather than simply </w:t>
      </w:r>
      <w:r w:rsidRPr="3991DA9F" w:rsidR="516D09A0">
        <w:rPr>
          <w:rFonts w:ascii="Arial" w:hAnsi="Arial" w:eastAsia="Arial" w:cs="Arial" w:asciiTheme="minorAscii" w:hAnsiTheme="minorAscii" w:eastAsiaTheme="minorAscii" w:cstheme="minorAscii"/>
          <w:b w:val="0"/>
          <w:bCs w:val="0"/>
          <w:noProof w:val="0"/>
          <w:sz w:val="22"/>
          <w:szCs w:val="22"/>
          <w:lang w:val="en-US"/>
        </w:rPr>
        <w:t>digitising</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existing processes (The King’s Fund, 2022). However, the extent to which these </w:t>
      </w:r>
      <w:r w:rsidRPr="3991DA9F" w:rsidR="516D09A0">
        <w:rPr>
          <w:rFonts w:ascii="Arial" w:hAnsi="Arial" w:eastAsia="Arial" w:cs="Arial" w:asciiTheme="minorAscii" w:hAnsiTheme="minorAscii" w:eastAsiaTheme="minorAscii" w:cstheme="minorAscii"/>
          <w:b w:val="0"/>
          <w:bCs w:val="0"/>
          <w:noProof w:val="0"/>
          <w:sz w:val="22"/>
          <w:szCs w:val="22"/>
          <w:lang w:val="en-US"/>
        </w:rPr>
        <w:t>objectives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are achieved depends heavily on local implementation, </w:t>
      </w:r>
      <w:r w:rsidRPr="3991DA9F" w:rsidR="516D09A0">
        <w:rPr>
          <w:rFonts w:ascii="Arial" w:hAnsi="Arial" w:eastAsia="Arial" w:cs="Arial" w:asciiTheme="minorAscii" w:hAnsiTheme="minorAscii" w:eastAsiaTheme="minorAscii" w:cstheme="minorAscii"/>
          <w:b w:val="0"/>
          <w:bCs w:val="0"/>
          <w:noProof w:val="0"/>
          <w:sz w:val="22"/>
          <w:szCs w:val="22"/>
          <w:lang w:val="en-US"/>
        </w:rPr>
        <w:t>organisational</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t>
      </w:r>
      <w:bookmarkStart w:name="_Int_EabeYYcR" w:id="1213967222"/>
      <w:r w:rsidRPr="3991DA9F" w:rsidR="516D09A0">
        <w:rPr>
          <w:rFonts w:ascii="Arial" w:hAnsi="Arial" w:eastAsia="Arial" w:cs="Arial" w:asciiTheme="minorAscii" w:hAnsiTheme="minorAscii" w:eastAsiaTheme="minorAscii" w:cstheme="minorAscii"/>
          <w:b w:val="0"/>
          <w:bCs w:val="0"/>
          <w:noProof w:val="0"/>
          <w:sz w:val="22"/>
          <w:szCs w:val="22"/>
          <w:lang w:val="en-US"/>
        </w:rPr>
        <w:t>readiness</w:t>
      </w:r>
      <w:bookmarkEnd w:id="1213967222"/>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system capacity.</w:t>
      </w:r>
    </w:p>
    <w:p xmlns:wp14="http://schemas.microsoft.com/office/word/2010/wordml" w:rsidP="3991DA9F" wp14:paraId="7FDF5CB6" wp14:textId="595CD92E">
      <w:pPr>
        <w:spacing w:line="360" w:lineRule="auto"/>
        <w:rPr>
          <w:rFonts w:ascii="Arial" w:hAnsi="Arial" w:eastAsia="Arial" w:cs="Arial" w:asciiTheme="minorAscii" w:hAnsiTheme="minorAscii" w:eastAsiaTheme="minorAscii" w:cstheme="minorAscii"/>
          <w:b w:val="0"/>
          <w:bCs w:val="0"/>
          <w:sz w:val="22"/>
          <w:szCs w:val="22"/>
        </w:rPr>
      </w:pPr>
    </w:p>
    <w:p xmlns:wp14="http://schemas.microsoft.com/office/word/2010/wordml" w:rsidP="3991DA9F" wp14:paraId="4760E43A" wp14:textId="7DD75D63">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3991DA9F" w:rsidR="516D09A0">
        <w:rPr>
          <w:rFonts w:ascii="Arial" w:hAnsi="Arial" w:eastAsia="Arial" w:cs="Arial" w:asciiTheme="minorAscii" w:hAnsiTheme="minorAscii" w:eastAsiaTheme="minorAscii" w:cstheme="minorAscii"/>
          <w:b w:val="1"/>
          <w:bCs w:val="1"/>
          <w:noProof w:val="0"/>
          <w:color w:val="auto"/>
          <w:sz w:val="22"/>
          <w:szCs w:val="22"/>
          <w:lang w:val="en-US"/>
        </w:rPr>
        <w:t>Impact on Service Delivery</w:t>
      </w:r>
    </w:p>
    <w:p xmlns:wp14="http://schemas.microsoft.com/office/word/2010/wordml" w:rsidP="3991DA9F" wp14:paraId="030AF5AD" wp14:textId="4D8C3485">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impact of the NHS App on service delivery is highly dependent on how effectively it is integrated into local workflows and </w:t>
      </w:r>
      <w:r w:rsidRPr="3991DA9F" w:rsidR="516D09A0">
        <w:rPr>
          <w:rFonts w:ascii="Arial" w:hAnsi="Arial" w:eastAsia="Arial" w:cs="Arial" w:asciiTheme="minorAscii" w:hAnsiTheme="minorAscii" w:eastAsiaTheme="minorAscii" w:cstheme="minorAscii"/>
          <w:b w:val="0"/>
          <w:bCs w:val="0"/>
          <w:noProof w:val="0"/>
          <w:sz w:val="22"/>
          <w:szCs w:val="22"/>
          <w:lang w:val="en-US"/>
        </w:rPr>
        <w:t>organisational</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systems. Although the app </w:t>
      </w:r>
      <w:r w:rsidRPr="3991DA9F" w:rsidR="516D09A0">
        <w:rPr>
          <w:rFonts w:ascii="Arial" w:hAnsi="Arial" w:eastAsia="Arial" w:cs="Arial" w:asciiTheme="minorAscii" w:hAnsiTheme="minorAscii" w:eastAsiaTheme="minorAscii" w:cstheme="minorAscii"/>
          <w:b w:val="0"/>
          <w:bCs w:val="0"/>
          <w:noProof w:val="0"/>
          <w:sz w:val="22"/>
          <w:szCs w:val="22"/>
          <w:lang w:val="en-US"/>
        </w:rPr>
        <w:t>operates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under a nationally </w:t>
      </w:r>
      <w:r w:rsidRPr="3991DA9F" w:rsidR="516D09A0">
        <w:rPr>
          <w:rFonts w:ascii="Arial" w:hAnsi="Arial" w:eastAsia="Arial" w:cs="Arial" w:asciiTheme="minorAscii" w:hAnsiTheme="minorAscii" w:eastAsiaTheme="minorAscii" w:cstheme="minorAscii"/>
          <w:b w:val="0"/>
          <w:bCs w:val="0"/>
          <w:noProof w:val="0"/>
          <w:sz w:val="22"/>
          <w:szCs w:val="22"/>
          <w:lang w:val="en-US"/>
        </w:rPr>
        <w:t>recognised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brand, its functionality and implementation vary significantly across GP practices and regions due to differences in digital maturity, system </w:t>
      </w:r>
      <w:bookmarkStart w:name="_Int_7YzcqGcR" w:id="1473771489"/>
      <w:r w:rsidRPr="3991DA9F" w:rsidR="516D09A0">
        <w:rPr>
          <w:rFonts w:ascii="Arial" w:hAnsi="Arial" w:eastAsia="Arial" w:cs="Arial" w:asciiTheme="minorAscii" w:hAnsiTheme="minorAscii" w:eastAsiaTheme="minorAscii" w:cstheme="minorAscii"/>
          <w:b w:val="0"/>
          <w:bCs w:val="0"/>
          <w:noProof w:val="0"/>
          <w:sz w:val="22"/>
          <w:szCs w:val="22"/>
          <w:lang w:val="en-US"/>
        </w:rPr>
        <w:t>configuration</w:t>
      </w:r>
      <w:bookmarkEnd w:id="1473771489"/>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interoperability with existing clinical software (NHS Digital, 2023). This variation undermines </w:t>
      </w:r>
      <w:r w:rsidRPr="3991DA9F" w:rsidR="516D09A0">
        <w:rPr>
          <w:rFonts w:ascii="Arial" w:hAnsi="Arial" w:eastAsia="Arial" w:cs="Arial" w:asciiTheme="minorAscii" w:hAnsiTheme="minorAscii" w:eastAsiaTheme="minorAscii" w:cstheme="minorAscii"/>
          <w:b w:val="0"/>
          <w:bCs w:val="0"/>
          <w:noProof w:val="0"/>
          <w:sz w:val="22"/>
          <w:szCs w:val="22"/>
          <w:lang w:val="en-US"/>
        </w:rPr>
        <w:t>standardisation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contributes to inconsistent service experiences for patients.</w:t>
      </w:r>
    </w:p>
    <w:p xmlns:wp14="http://schemas.microsoft.com/office/word/2010/wordml" w:rsidP="3991DA9F" wp14:paraId="42E17239" wp14:textId="4F95916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From an operational perspective, fragmented integration increases complexity for staff, who must manage digital requests alongside traditional telephone and face-to-face interactions. The National Audit Office </w:t>
      </w:r>
      <w:r w:rsidRPr="3991DA9F" w:rsidR="516D09A0">
        <w:rPr>
          <w:rFonts w:ascii="Arial" w:hAnsi="Arial" w:eastAsia="Arial" w:cs="Arial" w:asciiTheme="minorAscii" w:hAnsiTheme="minorAscii" w:eastAsiaTheme="minorAscii" w:cstheme="minorAscii"/>
          <w:b w:val="0"/>
          <w:bCs w:val="0"/>
          <w:noProof w:val="0"/>
          <w:sz w:val="22"/>
          <w:szCs w:val="22"/>
          <w:lang w:val="en-US"/>
        </w:rPr>
        <w:t>identifies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legacy IT systems, limited </w:t>
      </w:r>
      <w:bookmarkStart w:name="_Int_Jjdw7bOk" w:id="115555638"/>
      <w:r w:rsidRPr="3991DA9F" w:rsidR="516D09A0">
        <w:rPr>
          <w:rFonts w:ascii="Arial" w:hAnsi="Arial" w:eastAsia="Arial" w:cs="Arial" w:asciiTheme="minorAscii" w:hAnsiTheme="minorAscii" w:eastAsiaTheme="minorAscii" w:cstheme="minorAscii"/>
          <w:b w:val="0"/>
          <w:bCs w:val="0"/>
          <w:noProof w:val="0"/>
          <w:sz w:val="22"/>
          <w:szCs w:val="22"/>
          <w:lang w:val="en-US"/>
        </w:rPr>
        <w:t>interoperability</w:t>
      </w:r>
      <w:bookmarkEnd w:id="115555638"/>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uneven investment as persistent barriers to delivering seamless digital services at scale (National Audit Office, 2020). Rather than replacing existing access routes, digital tools </w:t>
      </w:r>
      <w:r w:rsidRPr="3991DA9F" w:rsidR="516D09A0">
        <w:rPr>
          <w:rFonts w:ascii="Arial" w:hAnsi="Arial" w:eastAsia="Arial" w:cs="Arial" w:asciiTheme="minorAscii" w:hAnsiTheme="minorAscii" w:eastAsiaTheme="minorAscii" w:cstheme="minorAscii"/>
          <w:b w:val="0"/>
          <w:bCs w:val="0"/>
          <w:noProof w:val="0"/>
          <w:sz w:val="22"/>
          <w:szCs w:val="22"/>
          <w:lang w:val="en-US"/>
        </w:rPr>
        <w:t>frequently</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t>
      </w:r>
      <w:r w:rsidRPr="3991DA9F" w:rsidR="516D09A0">
        <w:rPr>
          <w:rFonts w:ascii="Arial" w:hAnsi="Arial" w:eastAsia="Arial" w:cs="Arial" w:asciiTheme="minorAscii" w:hAnsiTheme="minorAscii" w:eastAsiaTheme="minorAscii" w:cstheme="minorAscii"/>
          <w:b w:val="0"/>
          <w:bCs w:val="0"/>
          <w:noProof w:val="0"/>
          <w:sz w:val="22"/>
          <w:szCs w:val="22"/>
          <w:lang w:val="en-US"/>
        </w:rPr>
        <w:t>operate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in parallel with them, increasing coordination demands and administrative burden.</w:t>
      </w:r>
    </w:p>
    <w:p xmlns:wp14="http://schemas.microsoft.com/office/word/2010/wordml" w:rsidP="3991DA9F" wp14:paraId="638253A9" wp14:textId="54134D9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Concerns also arise in relation to safety and triage processes. Where digital requests </w:t>
      </w:r>
      <w:r w:rsidRPr="3991DA9F" w:rsidR="516D09A0">
        <w:rPr>
          <w:rFonts w:ascii="Arial" w:hAnsi="Arial" w:eastAsia="Arial" w:cs="Arial" w:asciiTheme="minorAscii" w:hAnsiTheme="minorAscii" w:eastAsiaTheme="minorAscii" w:cstheme="minorAscii"/>
          <w:b w:val="0"/>
          <w:bCs w:val="0"/>
          <w:noProof w:val="0"/>
          <w:sz w:val="22"/>
          <w:szCs w:val="22"/>
          <w:lang w:val="en-US"/>
        </w:rPr>
        <w:t>submitted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via the NHS App are not supported by robust clinical triage and response protocols, delays in care may occur, potentially compromising patient safety. This risk is particularly pronounced in primary care settings experiencing high demand and constrained appointment capacity. In such contexts, the NHS App may create the </w:t>
      </w:r>
      <w:r w:rsidRPr="3991DA9F" w:rsidR="516D09A0">
        <w:rPr>
          <w:rFonts w:ascii="Arial" w:hAnsi="Arial" w:eastAsia="Arial" w:cs="Arial" w:asciiTheme="minorAscii" w:hAnsiTheme="minorAscii" w:eastAsiaTheme="minorAscii" w:cstheme="minorAscii"/>
          <w:b w:val="0"/>
          <w:bCs w:val="0"/>
          <w:noProof w:val="0"/>
          <w:sz w:val="22"/>
          <w:szCs w:val="22"/>
          <w:lang w:val="en-US"/>
        </w:rPr>
        <w:t>perception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of improved access without addressing underlying workforce and capacity pressures, highlighting a gap between national policy ambition and local operational reality (NHSX, 2021).</w:t>
      </w:r>
    </w:p>
    <w:p xmlns:wp14="http://schemas.microsoft.com/office/word/2010/wordml" w:rsidP="3991DA9F" wp14:paraId="4415165E" wp14:textId="737B6804">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implementation of the NHS App also raises important considerations in relation to data protection and information governance. As a digital platform providing access to sensitive personal health information, the NHS App must </w:t>
      </w:r>
      <w:r w:rsidRPr="3991DA9F" w:rsidR="516D09A0">
        <w:rPr>
          <w:rFonts w:ascii="Arial" w:hAnsi="Arial" w:eastAsia="Arial" w:cs="Arial" w:asciiTheme="minorAscii" w:hAnsiTheme="minorAscii" w:eastAsiaTheme="minorAscii" w:cstheme="minorAscii"/>
          <w:b w:val="0"/>
          <w:bCs w:val="0"/>
          <w:noProof w:val="0"/>
          <w:sz w:val="22"/>
          <w:szCs w:val="22"/>
          <w:lang w:val="en-US"/>
        </w:rPr>
        <w:t>operate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in compliance with the UK General Data Protection Regulation (UK GDPR) and the Data Protection Act 2018. The seven GDPR </w:t>
      </w:r>
      <w:r w:rsidRPr="3991DA9F" w:rsidR="3398AD3C">
        <w:rPr>
          <w:rFonts w:ascii="Arial" w:hAnsi="Arial" w:eastAsia="Arial" w:cs="Arial" w:asciiTheme="minorAscii" w:hAnsiTheme="minorAscii" w:eastAsiaTheme="minorAscii" w:cstheme="minorAscii"/>
          <w:b w:val="0"/>
          <w:bCs w:val="0"/>
          <w:noProof w:val="0"/>
          <w:sz w:val="22"/>
          <w:szCs w:val="22"/>
          <w:lang w:val="en-US"/>
        </w:rPr>
        <w:t>principles of</w:t>
      </w:r>
      <w:r w:rsidRPr="3991DA9F" w:rsidR="5DD5A15E">
        <w:rPr>
          <w:rFonts w:ascii="Arial" w:hAnsi="Arial" w:eastAsia="Arial" w:cs="Arial" w:asciiTheme="minorAscii" w:hAnsiTheme="minorAscii" w:eastAsiaTheme="minorAscii" w:cstheme="minorAscii"/>
          <w:b w:val="0"/>
          <w:bCs w:val="0"/>
          <w:noProof w:val="0"/>
          <w:sz w:val="22"/>
          <w:szCs w:val="22"/>
          <w:lang w:val="en-US"/>
        </w:rPr>
        <w:t xml:space="preserve"> lawfulness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w:t>
      </w:r>
      <w:bookmarkStart w:name="_Int_SQd1ycPv" w:id="1263934180"/>
      <w:r w:rsidRPr="3991DA9F" w:rsidR="516D09A0">
        <w:rPr>
          <w:rFonts w:ascii="Arial" w:hAnsi="Arial" w:eastAsia="Arial" w:cs="Arial" w:asciiTheme="minorAscii" w:hAnsiTheme="minorAscii" w:eastAsiaTheme="minorAscii" w:cstheme="minorAscii"/>
          <w:b w:val="0"/>
          <w:bCs w:val="0"/>
          <w:noProof w:val="0"/>
          <w:sz w:val="22"/>
          <w:szCs w:val="22"/>
          <w:lang w:val="en-US"/>
        </w:rPr>
        <w:t>fairness</w:t>
      </w:r>
      <w:bookmarkEnd w:id="1263934180"/>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transparency; purpose limitation; data </w:t>
      </w:r>
      <w:r w:rsidRPr="3991DA9F" w:rsidR="516D09A0">
        <w:rPr>
          <w:rFonts w:ascii="Arial" w:hAnsi="Arial" w:eastAsia="Arial" w:cs="Arial" w:asciiTheme="minorAscii" w:hAnsiTheme="minorAscii" w:eastAsiaTheme="minorAscii" w:cstheme="minorAscii"/>
          <w:b w:val="0"/>
          <w:bCs w:val="0"/>
          <w:noProof w:val="0"/>
          <w:sz w:val="22"/>
          <w:szCs w:val="22"/>
          <w:lang w:val="en-US"/>
        </w:rPr>
        <w:t>minimisation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accuracy; storage limitation; integrity and confidentiality; and </w:t>
      </w:r>
      <w:r w:rsidRPr="3991DA9F" w:rsidR="612EE271">
        <w:rPr>
          <w:rFonts w:ascii="Arial" w:hAnsi="Arial" w:eastAsia="Arial" w:cs="Arial" w:asciiTheme="minorAscii" w:hAnsiTheme="minorAscii" w:eastAsiaTheme="minorAscii" w:cstheme="minorAscii"/>
          <w:b w:val="0"/>
          <w:bCs w:val="0"/>
          <w:noProof w:val="0"/>
          <w:sz w:val="22"/>
          <w:szCs w:val="22"/>
          <w:lang w:val="en-US"/>
        </w:rPr>
        <w:t xml:space="preserve">accountability </w:t>
      </w:r>
      <w:r w:rsidRPr="3991DA9F" w:rsidR="2AB5DD57">
        <w:rPr>
          <w:rFonts w:ascii="Arial" w:hAnsi="Arial" w:eastAsia="Arial" w:cs="Arial" w:asciiTheme="minorAscii" w:hAnsiTheme="minorAscii" w:eastAsiaTheme="minorAscii" w:cstheme="minorAscii"/>
          <w:b w:val="0"/>
          <w:bCs w:val="0"/>
          <w:noProof w:val="0"/>
          <w:sz w:val="22"/>
          <w:szCs w:val="22"/>
          <w:lang w:val="en-US"/>
        </w:rPr>
        <w:t>is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particularly relevant in this context. While increased transparency through digital record access may enhance patient empowerment, it also places greater responsibility on services to ensure that data is accessed, </w:t>
      </w:r>
      <w:bookmarkStart w:name="_Int_6HZmA7JG" w:id="566668696"/>
      <w:r w:rsidRPr="3991DA9F" w:rsidR="516D09A0">
        <w:rPr>
          <w:rFonts w:ascii="Arial" w:hAnsi="Arial" w:eastAsia="Arial" w:cs="Arial" w:asciiTheme="minorAscii" w:hAnsiTheme="minorAscii" w:eastAsiaTheme="minorAscii" w:cstheme="minorAscii"/>
          <w:b w:val="0"/>
          <w:bCs w:val="0"/>
          <w:noProof w:val="0"/>
          <w:sz w:val="22"/>
          <w:szCs w:val="22"/>
          <w:lang w:val="en-US"/>
        </w:rPr>
        <w:t>processed</w:t>
      </w:r>
      <w:bookmarkEnd w:id="566668696"/>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stored securely. Any weaknesses in system security, user authentication or staff oversight could compromise confidentiality and undermine public trust. From a service delivery perspective, this reinforces the need for robust governance frameworks, staff </w:t>
      </w:r>
      <w:bookmarkStart w:name="_Int_bn6Eo5Qd" w:id="746553635"/>
      <w:r w:rsidRPr="3991DA9F" w:rsidR="516D09A0">
        <w:rPr>
          <w:rFonts w:ascii="Arial" w:hAnsi="Arial" w:eastAsia="Arial" w:cs="Arial" w:asciiTheme="minorAscii" w:hAnsiTheme="minorAscii" w:eastAsiaTheme="minorAscii" w:cstheme="minorAscii"/>
          <w:b w:val="0"/>
          <w:bCs w:val="0"/>
          <w:noProof w:val="0"/>
          <w:sz w:val="22"/>
          <w:szCs w:val="22"/>
          <w:lang w:val="en-US"/>
        </w:rPr>
        <w:t>training</w:t>
      </w:r>
      <w:bookmarkEnd w:id="746553635"/>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clear accountability structures to ensure that efficiency gains do not come at the expense of patient safety or legal compliance.</w:t>
      </w:r>
    </w:p>
    <w:p xmlns:wp14="http://schemas.microsoft.com/office/word/2010/wordml" w:rsidP="3991DA9F" wp14:paraId="2B028D0D" wp14:textId="69E7BF18">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From an implementation perspective, the effectiveness of the NHS App is shaped by how local </w:t>
      </w:r>
      <w:r w:rsidRPr="3991DA9F" w:rsidR="516D09A0">
        <w:rPr>
          <w:rFonts w:ascii="Arial" w:hAnsi="Arial" w:eastAsia="Arial" w:cs="Arial" w:asciiTheme="minorAscii" w:hAnsiTheme="minorAscii" w:eastAsiaTheme="minorAscii" w:cstheme="minorAscii"/>
          <w:b w:val="0"/>
          <w:bCs w:val="0"/>
          <w:noProof w:val="0"/>
          <w:sz w:val="22"/>
          <w:szCs w:val="22"/>
          <w:lang w:val="en-US"/>
        </w:rPr>
        <w:t>organisations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configure digital access alongside existing pathways. GP practices </w:t>
      </w:r>
      <w:r w:rsidRPr="3991DA9F" w:rsidR="516D09A0">
        <w:rPr>
          <w:rFonts w:ascii="Arial" w:hAnsi="Arial" w:eastAsia="Arial" w:cs="Arial" w:asciiTheme="minorAscii" w:hAnsiTheme="minorAscii" w:eastAsiaTheme="minorAscii" w:cstheme="minorAscii"/>
          <w:b w:val="0"/>
          <w:bCs w:val="0"/>
          <w:noProof w:val="0"/>
          <w:sz w:val="22"/>
          <w:szCs w:val="22"/>
          <w:lang w:val="en-US"/>
        </w:rPr>
        <w:t>retain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discretion over appointment release, triage </w:t>
      </w:r>
      <w:bookmarkStart w:name="_Int_8uwBLT37" w:id="1590670959"/>
      <w:r w:rsidRPr="3991DA9F" w:rsidR="26D077A5">
        <w:rPr>
          <w:rFonts w:ascii="Arial" w:hAnsi="Arial" w:eastAsia="Arial" w:cs="Arial" w:asciiTheme="minorAscii" w:hAnsiTheme="minorAscii" w:eastAsiaTheme="minorAscii" w:cstheme="minorAscii"/>
          <w:b w:val="0"/>
          <w:bCs w:val="0"/>
          <w:noProof w:val="0"/>
          <w:sz w:val="22"/>
          <w:szCs w:val="22"/>
          <w:lang w:val="en-US"/>
        </w:rPr>
        <w:t>models</w:t>
      </w:r>
      <w:bookmarkEnd w:id="1590670959"/>
      <w:r w:rsidRPr="3991DA9F" w:rsidR="26D077A5">
        <w:rPr>
          <w:rFonts w:ascii="Arial" w:hAnsi="Arial" w:eastAsia="Arial" w:cs="Arial" w:asciiTheme="minorAscii" w:hAnsiTheme="minorAscii" w:eastAsiaTheme="minorAscii" w:cstheme="minorAscii"/>
          <w:b w:val="0"/>
          <w:bCs w:val="0"/>
          <w:noProof w:val="0"/>
          <w:sz w:val="22"/>
          <w:szCs w:val="22"/>
          <w:lang w:val="en-US"/>
        </w:rPr>
        <w:t xml:space="preserve"> and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response times, resulting in variation in patient experience despite the app’s national branding. Research on digital-first access models </w:t>
      </w:r>
      <w:r w:rsidRPr="3991DA9F" w:rsidR="516D09A0">
        <w:rPr>
          <w:rFonts w:ascii="Arial" w:hAnsi="Arial" w:eastAsia="Arial" w:cs="Arial" w:asciiTheme="minorAscii" w:hAnsiTheme="minorAscii" w:eastAsiaTheme="minorAscii" w:cstheme="minorAscii"/>
          <w:b w:val="0"/>
          <w:bCs w:val="0"/>
          <w:noProof w:val="0"/>
          <w:sz w:val="22"/>
          <w:szCs w:val="22"/>
          <w:lang w:val="en-US"/>
        </w:rPr>
        <w:t>indicates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that practices with clear triage protocols and protected administrative capacity are more likely to </w:t>
      </w:r>
      <w:r w:rsidRPr="3991DA9F" w:rsidR="516D09A0">
        <w:rPr>
          <w:rFonts w:ascii="Arial" w:hAnsi="Arial" w:eastAsia="Arial" w:cs="Arial" w:asciiTheme="minorAscii" w:hAnsiTheme="minorAscii" w:eastAsiaTheme="minorAscii" w:cstheme="minorAscii"/>
          <w:b w:val="0"/>
          <w:bCs w:val="0"/>
          <w:noProof w:val="0"/>
          <w:sz w:val="22"/>
          <w:szCs w:val="22"/>
          <w:lang w:val="en-US"/>
        </w:rPr>
        <w:t>realise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efficiency benefits, </w:t>
      </w:r>
      <w:r w:rsidRPr="3991DA9F" w:rsidR="516D09A0">
        <w:rPr>
          <w:rFonts w:ascii="Arial" w:hAnsi="Arial" w:eastAsia="Arial" w:cs="Arial" w:asciiTheme="minorAscii" w:hAnsiTheme="minorAscii" w:eastAsiaTheme="minorAscii" w:cstheme="minorAscii"/>
          <w:b w:val="0"/>
          <w:bCs w:val="0"/>
          <w:noProof w:val="0"/>
          <w:sz w:val="22"/>
          <w:szCs w:val="22"/>
          <w:lang w:val="en-US"/>
        </w:rPr>
        <w:t>whereas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those </w:t>
      </w:r>
      <w:r w:rsidRPr="3991DA9F" w:rsidR="516D09A0">
        <w:rPr>
          <w:rFonts w:ascii="Arial" w:hAnsi="Arial" w:eastAsia="Arial" w:cs="Arial" w:asciiTheme="minorAscii" w:hAnsiTheme="minorAscii" w:eastAsiaTheme="minorAscii" w:cstheme="minorAscii"/>
          <w:b w:val="0"/>
          <w:bCs w:val="0"/>
          <w:noProof w:val="0"/>
          <w:sz w:val="22"/>
          <w:szCs w:val="22"/>
          <w:lang w:val="en-US"/>
        </w:rPr>
        <w:t>operating</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under severe workforce pressure may experience increased demand and longer response times (Salisbury, 2020; The King’s Fund, 2022). Without parallel service redesign and clear accountability for managing digital workflows, the NHS App risks reproducing existing inefficiencies in a digital format rather than transforming service delivery.</w:t>
      </w:r>
    </w:p>
    <w:p xmlns:wp14="http://schemas.microsoft.com/office/word/2010/wordml" w:rsidP="3991DA9F" wp14:paraId="0251E3DD" wp14:textId="73C364D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Evidence further suggests that efficiency gains from digital access are not automatic. Salisbury (2020) found that lowering barriers to contact can increase overall service use rather than substituting face-to-face care, a phenomenon often described as supply-induced demand. System-level analyses similarly warn that digital convenience may intensify workload if digital and traditional access routes are not actively </w:t>
      </w:r>
      <w:r w:rsidRPr="3991DA9F" w:rsidR="516D09A0">
        <w:rPr>
          <w:rFonts w:ascii="Arial" w:hAnsi="Arial" w:eastAsia="Arial" w:cs="Arial" w:asciiTheme="minorAscii" w:hAnsiTheme="minorAscii" w:eastAsiaTheme="minorAscii" w:cstheme="minorAscii"/>
          <w:b w:val="0"/>
          <w:bCs w:val="0"/>
          <w:noProof w:val="0"/>
          <w:sz w:val="22"/>
          <w:szCs w:val="22"/>
          <w:lang w:val="en-US"/>
        </w:rPr>
        <w:t>rationalised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(The King’s Fund, 2022). Consequently, while the NHS App has the potential to </w:t>
      </w:r>
      <w:r w:rsidRPr="3991DA9F" w:rsidR="516D09A0">
        <w:rPr>
          <w:rFonts w:ascii="Arial" w:hAnsi="Arial" w:eastAsia="Arial" w:cs="Arial" w:asciiTheme="minorAscii" w:hAnsiTheme="minorAscii" w:eastAsiaTheme="minorAscii" w:cstheme="minorAscii"/>
          <w:b w:val="0"/>
          <w:bCs w:val="0"/>
          <w:noProof w:val="0"/>
          <w:sz w:val="22"/>
          <w:szCs w:val="22"/>
          <w:lang w:val="en-US"/>
        </w:rPr>
        <w:t>modernise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service delivery, its impact is highly dependent on effective integration, workforce </w:t>
      </w:r>
      <w:bookmarkStart w:name="_Int_4cH3Z6qk" w:id="576591206"/>
      <w:r w:rsidRPr="3991DA9F" w:rsidR="516D09A0">
        <w:rPr>
          <w:rFonts w:ascii="Arial" w:hAnsi="Arial" w:eastAsia="Arial" w:cs="Arial" w:asciiTheme="minorAscii" w:hAnsiTheme="minorAscii" w:eastAsiaTheme="minorAscii" w:cstheme="minorAscii"/>
          <w:b w:val="0"/>
          <w:bCs w:val="0"/>
          <w:noProof w:val="0"/>
          <w:sz w:val="22"/>
          <w:szCs w:val="22"/>
          <w:lang w:val="en-US"/>
        </w:rPr>
        <w:t>capacity</w:t>
      </w:r>
      <w:bookmarkEnd w:id="576591206"/>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demand management strategies.</w:t>
      </w:r>
    </w:p>
    <w:p xmlns:wp14="http://schemas.microsoft.com/office/word/2010/wordml" w:rsidP="3991DA9F" wp14:paraId="403625D3" wp14:textId="2F0F0345">
      <w:pPr>
        <w:spacing w:line="360" w:lineRule="auto"/>
        <w:rPr>
          <w:rFonts w:ascii="Arial" w:hAnsi="Arial" w:eastAsia="Arial" w:cs="Arial" w:asciiTheme="minorAscii" w:hAnsiTheme="minorAscii" w:eastAsiaTheme="minorAscii" w:cstheme="minorAscii"/>
          <w:b w:val="0"/>
          <w:bCs w:val="0"/>
          <w:sz w:val="22"/>
          <w:szCs w:val="22"/>
        </w:rPr>
      </w:pPr>
    </w:p>
    <w:p xmlns:wp14="http://schemas.microsoft.com/office/word/2010/wordml" w:rsidP="3991DA9F" wp14:paraId="378F2AE3" wp14:textId="30146F61">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color w:val="000000" w:themeColor="text1" w:themeTint="FF" w:themeShade="FF"/>
          <w:sz w:val="22"/>
          <w:szCs w:val="22"/>
        </w:rPr>
      </w:pPr>
      <w:r w:rsidRPr="3991DA9F" w:rsidR="516D09A0">
        <w:rPr>
          <w:rFonts w:ascii="Arial" w:hAnsi="Arial" w:eastAsia="Arial" w:cs="Arial" w:asciiTheme="minorAscii" w:hAnsiTheme="minorAscii" w:eastAsiaTheme="minorAscii" w:cstheme="minorAscii"/>
          <w:b w:val="1"/>
          <w:bCs w:val="1"/>
          <w:color w:val="000000" w:themeColor="text1" w:themeTint="FF" w:themeShade="FF"/>
          <w:sz w:val="22"/>
          <w:szCs w:val="22"/>
        </w:rPr>
        <w:t>Impact on Community Outcomes</w:t>
      </w:r>
    </w:p>
    <w:p xmlns:wp14="http://schemas.microsoft.com/office/word/2010/wordml" w:rsidP="3991DA9F" wp14:paraId="48DE2B96" wp14:textId="46EE1BC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At a community level, the NHS App has the potential to reshape interactions between individuals and healthcare services. Digital access may enhance flexibility and convenience, particularly for individuals with caring responsibilities, employment </w:t>
      </w:r>
      <w:bookmarkStart w:name="_Int_tZKP6Vgv" w:id="541554443"/>
      <w:r w:rsidRPr="3991DA9F" w:rsidR="516D09A0">
        <w:rPr>
          <w:rFonts w:ascii="Arial" w:hAnsi="Arial" w:eastAsia="Arial" w:cs="Arial" w:asciiTheme="minorAscii" w:hAnsiTheme="minorAscii" w:eastAsiaTheme="minorAscii" w:cstheme="minorAscii"/>
          <w:b w:val="0"/>
          <w:bCs w:val="0"/>
          <w:noProof w:val="0"/>
          <w:sz w:val="22"/>
          <w:szCs w:val="22"/>
          <w:lang w:val="en-US"/>
        </w:rPr>
        <w:t>commitments</w:t>
      </w:r>
      <w:bookmarkEnd w:id="541554443"/>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or mobility limitations (NHS, 2021). </w:t>
      </w:r>
      <w:r w:rsidRPr="3991DA9F" w:rsidR="406D351C">
        <w:rPr>
          <w:rFonts w:ascii="Arial" w:hAnsi="Arial" w:eastAsia="Arial" w:cs="Arial" w:asciiTheme="minorAscii" w:hAnsiTheme="minorAscii" w:eastAsiaTheme="minorAscii" w:cstheme="minorAscii"/>
          <w:b w:val="0"/>
          <w:bCs w:val="0"/>
          <w:noProof w:val="0"/>
          <w:sz w:val="22"/>
          <w:szCs w:val="22"/>
          <w:lang w:val="en-US"/>
        </w:rPr>
        <w:t>In this respect, the app may reduce practical engagement barriers for some population groups.</w:t>
      </w:r>
    </w:p>
    <w:p xmlns:wp14="http://schemas.microsoft.com/office/word/2010/wordml" w:rsidP="3991DA9F" wp14:paraId="4C35AB0F" wp14:textId="7464E0C4">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However, access to digital health tools is unevenly distributed. NHS England acknowledges that digital innovation can inadvertently </w:t>
      </w:r>
      <w:r w:rsidRPr="3991DA9F" w:rsidR="516D09A0">
        <w:rPr>
          <w:rFonts w:ascii="Arial" w:hAnsi="Arial" w:eastAsia="Arial" w:cs="Arial" w:asciiTheme="minorAscii" w:hAnsiTheme="minorAscii" w:eastAsiaTheme="minorAscii" w:cstheme="minorAscii"/>
          <w:b w:val="0"/>
          <w:bCs w:val="0"/>
          <w:noProof w:val="0"/>
          <w:sz w:val="22"/>
          <w:szCs w:val="22"/>
          <w:lang w:val="en-US"/>
        </w:rPr>
        <w:t>exacerbate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health inequalities if inclusive design and targeted support are not embedded from the outset (NHS England, 2023). Digital exclusion disproportionately affects older adults, individuals living in socio-economically deprived areas, people with </w:t>
      </w:r>
      <w:bookmarkStart w:name="_Int_lmwwxgLT" w:id="672865201"/>
      <w:r w:rsidRPr="3991DA9F" w:rsidR="516D09A0">
        <w:rPr>
          <w:rFonts w:ascii="Arial" w:hAnsi="Arial" w:eastAsia="Arial" w:cs="Arial" w:asciiTheme="minorAscii" w:hAnsiTheme="minorAscii" w:eastAsiaTheme="minorAscii" w:cstheme="minorAscii"/>
          <w:b w:val="0"/>
          <w:bCs w:val="0"/>
          <w:noProof w:val="0"/>
          <w:sz w:val="22"/>
          <w:szCs w:val="22"/>
          <w:lang w:val="en-US"/>
        </w:rPr>
        <w:t>disabilities</w:t>
      </w:r>
      <w:bookmarkEnd w:id="672865201"/>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those with limited digital literacy. Evidence from the Digital Health Inequalities Hub </w:t>
      </w:r>
      <w:r w:rsidRPr="3991DA9F" w:rsidR="516D09A0">
        <w:rPr>
          <w:rFonts w:ascii="Arial" w:hAnsi="Arial" w:eastAsia="Arial" w:cs="Arial" w:asciiTheme="minorAscii" w:hAnsiTheme="minorAscii" w:eastAsiaTheme="minorAscii" w:cstheme="minorAscii"/>
          <w:b w:val="0"/>
          <w:bCs w:val="0"/>
          <w:noProof w:val="0"/>
          <w:sz w:val="22"/>
          <w:szCs w:val="22"/>
          <w:lang w:val="en-US"/>
        </w:rPr>
        <w:t>indicates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that these groups are significantly less likely to </w:t>
      </w:r>
      <w:r w:rsidRPr="3991DA9F" w:rsidR="516D09A0">
        <w:rPr>
          <w:rFonts w:ascii="Arial" w:hAnsi="Arial" w:eastAsia="Arial" w:cs="Arial" w:asciiTheme="minorAscii" w:hAnsiTheme="minorAscii" w:eastAsiaTheme="minorAscii" w:cstheme="minorAscii"/>
          <w:b w:val="0"/>
          <w:bCs w:val="0"/>
          <w:noProof w:val="0"/>
          <w:sz w:val="22"/>
          <w:szCs w:val="22"/>
          <w:lang w:val="en-US"/>
        </w:rPr>
        <w:t>benefit</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from digital health applications, reinforcing existing disparities in access and outcomes (Digital Health Inequalities Hub, 2023).</w:t>
      </w:r>
    </w:p>
    <w:p xmlns:wp14="http://schemas.microsoft.com/office/word/2010/wordml" w:rsidP="3991DA9F" wp14:paraId="725DE268" wp14:textId="3F7596CF">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In rural and deprived communities, digital access has the potential to reduce travel demands and </w:t>
      </w:r>
      <w:r w:rsidRPr="3991DA9F" w:rsidR="516D09A0">
        <w:rPr>
          <w:rFonts w:ascii="Arial" w:hAnsi="Arial" w:eastAsia="Arial" w:cs="Arial" w:asciiTheme="minorAscii" w:hAnsiTheme="minorAscii" w:eastAsiaTheme="minorAscii" w:cstheme="minorAscii"/>
          <w:b w:val="0"/>
          <w:bCs w:val="0"/>
          <w:noProof w:val="0"/>
          <w:sz w:val="22"/>
          <w:szCs w:val="22"/>
          <w:lang w:val="en-US"/>
        </w:rPr>
        <w:t>maintain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service continuity where healthcare provision is geographically dispersed. However, poorer broadband connectivity and limited access to suitable devices continue to constrain effective engagement. Both the National Audit Office and The King’s Fund </w:t>
      </w:r>
      <w:r w:rsidRPr="3991DA9F" w:rsidR="516D09A0">
        <w:rPr>
          <w:rFonts w:ascii="Arial" w:hAnsi="Arial" w:eastAsia="Arial" w:cs="Arial" w:asciiTheme="minorAscii" w:hAnsiTheme="minorAscii" w:eastAsiaTheme="minorAscii" w:cstheme="minorAscii"/>
          <w:b w:val="0"/>
          <w:bCs w:val="0"/>
          <w:noProof w:val="0"/>
          <w:sz w:val="22"/>
          <w:szCs w:val="22"/>
          <w:lang w:val="en-US"/>
        </w:rPr>
        <w:t>identify</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uneven digital infrastructure as a significant barrier to </w:t>
      </w:r>
      <w:r w:rsidRPr="3991DA9F" w:rsidR="516D09A0">
        <w:rPr>
          <w:rFonts w:ascii="Arial" w:hAnsi="Arial" w:eastAsia="Arial" w:cs="Arial" w:asciiTheme="minorAscii" w:hAnsiTheme="minorAscii" w:eastAsiaTheme="minorAscii" w:cstheme="minorAscii"/>
          <w:b w:val="0"/>
          <w:bCs w:val="0"/>
          <w:noProof w:val="0"/>
          <w:sz w:val="22"/>
          <w:szCs w:val="22"/>
          <w:lang w:val="en-US"/>
        </w:rPr>
        <w:t>equitable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digital transformation (National Audit Office, 2020; The King’s Fund, 2022). Where these structural limitations persist, communities may experience widening gaps between service availability and actual accessibility.</w:t>
      </w:r>
    </w:p>
    <w:p xmlns:wp14="http://schemas.microsoft.com/office/word/2010/wordml" w:rsidP="3991DA9F" wp14:paraId="7C056B0E" wp14:textId="2B2AE6C3">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Families and unpaid carers play a critical role in supporting individuals’ engagement with healthcare services. The NHS App has the potential to support carers through features such as prescription management and communication with providers. However, limitations in proxy access and digital permissions can prevent carers from supporting vulnerable individuals effectively, widening inequalities between households with differing levels of digital capability (The King’s Fund, 2022).</w:t>
      </w:r>
    </w:p>
    <w:p xmlns:wp14="http://schemas.microsoft.com/office/word/2010/wordml" w:rsidP="3991DA9F" wp14:paraId="6561034E" wp14:textId="08581648">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Co-production is </w:t>
      </w:r>
      <w:r w:rsidRPr="3991DA9F" w:rsidR="516D09A0">
        <w:rPr>
          <w:rFonts w:ascii="Arial" w:hAnsi="Arial" w:eastAsia="Arial" w:cs="Arial" w:asciiTheme="minorAscii" w:hAnsiTheme="minorAscii" w:eastAsiaTheme="minorAscii" w:cstheme="minorAscii"/>
          <w:b w:val="0"/>
          <w:bCs w:val="0"/>
          <w:noProof w:val="0"/>
          <w:sz w:val="22"/>
          <w:szCs w:val="22"/>
          <w:lang w:val="en-US"/>
        </w:rPr>
        <w:t>frequently</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cited as a benefit of digital innovation, yet evidence suggests that meaningful co-production through national digital platforms </w:t>
      </w:r>
      <w:r w:rsidRPr="3991DA9F" w:rsidR="516D09A0">
        <w:rPr>
          <w:rFonts w:ascii="Arial" w:hAnsi="Arial" w:eastAsia="Arial" w:cs="Arial" w:asciiTheme="minorAscii" w:hAnsiTheme="minorAscii" w:eastAsiaTheme="minorAscii" w:cstheme="minorAscii"/>
          <w:b w:val="0"/>
          <w:bCs w:val="0"/>
          <w:noProof w:val="0"/>
          <w:sz w:val="22"/>
          <w:szCs w:val="22"/>
          <w:lang w:val="en-US"/>
        </w:rPr>
        <w:t>remains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limited. While the NHS App enables information sharing and communication, opportunities for service users and communities to influence design and </w:t>
      </w:r>
      <w:r w:rsidRPr="3991DA9F" w:rsidR="516D09A0">
        <w:rPr>
          <w:rFonts w:ascii="Arial" w:hAnsi="Arial" w:eastAsia="Arial" w:cs="Arial" w:asciiTheme="minorAscii" w:hAnsiTheme="minorAscii" w:eastAsiaTheme="minorAscii" w:cstheme="minorAscii"/>
          <w:b w:val="0"/>
          <w:bCs w:val="0"/>
          <w:noProof w:val="0"/>
          <w:sz w:val="22"/>
          <w:szCs w:val="22"/>
          <w:lang w:val="en-US"/>
        </w:rPr>
        <w:t>prioritisation</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are constrained by its </w:t>
      </w:r>
      <w:r w:rsidRPr="3991DA9F" w:rsidR="516D09A0">
        <w:rPr>
          <w:rFonts w:ascii="Arial" w:hAnsi="Arial" w:eastAsia="Arial" w:cs="Arial" w:asciiTheme="minorAscii" w:hAnsiTheme="minorAscii" w:eastAsiaTheme="minorAscii" w:cstheme="minorAscii"/>
          <w:b w:val="0"/>
          <w:bCs w:val="0"/>
          <w:noProof w:val="0"/>
          <w:sz w:val="22"/>
          <w:szCs w:val="22"/>
          <w:lang w:val="en-US"/>
        </w:rPr>
        <w:t>centralised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governance. Greenhalgh et al. (2017) argue that digital health technologies often reflect institutional priorities unless participatory mechanisms are actively embedded. Limited co-production may undermine trust, particularly among </w:t>
      </w:r>
      <w:r w:rsidRPr="3991DA9F" w:rsidR="516D09A0">
        <w:rPr>
          <w:rFonts w:ascii="Arial" w:hAnsi="Arial" w:eastAsia="Arial" w:cs="Arial" w:asciiTheme="minorAscii" w:hAnsiTheme="minorAscii" w:eastAsiaTheme="minorAscii" w:cstheme="minorAscii"/>
          <w:b w:val="0"/>
          <w:bCs w:val="0"/>
          <w:noProof w:val="0"/>
          <w:sz w:val="22"/>
          <w:szCs w:val="22"/>
          <w:lang w:val="en-US"/>
        </w:rPr>
        <w:t>marginalised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communities where trust is essential for sustained engagement.</w:t>
      </w:r>
    </w:p>
    <w:p xmlns:wp14="http://schemas.microsoft.com/office/word/2010/wordml" w:rsidP="3991DA9F" wp14:paraId="0012E1C2" wp14:textId="580A93C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Community engagement with digital health tools is strongly influenced by trust in both the technology and the institutions that govern it. Where communities perceive digital services as cost-saving measures rather than care-enhancing interventions, engagement may be limited or resistant. The Care Quality Commission (2022) </w:t>
      </w:r>
      <w:r w:rsidRPr="3991DA9F" w:rsidR="516D09A0">
        <w:rPr>
          <w:rFonts w:ascii="Arial" w:hAnsi="Arial" w:eastAsia="Arial" w:cs="Arial" w:asciiTheme="minorAscii" w:hAnsiTheme="minorAscii" w:eastAsiaTheme="minorAscii" w:cstheme="minorAscii"/>
          <w:b w:val="0"/>
          <w:bCs w:val="0"/>
          <w:noProof w:val="0"/>
          <w:sz w:val="22"/>
          <w:szCs w:val="22"/>
          <w:lang w:val="en-US"/>
        </w:rPr>
        <w:t>emphasises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that digital transformation must be accompanied by transparent communication and meaningful community engagement to avoid reinforcing mistrust. Without sustained efforts to build trust and </w:t>
      </w:r>
      <w:r w:rsidRPr="3991DA9F" w:rsidR="516D09A0">
        <w:rPr>
          <w:rFonts w:ascii="Arial" w:hAnsi="Arial" w:eastAsia="Arial" w:cs="Arial" w:asciiTheme="minorAscii" w:hAnsiTheme="minorAscii" w:eastAsiaTheme="minorAscii" w:cstheme="minorAscii"/>
          <w:b w:val="0"/>
          <w:bCs w:val="0"/>
          <w:noProof w:val="0"/>
          <w:sz w:val="22"/>
          <w:szCs w:val="22"/>
          <w:lang w:val="en-US"/>
        </w:rPr>
        <w:t>demonstrate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tangible benefits, the long-term sustainability of digital access tools such as the NHS App may be compromised.</w:t>
      </w:r>
    </w:p>
    <w:p xmlns:wp14="http://schemas.microsoft.com/office/word/2010/wordml" w:rsidP="3991DA9F" wp14:paraId="31EF7B57" wp14:textId="5D6ADFA0">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From a public health perspective, the NHS App offers opportunities to support preventative interventions through reminders and population-level communication. However, the effectiveness of such interventions depends on </w:t>
      </w:r>
      <w:r w:rsidRPr="3991DA9F" w:rsidR="516D09A0">
        <w:rPr>
          <w:rFonts w:ascii="Arial" w:hAnsi="Arial" w:eastAsia="Arial" w:cs="Arial" w:asciiTheme="minorAscii" w:hAnsiTheme="minorAscii" w:eastAsiaTheme="minorAscii" w:cstheme="minorAscii"/>
          <w:b w:val="0"/>
          <w:bCs w:val="0"/>
          <w:noProof w:val="0"/>
          <w:sz w:val="22"/>
          <w:szCs w:val="22"/>
          <w:lang w:val="en-US"/>
        </w:rPr>
        <w:t>equitable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uptake across diverse population groups. Where engagement is uneven, digital innovation risks reinforcing health inequalities rather than reducing them (Marmot et al., 2020).</w:t>
      </w:r>
    </w:p>
    <w:p xmlns:wp14="http://schemas.microsoft.com/office/word/2010/wordml" w:rsidP="3991DA9F" wp14:paraId="5977EC5A" wp14:textId="7A480D0D">
      <w:pPr>
        <w:spacing w:line="360" w:lineRule="auto"/>
        <w:rPr>
          <w:rFonts w:ascii="Arial" w:hAnsi="Arial" w:eastAsia="Arial" w:cs="Arial" w:asciiTheme="minorAscii" w:hAnsiTheme="minorAscii" w:eastAsiaTheme="minorAscii" w:cstheme="minorAscii"/>
          <w:b w:val="0"/>
          <w:bCs w:val="0"/>
          <w:sz w:val="22"/>
          <w:szCs w:val="22"/>
        </w:rPr>
      </w:pPr>
    </w:p>
    <w:p xmlns:wp14="http://schemas.microsoft.com/office/word/2010/wordml" w:rsidP="3991DA9F" wp14:paraId="031A1D33" wp14:textId="5CEEBFE2">
      <w:pPr>
        <w:pStyle w:val="Heading2"/>
        <w:spacing w:before="299" w:beforeAutospacing="off" w:after="299"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3991DA9F" w:rsidR="516D09A0">
        <w:rPr>
          <w:rFonts w:ascii="Arial" w:hAnsi="Arial" w:eastAsia="Arial" w:cs="Arial" w:asciiTheme="minorAscii" w:hAnsiTheme="minorAscii" w:eastAsiaTheme="minorAscii" w:cstheme="minorAscii"/>
          <w:b w:val="1"/>
          <w:bCs w:val="1"/>
          <w:noProof w:val="0"/>
          <w:color w:val="auto"/>
          <w:sz w:val="22"/>
          <w:szCs w:val="22"/>
          <w:lang w:val="en-US"/>
        </w:rPr>
        <w:t>Conclusion and Recommendations</w:t>
      </w:r>
    </w:p>
    <w:p xmlns:wp14="http://schemas.microsoft.com/office/word/2010/wordml" w:rsidP="3991DA9F" wp14:paraId="3E082F80" wp14:textId="73D88AC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The NHS App </w:t>
      </w:r>
      <w:r w:rsidRPr="3991DA9F" w:rsidR="516D09A0">
        <w:rPr>
          <w:rFonts w:ascii="Arial" w:hAnsi="Arial" w:eastAsia="Arial" w:cs="Arial" w:asciiTheme="minorAscii" w:hAnsiTheme="minorAscii" w:eastAsiaTheme="minorAscii" w:cstheme="minorAscii"/>
          <w:b w:val="0"/>
          <w:bCs w:val="0"/>
          <w:noProof w:val="0"/>
          <w:sz w:val="22"/>
          <w:szCs w:val="22"/>
          <w:lang w:val="en-US"/>
        </w:rPr>
        <w:t>represents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 significant digital innovation aligned with national ambitions to </w:t>
      </w:r>
      <w:r w:rsidRPr="3991DA9F" w:rsidR="516D09A0">
        <w:rPr>
          <w:rFonts w:ascii="Arial" w:hAnsi="Arial" w:eastAsia="Arial" w:cs="Arial" w:asciiTheme="minorAscii" w:hAnsiTheme="minorAscii" w:eastAsiaTheme="minorAscii" w:cstheme="minorAscii"/>
          <w:b w:val="0"/>
          <w:bCs w:val="0"/>
          <w:noProof w:val="0"/>
          <w:sz w:val="22"/>
          <w:szCs w:val="22"/>
          <w:lang w:val="en-US"/>
        </w:rPr>
        <w:t>modernise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healthcare delivery. This evaluation </w:t>
      </w:r>
      <w:r w:rsidRPr="3991DA9F" w:rsidR="516D09A0">
        <w:rPr>
          <w:rFonts w:ascii="Arial" w:hAnsi="Arial" w:eastAsia="Arial" w:cs="Arial" w:asciiTheme="minorAscii" w:hAnsiTheme="minorAscii" w:eastAsiaTheme="minorAscii" w:cstheme="minorAscii"/>
          <w:b w:val="0"/>
          <w:bCs w:val="0"/>
          <w:noProof w:val="0"/>
          <w:sz w:val="22"/>
          <w:szCs w:val="22"/>
          <w:lang w:val="en-US"/>
        </w:rPr>
        <w:t>demonstrates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that the app has the potential to enhance service delivery by improving convenience, increasing </w:t>
      </w:r>
      <w:bookmarkStart w:name="_Int_SbxJ6o2n" w:id="1276599018"/>
      <w:r w:rsidRPr="3991DA9F" w:rsidR="516D09A0">
        <w:rPr>
          <w:rFonts w:ascii="Arial" w:hAnsi="Arial" w:eastAsia="Arial" w:cs="Arial" w:asciiTheme="minorAscii" w:hAnsiTheme="minorAscii" w:eastAsiaTheme="minorAscii" w:cstheme="minorAscii"/>
          <w:b w:val="0"/>
          <w:bCs w:val="0"/>
          <w:noProof w:val="0"/>
          <w:sz w:val="22"/>
          <w:szCs w:val="22"/>
          <w:lang w:val="en-US"/>
        </w:rPr>
        <w:t>transparency</w:t>
      </w:r>
      <w:bookmarkEnd w:id="1276599018"/>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supporting administrative efficiency, while also offering opportunities to strengthen community engagement and public health outcomes.</w:t>
      </w:r>
    </w:p>
    <w:p xmlns:wp14="http://schemas.microsoft.com/office/word/2010/wordml" w:rsidP="3991DA9F" wp14:paraId="3FDD5919" wp14:textId="5AD6A2D6">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However, critical analysis reveals that these benefits are inconsistently </w:t>
      </w:r>
      <w:r w:rsidRPr="3991DA9F" w:rsidR="516D09A0">
        <w:rPr>
          <w:rFonts w:ascii="Arial" w:hAnsi="Arial" w:eastAsia="Arial" w:cs="Arial" w:asciiTheme="minorAscii" w:hAnsiTheme="minorAscii" w:eastAsiaTheme="minorAscii" w:cstheme="minorAscii"/>
          <w:b w:val="0"/>
          <w:bCs w:val="0"/>
          <w:noProof w:val="0"/>
          <w:sz w:val="22"/>
          <w:szCs w:val="22"/>
          <w:lang w:val="en-US"/>
        </w:rPr>
        <w:t>realised</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highly dependent on local implementation. Variability in system integration, persistent workforce </w:t>
      </w:r>
      <w:bookmarkStart w:name="_Int_JkwUg9fh" w:id="503463377"/>
      <w:r w:rsidRPr="3991DA9F" w:rsidR="516D09A0">
        <w:rPr>
          <w:rFonts w:ascii="Arial" w:hAnsi="Arial" w:eastAsia="Arial" w:cs="Arial" w:asciiTheme="minorAscii" w:hAnsiTheme="minorAscii" w:eastAsiaTheme="minorAscii" w:cstheme="minorAscii"/>
          <w:b w:val="0"/>
          <w:bCs w:val="0"/>
          <w:noProof w:val="0"/>
          <w:sz w:val="22"/>
          <w:szCs w:val="22"/>
          <w:lang w:val="en-US"/>
        </w:rPr>
        <w:t>pressures</w:t>
      </w:r>
      <w:bookmarkEnd w:id="503463377"/>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ongoing digital exclusion constrain the effectiveness of the NHS App as a universally accessible solution. Without </w:t>
      </w:r>
      <w:r w:rsidRPr="3991DA9F" w:rsidR="516D09A0">
        <w:rPr>
          <w:rFonts w:ascii="Arial" w:hAnsi="Arial" w:eastAsia="Arial" w:cs="Arial" w:asciiTheme="minorAscii" w:hAnsiTheme="minorAscii" w:eastAsiaTheme="minorAscii" w:cstheme="minorAscii"/>
          <w:b w:val="0"/>
          <w:bCs w:val="0"/>
          <w:noProof w:val="0"/>
          <w:sz w:val="22"/>
          <w:szCs w:val="22"/>
          <w:lang w:val="en-US"/>
        </w:rPr>
        <w:t>appropriate safeguards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digital innovation risks </w:t>
      </w:r>
      <w:r w:rsidRPr="3991DA9F" w:rsidR="516D09A0">
        <w:rPr>
          <w:rFonts w:ascii="Arial" w:hAnsi="Arial" w:eastAsia="Arial" w:cs="Arial" w:asciiTheme="minorAscii" w:hAnsiTheme="minorAscii" w:eastAsiaTheme="minorAscii" w:cstheme="minorAscii"/>
          <w:b w:val="0"/>
          <w:bCs w:val="0"/>
          <w:noProof w:val="0"/>
          <w:sz w:val="22"/>
          <w:szCs w:val="22"/>
          <w:lang w:val="en-US"/>
        </w:rPr>
        <w:t>exacerbating</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existing inequalities and intensifying pressure on already stretched services.</w:t>
      </w:r>
    </w:p>
    <w:p xmlns:wp14="http://schemas.microsoft.com/office/word/2010/wordml" w:rsidP="3991DA9F" wp14:paraId="6E2F145F" wp14:textId="6A49581A">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To </w:t>
      </w:r>
      <w:r w:rsidRPr="3991DA9F" w:rsidR="516D09A0">
        <w:rPr>
          <w:rFonts w:ascii="Arial" w:hAnsi="Arial" w:eastAsia="Arial" w:cs="Arial" w:asciiTheme="minorAscii" w:hAnsiTheme="minorAscii" w:eastAsiaTheme="minorAscii" w:cstheme="minorAscii"/>
          <w:b w:val="0"/>
          <w:bCs w:val="0"/>
          <w:noProof w:val="0"/>
          <w:sz w:val="22"/>
          <w:szCs w:val="22"/>
          <w:lang w:val="en-US"/>
        </w:rPr>
        <w:t>maximise</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benefits, digital transformation initiatives must be accompanied by sustained investment in workforce development, </w:t>
      </w:r>
      <w:bookmarkStart w:name="_Int_O7rnBBap" w:id="500701466"/>
      <w:r w:rsidRPr="3991DA9F" w:rsidR="516D09A0">
        <w:rPr>
          <w:rFonts w:ascii="Arial" w:hAnsi="Arial" w:eastAsia="Arial" w:cs="Arial" w:asciiTheme="minorAscii" w:hAnsiTheme="minorAscii" w:eastAsiaTheme="minorAscii" w:cstheme="minorAscii"/>
          <w:b w:val="0"/>
          <w:bCs w:val="0"/>
          <w:noProof w:val="0"/>
          <w:sz w:val="22"/>
          <w:szCs w:val="22"/>
          <w:lang w:val="en-US"/>
        </w:rPr>
        <w:t>infrastructure</w:t>
      </w:r>
      <w:bookmarkEnd w:id="500701466"/>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digital inclusion. Barriers such as limited digital literacy, inadequate infrastructure and workforce shortages require targeted solutions, including protected administrative capacity, community-based digital support </w:t>
      </w:r>
      <w:bookmarkStart w:name="_Int_xiXr73WD" w:id="381972614"/>
      <w:r w:rsidRPr="3991DA9F" w:rsidR="516D09A0">
        <w:rPr>
          <w:rFonts w:ascii="Arial" w:hAnsi="Arial" w:eastAsia="Arial" w:cs="Arial" w:asciiTheme="minorAscii" w:hAnsiTheme="minorAscii" w:eastAsiaTheme="minorAscii" w:cstheme="minorAscii"/>
          <w:b w:val="0"/>
          <w:bCs w:val="0"/>
          <w:noProof w:val="0"/>
          <w:sz w:val="22"/>
          <w:szCs w:val="22"/>
          <w:lang w:val="en-US"/>
        </w:rPr>
        <w:t>initiatives</w:t>
      </w:r>
      <w:bookmarkEnd w:id="381972614"/>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clearer national standards for digital access pathways. Improving proxy access for carers and </w:t>
      </w:r>
      <w:r w:rsidRPr="3991DA9F" w:rsidR="516D09A0">
        <w:rPr>
          <w:rFonts w:ascii="Arial" w:hAnsi="Arial" w:eastAsia="Arial" w:cs="Arial" w:asciiTheme="minorAscii" w:hAnsiTheme="minorAscii" w:eastAsiaTheme="minorAscii" w:cstheme="minorAscii"/>
          <w:b w:val="0"/>
          <w:bCs w:val="0"/>
          <w:noProof w:val="0"/>
          <w:sz w:val="22"/>
          <w:szCs w:val="22"/>
          <w:lang w:val="en-US"/>
        </w:rPr>
        <w:t>maintaining</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non-digital routes to care are essential to prevent exclusion of vulnerable groups.</w:t>
      </w:r>
    </w:p>
    <w:p xmlns:wp14="http://schemas.microsoft.com/office/word/2010/wordml" w:rsidP="3991DA9F" wp14:paraId="2A34527A" wp14:textId="6E173337">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However, implementing these recommendations presents practical challenges. Workforce shortages, financial </w:t>
      </w:r>
      <w:bookmarkStart w:name="_Int_wBRD7Mky" w:id="233572572"/>
      <w:r w:rsidRPr="3991DA9F" w:rsidR="516D09A0">
        <w:rPr>
          <w:rFonts w:ascii="Arial" w:hAnsi="Arial" w:eastAsia="Arial" w:cs="Arial" w:asciiTheme="minorAscii" w:hAnsiTheme="minorAscii" w:eastAsiaTheme="minorAscii" w:cstheme="minorAscii"/>
          <w:b w:val="0"/>
          <w:bCs w:val="0"/>
          <w:noProof w:val="0"/>
          <w:sz w:val="22"/>
          <w:szCs w:val="22"/>
          <w:lang w:val="en-US"/>
        </w:rPr>
        <w:t>constraints</w:t>
      </w:r>
      <w:bookmarkEnd w:id="233572572"/>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competing service priorities may limit </w:t>
      </w:r>
      <w:r w:rsidRPr="3991DA9F" w:rsidR="516D09A0">
        <w:rPr>
          <w:rFonts w:ascii="Arial" w:hAnsi="Arial" w:eastAsia="Arial" w:cs="Arial" w:asciiTheme="minorAscii" w:hAnsiTheme="minorAscii" w:eastAsiaTheme="minorAscii" w:cstheme="minorAscii"/>
          <w:b w:val="0"/>
          <w:bCs w:val="0"/>
          <w:noProof w:val="0"/>
          <w:sz w:val="22"/>
          <w:szCs w:val="22"/>
          <w:lang w:val="en-US"/>
        </w:rPr>
        <w:t>organisational</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capacity to invest in training and infrastructure. Addressing these barriers will require coordinated national leadership alongside local flexibility, ensuring that digital transformation strategies are realistic, adequately </w:t>
      </w:r>
      <w:bookmarkStart w:name="_Int_eqFFstQ5" w:id="1248369253"/>
      <w:r w:rsidRPr="3991DA9F" w:rsidR="516D09A0">
        <w:rPr>
          <w:rFonts w:ascii="Arial" w:hAnsi="Arial" w:eastAsia="Arial" w:cs="Arial" w:asciiTheme="minorAscii" w:hAnsiTheme="minorAscii" w:eastAsiaTheme="minorAscii" w:cstheme="minorAscii"/>
          <w:b w:val="0"/>
          <w:bCs w:val="0"/>
          <w:noProof w:val="0"/>
          <w:sz w:val="22"/>
          <w:szCs w:val="22"/>
          <w:lang w:val="en-US"/>
        </w:rPr>
        <w:t>resourced</w:t>
      </w:r>
      <w:bookmarkEnd w:id="1248369253"/>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responsive to population need rather than driven solely by technological ambition.</w:t>
      </w:r>
    </w:p>
    <w:p xmlns:wp14="http://schemas.microsoft.com/office/word/2010/wordml" w:rsidP="3991DA9F" wp14:paraId="00127E5D" wp14:textId="6016A9C4">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sz w:val="22"/>
          <w:szCs w:val="22"/>
          <w:lang w:val="en-US"/>
        </w:rPr>
      </w:pP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This analysis </w:t>
      </w:r>
      <w:r w:rsidRPr="3991DA9F" w:rsidR="516D09A0">
        <w:rPr>
          <w:rFonts w:ascii="Arial" w:hAnsi="Arial" w:eastAsia="Arial" w:cs="Arial" w:asciiTheme="minorAscii" w:hAnsiTheme="minorAscii" w:eastAsiaTheme="minorAscii" w:cstheme="minorAscii"/>
          <w:b w:val="0"/>
          <w:bCs w:val="0"/>
          <w:noProof w:val="0"/>
          <w:sz w:val="22"/>
          <w:szCs w:val="22"/>
          <w:lang w:val="en-US"/>
        </w:rPr>
        <w:t>demonstrates</w:t>
      </w:r>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that the impact of the NHS App is not inherent to the technology itself but is shaped by implementation context, workforce </w:t>
      </w:r>
      <w:bookmarkStart w:name="_Int_yE9j8Wzd" w:id="1281612541"/>
      <w:r w:rsidRPr="3991DA9F" w:rsidR="516D09A0">
        <w:rPr>
          <w:rFonts w:ascii="Arial" w:hAnsi="Arial" w:eastAsia="Arial" w:cs="Arial" w:asciiTheme="minorAscii" w:hAnsiTheme="minorAscii" w:eastAsiaTheme="minorAscii" w:cstheme="minorAscii"/>
          <w:b w:val="0"/>
          <w:bCs w:val="0"/>
          <w:noProof w:val="0"/>
          <w:sz w:val="22"/>
          <w:szCs w:val="22"/>
          <w:lang w:val="en-US"/>
        </w:rPr>
        <w:t>capacity</w:t>
      </w:r>
      <w:bookmarkEnd w:id="1281612541"/>
      <w:r w:rsidRPr="3991DA9F" w:rsidR="516D09A0">
        <w:rPr>
          <w:rFonts w:ascii="Arial" w:hAnsi="Arial" w:eastAsia="Arial" w:cs="Arial" w:asciiTheme="minorAscii" w:hAnsiTheme="minorAscii" w:eastAsiaTheme="minorAscii" w:cstheme="minorAscii"/>
          <w:b w:val="0"/>
          <w:bCs w:val="0"/>
          <w:noProof w:val="0"/>
          <w:sz w:val="22"/>
          <w:szCs w:val="22"/>
          <w:lang w:val="en-US"/>
        </w:rPr>
        <w:t xml:space="preserve"> and structural inequalities.</w:t>
      </w:r>
    </w:p>
    <w:p xmlns:wp14="http://schemas.microsoft.com/office/word/2010/wordml" w:rsidP="3991DA9F" wp14:paraId="567D8B72" wp14:textId="3BDFDD0B">
      <w:pPr>
        <w:spacing w:line="360" w:lineRule="auto"/>
        <w:rPr>
          <w:rFonts w:ascii="Arial" w:hAnsi="Arial" w:eastAsia="Arial" w:cs="Arial" w:asciiTheme="minorAscii" w:hAnsiTheme="minorAscii" w:eastAsiaTheme="minorAscii" w:cstheme="minorAscii"/>
          <w:b w:val="0"/>
          <w:bCs w:val="0"/>
          <w:sz w:val="22"/>
          <w:szCs w:val="22"/>
        </w:rPr>
      </w:pPr>
    </w:p>
    <w:p xmlns:wp14="http://schemas.microsoft.com/office/word/2010/wordml" w:rsidP="3991DA9F" wp14:paraId="53FFB0EA" wp14:textId="39DED118">
      <w:pPr>
        <w:pStyle w:val="Heading2"/>
        <w:spacing w:before="299" w:beforeAutospacing="off" w:after="299" w:afterAutospacing="off"/>
        <w:rPr>
          <w:rFonts w:ascii="Arial" w:hAnsi="Arial" w:eastAsia="Arial" w:cs="Arial"/>
          <w:b w:val="1"/>
          <w:bCs w:val="1"/>
          <w:noProof w:val="0"/>
          <w:color w:val="auto"/>
          <w:sz w:val="22"/>
          <w:szCs w:val="22"/>
          <w:lang w:val="en-US"/>
        </w:rPr>
      </w:pPr>
      <w:r w:rsidRPr="3991DA9F" w:rsidR="516D09A0">
        <w:rPr>
          <w:rFonts w:ascii="Arial" w:hAnsi="Arial" w:eastAsia="Arial" w:cs="Arial"/>
          <w:b w:val="1"/>
          <w:bCs w:val="1"/>
          <w:noProof w:val="0"/>
          <w:color w:val="auto"/>
          <w:sz w:val="22"/>
          <w:szCs w:val="22"/>
          <w:lang w:val="en-US"/>
        </w:rPr>
        <w:t xml:space="preserve">Reference List </w:t>
      </w:r>
    </w:p>
    <w:p xmlns:wp14="http://schemas.microsoft.com/office/word/2010/wordml" w:rsidP="3991DA9F" wp14:paraId="06E67410" wp14:textId="140441EC">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Care Quality Commission (2022)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The state of health care and adult social care in England 2021/22</w:t>
      </w:r>
      <w:r w:rsidRPr="3991DA9F" w:rsidR="516D09A0">
        <w:rPr>
          <w:rFonts w:ascii="Arial" w:hAnsi="Arial" w:eastAsia="Arial" w:cs="Arial" w:asciiTheme="minorAscii" w:hAnsiTheme="minorAscii" w:eastAsiaTheme="minorAscii" w:cstheme="minorAscii"/>
          <w:noProof w:val="0"/>
          <w:color w:val="auto"/>
          <w:sz w:val="22"/>
          <w:szCs w:val="22"/>
          <w:lang w:val="en-US"/>
        </w:rPr>
        <w:t>. London: CQC.</w:t>
      </w:r>
    </w:p>
    <w:p xmlns:wp14="http://schemas.microsoft.com/office/word/2010/wordml" w:rsidP="3991DA9F" wp14:paraId="024F57A2" wp14:textId="0E9463EC">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Digital Health Inequalities Hub (2023)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Digital exclusion and health inequalities in the UK</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Available at: </w:t>
      </w:r>
      <w:hyperlink r:id="Racdb267c1e4846b6">
        <w:r w:rsidRPr="3991DA9F" w:rsidR="516D09A0">
          <w:rPr>
            <w:rStyle w:val="Hyperlink"/>
            <w:rFonts w:ascii="Arial" w:hAnsi="Arial" w:eastAsia="Arial" w:cs="Arial" w:asciiTheme="minorAscii" w:hAnsiTheme="minorAscii" w:eastAsiaTheme="minorAscii" w:cstheme="minorAscii"/>
            <w:noProof w:val="0"/>
            <w:color w:val="auto"/>
            <w:sz w:val="22"/>
            <w:szCs w:val="22"/>
            <w:lang w:val="en-US"/>
          </w:rPr>
          <w:t>https://digitalinequalities.uk</w:t>
        </w:r>
      </w:hyperlink>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(Accessed: 7 February 2026).</w:t>
      </w:r>
    </w:p>
    <w:p xmlns:wp14="http://schemas.microsoft.com/office/word/2010/wordml" w:rsidP="3991DA9F" wp14:paraId="0DE1EF79" wp14:textId="079F2F2D">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Greenhalgh, T., </w:t>
      </w:r>
      <w:r w:rsidRPr="3991DA9F" w:rsidR="516D09A0">
        <w:rPr>
          <w:rFonts w:ascii="Arial" w:hAnsi="Arial" w:eastAsia="Arial" w:cs="Arial" w:asciiTheme="minorAscii" w:hAnsiTheme="minorAscii" w:eastAsiaTheme="minorAscii" w:cstheme="minorAscii"/>
          <w:noProof w:val="0"/>
          <w:color w:val="auto"/>
          <w:sz w:val="22"/>
          <w:szCs w:val="22"/>
          <w:lang w:val="en-US"/>
        </w:rPr>
        <w:t>Wherton</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J., Papoutsi, C., Lynch, J., Hughes, G., A’Court, C., Hinder, S., Fahy, N. and Procter, R. (2017) ‘Beyond adoption: a framework for </w:t>
      </w:r>
      <w:r w:rsidRPr="3991DA9F" w:rsidR="516D09A0">
        <w:rPr>
          <w:rFonts w:ascii="Arial" w:hAnsi="Arial" w:eastAsia="Arial" w:cs="Arial" w:asciiTheme="minorAscii" w:hAnsiTheme="minorAscii" w:eastAsiaTheme="minorAscii" w:cstheme="minorAscii"/>
          <w:noProof w:val="0"/>
          <w:color w:val="auto"/>
          <w:sz w:val="22"/>
          <w:szCs w:val="22"/>
          <w:lang w:val="en-US"/>
        </w:rPr>
        <w:t>theorising</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non-adoption of health technologies’,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Journal of Medical Internet Research</w:t>
      </w:r>
      <w:r w:rsidRPr="3991DA9F" w:rsidR="516D09A0">
        <w:rPr>
          <w:rFonts w:ascii="Arial" w:hAnsi="Arial" w:eastAsia="Arial" w:cs="Arial" w:asciiTheme="minorAscii" w:hAnsiTheme="minorAscii" w:eastAsiaTheme="minorAscii" w:cstheme="minorAscii"/>
          <w:noProof w:val="0"/>
          <w:color w:val="auto"/>
          <w:sz w:val="22"/>
          <w:szCs w:val="22"/>
          <w:lang w:val="en-US"/>
        </w:rPr>
        <w:t>, 19(11), e367.</w:t>
      </w:r>
    </w:p>
    <w:p xmlns:wp14="http://schemas.microsoft.com/office/word/2010/wordml" w:rsidP="3991DA9F" wp14:paraId="332DDE04" wp14:textId="7D0BFD78">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Information Commissioner’s Office (2018)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Guide to the General Data Protection Regulation (GDPR)</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Wilmslow: ICO. Available at: </w:t>
      </w:r>
      <w:hyperlink r:id="R76da8bf1cf844e29">
        <w:r w:rsidRPr="3991DA9F" w:rsidR="516D09A0">
          <w:rPr>
            <w:rStyle w:val="Hyperlink"/>
            <w:rFonts w:ascii="Arial" w:hAnsi="Arial" w:eastAsia="Arial" w:cs="Arial" w:asciiTheme="minorAscii" w:hAnsiTheme="minorAscii" w:eastAsiaTheme="minorAscii" w:cstheme="minorAscii"/>
            <w:noProof w:val="0"/>
            <w:color w:val="auto"/>
            <w:sz w:val="22"/>
            <w:szCs w:val="22"/>
            <w:lang w:val="en-US"/>
          </w:rPr>
          <w:t>https://ico.org.uk/for-organisations/guide-to-data-protection/</w:t>
        </w:r>
      </w:hyperlink>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(Accessed: 7 February 2026).</w:t>
      </w:r>
    </w:p>
    <w:p xmlns:wp14="http://schemas.microsoft.com/office/word/2010/wordml" w:rsidP="3991DA9F" wp14:paraId="2E81528F" wp14:textId="68CCFB12">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Marmot, M., Allen, J., Boyce, T., Goldblatt, P. and Morrison, J. (2020)</w:t>
      </w:r>
      <w:bookmarkStart w:name="_Int_SEKNIYyy" w:id="1462513903"/>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Health</w:t>
      </w:r>
      <w:bookmarkEnd w:id="1462513903"/>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 xml:space="preserve"> equity in England: The Marmot Review 10 years on</w:t>
      </w:r>
      <w:r w:rsidRPr="3991DA9F" w:rsidR="516D09A0">
        <w:rPr>
          <w:rFonts w:ascii="Arial" w:hAnsi="Arial" w:eastAsia="Arial" w:cs="Arial" w:asciiTheme="minorAscii" w:hAnsiTheme="minorAscii" w:eastAsiaTheme="minorAscii" w:cstheme="minorAscii"/>
          <w:noProof w:val="0"/>
          <w:color w:val="auto"/>
          <w:sz w:val="22"/>
          <w:szCs w:val="22"/>
          <w:lang w:val="en-US"/>
        </w:rPr>
        <w:t>. London: Institute of Health Equity.</w:t>
      </w:r>
    </w:p>
    <w:p xmlns:wp14="http://schemas.microsoft.com/office/word/2010/wordml" w:rsidP="3991DA9F" wp14:paraId="2ADB8AD5" wp14:textId="41FEFE2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National Audit Office (2020)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The use of digital technology in the NHS</w:t>
      </w:r>
      <w:r w:rsidRPr="3991DA9F" w:rsidR="516D09A0">
        <w:rPr>
          <w:rFonts w:ascii="Arial" w:hAnsi="Arial" w:eastAsia="Arial" w:cs="Arial" w:asciiTheme="minorAscii" w:hAnsiTheme="minorAscii" w:eastAsiaTheme="minorAscii" w:cstheme="minorAscii"/>
          <w:noProof w:val="0"/>
          <w:color w:val="auto"/>
          <w:sz w:val="22"/>
          <w:szCs w:val="22"/>
          <w:lang w:val="en-US"/>
        </w:rPr>
        <w:t>. London: NAO.</w:t>
      </w:r>
    </w:p>
    <w:p xmlns:wp14="http://schemas.microsoft.com/office/word/2010/wordml" w:rsidP="3991DA9F" wp14:paraId="5A07FE7E" wp14:textId="548C51C1">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 (2021)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 xml:space="preserve">NHS App: </w:t>
      </w:r>
      <w:bookmarkStart w:name="_Int_6rhV6iGf" w:id="1339740089"/>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managing</w:t>
      </w:r>
      <w:bookmarkEnd w:id="1339740089"/>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 xml:space="preserve"> your health online</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Available at: </w:t>
      </w:r>
      <w:hyperlink r:id="Rbf65371c4dba4429">
        <w:r w:rsidRPr="3991DA9F" w:rsidR="516D09A0">
          <w:rPr>
            <w:rStyle w:val="Hyperlink"/>
            <w:rFonts w:ascii="Arial" w:hAnsi="Arial" w:eastAsia="Arial" w:cs="Arial" w:asciiTheme="minorAscii" w:hAnsiTheme="minorAscii" w:eastAsiaTheme="minorAscii" w:cstheme="minorAscii"/>
            <w:noProof w:val="0"/>
            <w:color w:val="auto"/>
            <w:sz w:val="22"/>
            <w:szCs w:val="22"/>
            <w:lang w:val="en-US"/>
          </w:rPr>
          <w:t>https://www.nhs.uk/nhs-app/</w:t>
        </w:r>
      </w:hyperlink>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(Accessed: 7 February 2026).</w:t>
      </w:r>
    </w:p>
    <w:p xmlns:wp14="http://schemas.microsoft.com/office/word/2010/wordml" w:rsidP="3991DA9F" wp14:paraId="6408B4DA" wp14:textId="20FFF1E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 Digital (2023)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NHS App guidance for GP practices</w:t>
      </w:r>
      <w:r w:rsidRPr="3991DA9F" w:rsidR="516D09A0">
        <w:rPr>
          <w:rFonts w:ascii="Arial" w:hAnsi="Arial" w:eastAsia="Arial" w:cs="Arial" w:asciiTheme="minorAscii" w:hAnsiTheme="minorAscii" w:eastAsiaTheme="minorAscii" w:cstheme="minorAscii"/>
          <w:noProof w:val="0"/>
          <w:color w:val="auto"/>
          <w:sz w:val="22"/>
          <w:szCs w:val="22"/>
          <w:lang w:val="en-US"/>
        </w:rPr>
        <w:t>. Leeds: NHS Digital.</w:t>
      </w:r>
    </w:p>
    <w:p xmlns:wp14="http://schemas.microsoft.com/office/word/2010/wordml" w:rsidP="3991DA9F" wp14:paraId="44DC82F5" wp14:textId="44056F77">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 England (2019)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The NHS Long Term Plan</w:t>
      </w:r>
      <w:r w:rsidRPr="3991DA9F" w:rsidR="516D09A0">
        <w:rPr>
          <w:rFonts w:ascii="Arial" w:hAnsi="Arial" w:eastAsia="Arial" w:cs="Arial" w:asciiTheme="minorAscii" w:hAnsiTheme="minorAscii" w:eastAsiaTheme="minorAscii" w:cstheme="minorAscii"/>
          <w:noProof w:val="0"/>
          <w:color w:val="auto"/>
          <w:sz w:val="22"/>
          <w:szCs w:val="22"/>
          <w:lang w:val="en-US"/>
        </w:rPr>
        <w:t>. London: NHS England.</w:t>
      </w:r>
    </w:p>
    <w:p xmlns:wp14="http://schemas.microsoft.com/office/word/2010/wordml" w:rsidP="3991DA9F" wp14:paraId="2CB50543" wp14:textId="7E901853">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 England (2021)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What good looks like: A framework for digital transformation in health and care</w:t>
      </w:r>
      <w:r w:rsidRPr="3991DA9F" w:rsidR="516D09A0">
        <w:rPr>
          <w:rFonts w:ascii="Arial" w:hAnsi="Arial" w:eastAsia="Arial" w:cs="Arial" w:asciiTheme="minorAscii" w:hAnsiTheme="minorAscii" w:eastAsiaTheme="minorAscii" w:cstheme="minorAscii"/>
          <w:noProof w:val="0"/>
          <w:color w:val="auto"/>
          <w:sz w:val="22"/>
          <w:szCs w:val="22"/>
          <w:lang w:val="en-US"/>
        </w:rPr>
        <w:t>. London: NHS England.</w:t>
      </w:r>
    </w:p>
    <w:p xmlns:wp14="http://schemas.microsoft.com/office/word/2010/wordml" w:rsidP="3991DA9F" wp14:paraId="2B8535A8" wp14:textId="5BD1738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 England (2023)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Inclusive digital healthcare: A framework for NHS action</w:t>
      </w:r>
      <w:r w:rsidRPr="3991DA9F" w:rsidR="516D09A0">
        <w:rPr>
          <w:rFonts w:ascii="Arial" w:hAnsi="Arial" w:eastAsia="Arial" w:cs="Arial" w:asciiTheme="minorAscii" w:hAnsiTheme="minorAscii" w:eastAsiaTheme="minorAscii" w:cstheme="minorAscii"/>
          <w:noProof w:val="0"/>
          <w:color w:val="auto"/>
          <w:sz w:val="22"/>
          <w:szCs w:val="22"/>
          <w:lang w:val="en-US"/>
        </w:rPr>
        <w:t>. London: NHS England.</w:t>
      </w:r>
    </w:p>
    <w:p xmlns:wp14="http://schemas.microsoft.com/office/word/2010/wordml" w:rsidP="3991DA9F" wp14:paraId="4B789B71" wp14:textId="009ADF64">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NHSX (2021)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Digital transformation in health and social care</w:t>
      </w:r>
      <w:r w:rsidRPr="3991DA9F" w:rsidR="516D09A0">
        <w:rPr>
          <w:rFonts w:ascii="Arial" w:hAnsi="Arial" w:eastAsia="Arial" w:cs="Arial" w:asciiTheme="minorAscii" w:hAnsiTheme="minorAscii" w:eastAsiaTheme="minorAscii" w:cstheme="minorAscii"/>
          <w:noProof w:val="0"/>
          <w:color w:val="auto"/>
          <w:sz w:val="22"/>
          <w:szCs w:val="22"/>
          <w:lang w:val="en-US"/>
        </w:rPr>
        <w:t>. London: NHSX.</w:t>
      </w:r>
    </w:p>
    <w:p xmlns:wp14="http://schemas.microsoft.com/office/word/2010/wordml" w:rsidP="3991DA9F" wp14:paraId="2BF0FD92" wp14:textId="23ED76B0">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Salisbury, C. (2020) ‘Digital-first consultations and workload in general practice’,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Journal of Medical Internet Research</w:t>
      </w:r>
      <w:r w:rsidRPr="3991DA9F" w:rsidR="516D09A0">
        <w:rPr>
          <w:rFonts w:ascii="Arial" w:hAnsi="Arial" w:eastAsia="Arial" w:cs="Arial" w:asciiTheme="minorAscii" w:hAnsiTheme="minorAscii" w:eastAsiaTheme="minorAscii" w:cstheme="minorAscii"/>
          <w:noProof w:val="0"/>
          <w:color w:val="auto"/>
          <w:sz w:val="22"/>
          <w:szCs w:val="22"/>
          <w:lang w:val="en-US"/>
        </w:rPr>
        <w:t>, 22(6), e18203.</w:t>
      </w:r>
    </w:p>
    <w:p xmlns:wp14="http://schemas.microsoft.com/office/word/2010/wordml" w:rsidP="3991DA9F" wp14:paraId="48AD421F" wp14:textId="5330B309">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The King’s Fund (2022)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Digital access to primary care: Addressing the demand challenge</w:t>
      </w:r>
      <w:r w:rsidRPr="3991DA9F" w:rsidR="516D09A0">
        <w:rPr>
          <w:rFonts w:ascii="Arial" w:hAnsi="Arial" w:eastAsia="Arial" w:cs="Arial" w:asciiTheme="minorAscii" w:hAnsiTheme="minorAscii" w:eastAsiaTheme="minorAscii" w:cstheme="minorAscii"/>
          <w:noProof w:val="0"/>
          <w:color w:val="auto"/>
          <w:sz w:val="22"/>
          <w:szCs w:val="22"/>
          <w:lang w:val="en-US"/>
        </w:rPr>
        <w:t>. London: The King’s Fund.</w:t>
      </w:r>
    </w:p>
    <w:p xmlns:wp14="http://schemas.microsoft.com/office/word/2010/wordml" w:rsidP="3991DA9F" wp14:paraId="2414EDC7" wp14:textId="7D290FBF">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UK Government (2018)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Data Protection Act 2018</w:t>
      </w:r>
      <w:r w:rsidRPr="3991DA9F" w:rsidR="516D09A0">
        <w:rPr>
          <w:rFonts w:ascii="Arial" w:hAnsi="Arial" w:eastAsia="Arial" w:cs="Arial" w:asciiTheme="minorAscii" w:hAnsiTheme="minorAscii" w:eastAsiaTheme="minorAscii" w:cstheme="minorAscii"/>
          <w:noProof w:val="0"/>
          <w:color w:val="auto"/>
          <w:sz w:val="22"/>
          <w:szCs w:val="22"/>
          <w:lang w:val="en-US"/>
        </w:rPr>
        <w:t>. London: The Stationery Office.</w:t>
      </w:r>
    </w:p>
    <w:p xmlns:wp14="http://schemas.microsoft.com/office/word/2010/wordml" w:rsidP="3991DA9F" wp14:paraId="4C67689D" wp14:textId="56F03C7A">
      <w:pPr>
        <w:spacing w:before="240" w:beforeAutospacing="off" w:after="240" w:afterAutospacing="off"/>
        <w:rPr>
          <w:rFonts w:ascii="Arial" w:hAnsi="Arial" w:eastAsia="Arial" w:cs="Arial" w:asciiTheme="minorAscii" w:hAnsiTheme="minorAscii" w:eastAsiaTheme="minorAscii" w:cstheme="minorAscii"/>
          <w:noProof w:val="0"/>
          <w:color w:val="auto"/>
          <w:sz w:val="22"/>
          <w:szCs w:val="22"/>
          <w:lang w:val="en-US"/>
        </w:rPr>
      </w:pPr>
      <w:r w:rsidRPr="3991DA9F" w:rsidR="516D09A0">
        <w:rPr>
          <w:rFonts w:ascii="Arial" w:hAnsi="Arial" w:eastAsia="Arial" w:cs="Arial" w:asciiTheme="minorAscii" w:hAnsiTheme="minorAscii" w:eastAsiaTheme="minorAscii" w:cstheme="minorAscii"/>
          <w:noProof w:val="0"/>
          <w:color w:val="auto"/>
          <w:sz w:val="22"/>
          <w:szCs w:val="22"/>
          <w:lang w:val="en-US"/>
        </w:rPr>
        <w:t>Wachter, R.M. (2016)</w:t>
      </w:r>
      <w:bookmarkStart w:name="_Int_dJfSQI25" w:id="699300678"/>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w:t>
      </w:r>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The</w:t>
      </w:r>
      <w:bookmarkEnd w:id="699300678"/>
      <w:r w:rsidRPr="3991DA9F" w:rsidR="516D09A0">
        <w:rPr>
          <w:rFonts w:ascii="Arial" w:hAnsi="Arial" w:eastAsia="Arial" w:cs="Arial" w:asciiTheme="minorAscii" w:hAnsiTheme="minorAscii" w:eastAsiaTheme="minorAscii" w:cstheme="minorAscii"/>
          <w:i w:val="1"/>
          <w:iCs w:val="1"/>
          <w:noProof w:val="0"/>
          <w:color w:val="auto"/>
          <w:sz w:val="22"/>
          <w:szCs w:val="22"/>
          <w:lang w:val="en-US"/>
        </w:rPr>
        <w:t xml:space="preserve"> digital doctor: Hope, hype, and harm at the dawn of medicine’s computer age</w:t>
      </w:r>
      <w:r w:rsidRPr="3991DA9F" w:rsidR="516D09A0">
        <w:rPr>
          <w:rFonts w:ascii="Arial" w:hAnsi="Arial" w:eastAsia="Arial" w:cs="Arial" w:asciiTheme="minorAscii" w:hAnsiTheme="minorAscii" w:eastAsiaTheme="minorAscii" w:cstheme="minorAscii"/>
          <w:noProof w:val="0"/>
          <w:color w:val="auto"/>
          <w:sz w:val="22"/>
          <w:szCs w:val="22"/>
          <w:lang w:val="en-US"/>
        </w:rPr>
        <w:t xml:space="preserve">. New York: </w:t>
      </w:r>
      <w:bookmarkStart w:name="_Int_ymgMM1wz" w:id="344518695"/>
      <w:r w:rsidRPr="3991DA9F" w:rsidR="516D09A0">
        <w:rPr>
          <w:rFonts w:ascii="Arial" w:hAnsi="Arial" w:eastAsia="Arial" w:cs="Arial" w:asciiTheme="minorAscii" w:hAnsiTheme="minorAscii" w:eastAsiaTheme="minorAscii" w:cstheme="minorAscii"/>
          <w:noProof w:val="0"/>
          <w:color w:val="auto"/>
          <w:sz w:val="22"/>
          <w:szCs w:val="22"/>
          <w:lang w:val="en-US"/>
        </w:rPr>
        <w:t>McGraw-Hill</w:t>
      </w:r>
      <w:bookmarkEnd w:id="344518695"/>
      <w:r w:rsidRPr="3991DA9F" w:rsidR="516D09A0">
        <w:rPr>
          <w:rFonts w:ascii="Arial" w:hAnsi="Arial" w:eastAsia="Arial" w:cs="Arial" w:asciiTheme="minorAscii" w:hAnsiTheme="minorAscii" w:eastAsiaTheme="minorAscii" w:cstheme="minorAscii"/>
          <w:noProof w:val="0"/>
          <w:color w:val="auto"/>
          <w:sz w:val="22"/>
          <w:szCs w:val="22"/>
          <w:lang w:val="en-US"/>
        </w:rPr>
        <w:t>.</w:t>
      </w:r>
    </w:p>
    <w:p xmlns:wp14="http://schemas.microsoft.com/office/word/2010/wordml" w:rsidP="3991DA9F" wp14:paraId="2C078E63" wp14:textId="210EF2DA">
      <w:pPr>
        <w:rPr>
          <w:rFonts w:ascii="Arial" w:hAnsi="Arial" w:eastAsia="Arial" w:cs="Arial" w:asciiTheme="minorAscii" w:hAnsiTheme="minorAscii" w:eastAsiaTheme="minorAscii" w:cstheme="minorAscii"/>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SUiEPxXFZ9tOg" int2:id="Wo8tTq9V">
      <int2:state int2:type="spell" int2:value="Rejected"/>
    </int2:textHash>
    <int2:textHash int2:hashCode="cbQ5GNiUxE4AxA" int2:id="HbJDQgKd">
      <int2:state int2:type="spell" int2:value="Rejected"/>
    </int2:textHash>
    <int2:textHash int2:hashCode="hN6B5b8f/AaH/i" int2:id="ihQWq00d">
      <int2:state int2:type="spell" int2:value="Rejected"/>
    </int2:textHash>
    <int2:textHash int2:hashCode="pDJXhGUUzWSYMm" int2:id="QKmAKROT">
      <int2:state int2:type="spell" int2:value="Rejected"/>
    </int2:textHash>
    <int2:textHash int2:hashCode="2eg5qO2eXbFINg" int2:id="MyzldWpB">
      <int2:state int2:type="spell" int2:value="Rejected"/>
    </int2:textHash>
    <int2:textHash int2:hashCode="kByidkXaRxGvMx" int2:id="TyufEhMR">
      <int2:state int2:type="spell" int2:value="Rejected"/>
    </int2:textHash>
    <int2:textHash int2:hashCode="bLNw5K/RtBTj6A" int2:id="595fELVG">
      <int2:state int2:type="spell" int2:value="Rejected"/>
    </int2:textHash>
    <int2:textHash int2:hashCode="Qny5udS60ZrEjn" int2:id="u56xmvaz">
      <int2:state int2:type="spell" int2:value="Rejected"/>
    </int2:textHash>
    <int2:textHash int2:hashCode="dQXqG2YD0zDsVn" int2:id="tbxz7RNA">
      <int2:state int2:type="spell" int2:value="Rejected"/>
    </int2:textHash>
    <int2:textHash int2:hashCode="doycEd9dSooA39" int2:id="JoqnEUMr">
      <int2:state int2:type="spell" int2:value="Rejected"/>
    </int2:textHash>
    <int2:textHash int2:hashCode="63rDgfzL/hb6ty" int2:id="tTNQZgGs">
      <int2:state int2:type="spell" int2:value="Rejected"/>
    </int2:textHash>
    <int2:textHash int2:hashCode="NT12h6See3qwhk" int2:id="jQqbkfmZ">
      <int2:state int2:type="spell" int2:value="Rejected"/>
    </int2:textHash>
    <int2:textHash int2:hashCode="jQdQ6fOulHZiua" int2:id="2vf2pvmX">
      <int2:state int2:type="spell" int2:value="Rejected"/>
    </int2:textHash>
    <int2:textHash int2:hashCode="jf+rJqVlrR1FG/" int2:id="sxt1NofO">
      <int2:state int2:type="spell" int2:value="Rejected"/>
    </int2:textHash>
    <int2:textHash int2:hashCode="HEXtz+T4PyFSoL" int2:id="RNOuxB7N">
      <int2:state int2:type="spell" int2:value="Rejected"/>
    </int2:textHash>
    <int2:textHash int2:hashCode="kv4UVae7TQCfC0" int2:id="ZAvuhlWx">
      <int2:state int2:type="spell" int2:value="Rejected"/>
    </int2:textHash>
    <int2:textHash int2:hashCode="367UnJ1LtAkkFz" int2:id="FgyL3O2A">
      <int2:state int2:type="spell" int2:value="Rejected"/>
    </int2:textHash>
    <int2:textHash int2:hashCode="eQFPAaannmy25q" int2:id="CLoAiLs2">
      <int2:state int2:type="spell" int2:value="Rejected"/>
    </int2:textHash>
    <int2:bookmark int2:bookmarkName="_Int_eqFFstQ5" int2:invalidationBookmarkName="" int2:hashCode="ihKklrStgLYHC3" int2:id="X114WaVI">
      <int2:state int2:type="style" int2:value="Rejected"/>
    </int2:bookmark>
    <int2:bookmark int2:bookmarkName="_Int_xiXr73WD" int2:invalidationBookmarkName="" int2:hashCode="4eDk5DSkalSZOW" int2:id="YfjemSwe">
      <int2:state int2:type="style" int2:value="Rejected"/>
    </int2:bookmark>
    <int2:bookmark int2:bookmarkName="_Int_SbxJ6o2n" int2:invalidationBookmarkName="" int2:hashCode="zgPjCKWVpDqXBE" int2:id="jQuZHKQD">
      <int2:state int2:type="style" int2:value="Rejected"/>
    </int2:bookmark>
    <int2:bookmark int2:bookmarkName="_Int_8uwBLT37" int2:invalidationBookmarkName="" int2:hashCode="W6Jojf/XHfgTpG" int2:id="MoMAqKdR">
      <int2:state int2:type="style" int2:value="Rejected"/>
    </int2:bookmark>
    <int2:bookmark int2:bookmarkName="_Int_SQd1ycPv" int2:invalidationBookmarkName="" int2:hashCode="yqtVt7VRRUwIj5" int2:id="h62CYL0b">
      <int2:state int2:type="style" int2:value="Rejected"/>
    </int2:bookmark>
    <int2:bookmark int2:bookmarkName="_Int_6HZmA7JG" int2:invalidationBookmarkName="" int2:hashCode="RseryQl1utfRNJ" int2:id="zhvO5mur">
      <int2:state int2:type="gram" int2:value="Rejected"/>
    </int2:bookmark>
    <int2:bookmark int2:bookmarkName="_Int_bn6Eo5Qd" int2:invalidationBookmarkName="" int2:hashCode="CiuYJ+VIlp5N/h" int2:id="E85ThqWw">
      <int2:state int2:type="gram" int2:value="Rejected"/>
    </int2:bookmark>
    <int2:bookmark int2:bookmarkName="_Int_4cH3Z6qk" int2:invalidationBookmarkName="" int2:hashCode="fLH1bT++CegJJE" int2:id="dR55oEC5">
      <int2:state int2:type="gram" int2:value="Rejected"/>
    </int2:bookmark>
    <int2:bookmark int2:bookmarkName="_Int_tZKP6Vgv" int2:invalidationBookmarkName="" int2:hashCode="B9krrWfRTOTjgk" int2:id="VTLssvXx">
      <int2:state int2:type="gram" int2:value="Rejected"/>
    </int2:bookmark>
    <int2:bookmark int2:bookmarkName="_Int_lmwwxgLT" int2:invalidationBookmarkName="" int2:hashCode="+F9blzemMhcye5" int2:id="m2Bec3Fg">
      <int2:state int2:type="gram" int2:value="Rejected"/>
    </int2:bookmark>
    <int2:bookmark int2:bookmarkName="_Int_JkwUg9fh" int2:invalidationBookmarkName="" int2:hashCode="RfDC3bC+m4on0d" int2:id="7d1uXJHo">
      <int2:state int2:type="gram" int2:value="Rejected"/>
    </int2:bookmark>
    <int2:bookmark int2:bookmarkName="_Int_ymgMM1wz" int2:invalidationBookmarkName="" int2:hashCode="hgGGZPZwm+60z0" int2:id="aR2Bd4xS">
      <int2:state int2:type="gram" int2:value="Rejected"/>
    </int2:bookmark>
    <int2:bookmark int2:bookmarkName="_Int_O7rnBBap" int2:invalidationBookmarkName="" int2:hashCode="Nfi3Rj8exyBINN" int2:id="sAdBCz1y">
      <int2:state int2:type="gram" int2:value="Rejected"/>
    </int2:bookmark>
    <int2:bookmark int2:bookmarkName="_Int_wBRD7Mky" int2:invalidationBookmarkName="" int2:hashCode="uT25DHTlnMonEL" int2:id="MJ4pVKkC">
      <int2:state int2:type="gram" int2:value="Rejected"/>
    </int2:bookmark>
    <int2:bookmark int2:bookmarkName="_Int_yE9j8Wzd" int2:invalidationBookmarkName="" int2:hashCode="fLH1bT++CegJJE" int2:id="JvqHQaNb">
      <int2:state int2:type="gram" int2:value="Rejected"/>
    </int2:bookmark>
    <int2:bookmark int2:bookmarkName="_Int_dJfSQI25" int2:invalidationBookmarkName="" int2:hashCode="U8N3nyz55qFmJI" int2:id="9jA23rdi">
      <int2:state int2:type="gram" int2:value="Rejected"/>
    </int2:bookmark>
    <int2:bookmark int2:bookmarkName="_Int_6rhV6iGf" int2:invalidationBookmarkName="" int2:hashCode="1XxbFYmbGBcbV1" int2:id="VR0DTAiu">
      <int2:state int2:type="gram" int2:value="Rejected"/>
    </int2:bookmark>
    <int2:bookmark int2:bookmarkName="_Int_SEKNIYyy" int2:invalidationBookmarkName="" int2:hashCode="xz4/wXJ2B+ZXTN" int2:id="kaSveRlA">
      <int2:state int2:type="gram" int2:value="Rejected"/>
    </int2:bookmark>
    <int2:bookmark int2:bookmarkName="_Int_Q3l2xumF" int2:invalidationBookmarkName="" int2:hashCode="q6lY1nkAKy6jCy" int2:id="KDWnk9Tr">
      <int2:state int2:type="style" int2:value="Rejected"/>
    </int2:bookmark>
    <int2:bookmark int2:bookmarkName="_Int_d9yeuQgS" int2:invalidationBookmarkName="" int2:hashCode="SF3Pg5vgLINLXz" int2:id="EvpzjDNM">
      <int2:state int2:type="style" int2:value="Rejected"/>
    </int2:bookmark>
    <int2:bookmark int2:bookmarkName="_Int_Q0R7Y52k" int2:invalidationBookmarkName="" int2:hashCode="SF3Pg5vgLINLXz" int2:id="u6KZNFa7">
      <int2:state int2:type="style" int2:value="Rejected"/>
    </int2:bookmark>
    <int2:bookmark int2:bookmarkName="_Int_7YzcqGcR" int2:invalidationBookmarkName="" int2:hashCode="BlLkNvQtdfVnKo" int2:id="K2Ojvv3s">
      <int2:state int2:type="style" int2:value="Rejected"/>
    </int2:bookmark>
    <int2:bookmark int2:bookmarkName="_Int_Jjdw7bOk" int2:invalidationBookmarkName="" int2:hashCode="E6J0XzlNTM79n7" int2:id="ry3lqz7I">
      <int2:state int2:type="style" int2:value="Rejected"/>
    </int2:bookmark>
    <int2:bookmark int2:bookmarkName="_Int_EabeYYcR" int2:invalidationBookmarkName="" int2:hashCode="64MLwCXT/n0qYc" int2:id="1itOAwyH">
      <int2:state int2:type="gram" int2:value="Rejected"/>
    </int2:bookmark>
    <int2:bookmark int2:bookmarkName="_Int_fqFOsBmv" int2:invalidationBookmarkName="" int2:hashCode="hnYbY6e9H0gO1I" int2:id="xP69rDhA">
      <int2:state int2:type="gram" int2:value="Rejected"/>
    </int2:bookmark>
    <int2:bookmark int2:bookmarkName="_Int_kFhJvn9t" int2:invalidationBookmarkName="" int2:hashCode="QorEgTOQMkyIFF" int2:id="L1mxxYOB">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567F8"/>
    <w:rsid w:val="02DC5B9D"/>
    <w:rsid w:val="03BF8E70"/>
    <w:rsid w:val="151EFD40"/>
    <w:rsid w:val="1823949C"/>
    <w:rsid w:val="1841C0EC"/>
    <w:rsid w:val="1AAA45D5"/>
    <w:rsid w:val="20363864"/>
    <w:rsid w:val="255110E8"/>
    <w:rsid w:val="26D077A5"/>
    <w:rsid w:val="2A1757C5"/>
    <w:rsid w:val="2AB5DD57"/>
    <w:rsid w:val="2EE5AEC1"/>
    <w:rsid w:val="3398AD3C"/>
    <w:rsid w:val="3516A85A"/>
    <w:rsid w:val="3991DA9F"/>
    <w:rsid w:val="3AAE164E"/>
    <w:rsid w:val="3C805072"/>
    <w:rsid w:val="404493B2"/>
    <w:rsid w:val="406D351C"/>
    <w:rsid w:val="4D47E716"/>
    <w:rsid w:val="4D8E6E01"/>
    <w:rsid w:val="516D09A0"/>
    <w:rsid w:val="531F26C6"/>
    <w:rsid w:val="545D2105"/>
    <w:rsid w:val="550DF119"/>
    <w:rsid w:val="5661FEAA"/>
    <w:rsid w:val="580D5E4F"/>
    <w:rsid w:val="5CFC3A02"/>
    <w:rsid w:val="5DD5A15E"/>
    <w:rsid w:val="612EE271"/>
    <w:rsid w:val="779567F8"/>
    <w:rsid w:val="79FC772D"/>
    <w:rsid w:val="7D146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67F8"/>
  <w15:chartTrackingRefBased/>
  <w15:docId w15:val="{EB6EC1A6-CEDA-4DAB-BCE4-C0528395C3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991DA9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991DA9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3991DA9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igitalinequalities.uk/" TargetMode="External" Id="Racdb267c1e4846b6" /><Relationship Type="http://schemas.openxmlformats.org/officeDocument/2006/relationships/hyperlink" Target="https://ico.org.uk/for-organisations/guide-to-data-protection/" TargetMode="External" Id="R76da8bf1cf844e29" /><Relationship Type="http://schemas.openxmlformats.org/officeDocument/2006/relationships/hyperlink" Target="https://www.nhs.uk/nhs-app/" TargetMode="External" Id="Rbf65371c4dba4429" /><Relationship Type="http://schemas.microsoft.com/office/2020/10/relationships/intelligence" Target="intelligence2.xml" Id="Rbafb3e0f436e4b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2026-02-28T21:49:13.8605947Z</dcterms:created>
  <dcterms:modified xsi:type="dcterms:W3CDTF">2026-02-28T23:00:16.6524801Z</dcterms:modified>
  <dc:creator>Ishrat Hussain (2318968)</dc:creator>
  <lastModifiedBy>Ishrat Hussain (2318968)</lastModifiedBy>
</coreProperties>
</file>