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Fonts w:ascii="Arial" w:hAnsi="Arial"/>
          <w:b w:val="1"/>
          <w:bCs w:val="1"/>
          <w:outline w:val="0"/>
          <w:color w:val="1a5276"/>
          <w:sz w:val="36"/>
          <w:szCs w:val="36"/>
          <w:u w:color="1a5276"/>
          <w:rtl w:val="0"/>
          <w:lang w:val="en-US"/>
          <w14:textFill>
            <w14:solidFill>
              <w14:srgbClr w14:val="1A5276"/>
            </w14:solidFill>
          </w14:textFill>
        </w:rPr>
        <w:t>Responsible Leadership in Practice</w:t>
      </w:r>
    </w:p>
    <w:p>
      <w:pPr>
        <w:pStyle w:val="Body"/>
        <w:bidi w:val="0"/>
      </w:pPr>
      <w:r>
        <w:rPr>
          <w:rFonts w:ascii="Arial" w:hAnsi="Arial"/>
          <w:b w:val="1"/>
          <w:bCs w:val="1"/>
          <w:outline w:val="0"/>
          <w:color w:val="2e86c1"/>
          <w:sz w:val="26"/>
          <w:szCs w:val="26"/>
          <w:u w:color="2e86c1"/>
          <w:rtl w:val="0"/>
          <w:lang w:val="en-US"/>
          <w14:textFill>
            <w14:solidFill>
              <w14:srgbClr w14:val="2E86C1"/>
            </w14:solidFill>
          </w14:textFill>
        </w:rPr>
        <w:t>Case Study Discussion Materials</w:t>
      </w:r>
    </w:p>
    <w:p>
      <w:pPr>
        <w:pStyle w:val="Body"/>
        <w:bidi w:val="0"/>
      </w:pPr>
      <w:r>
        <w:rPr>
          <w:rFonts w:ascii="Arial" w:hAnsi="Arial"/>
          <w:i w:val="1"/>
          <w:iCs w:val="1"/>
          <w:outline w:val="0"/>
          <w:color w:val="888888"/>
          <w:sz w:val="20"/>
          <w:szCs w:val="20"/>
          <w:u w:color="888888"/>
          <w:rtl w:val="0"/>
          <w:lang w:val="en-US"/>
          <w14:textFill>
            <w14:solidFill>
              <w14:srgbClr w14:val="888888"/>
            </w14:solidFill>
          </w14:textFill>
        </w:rPr>
        <w:t>MBA Global Business Challenges  |  Swansea Business School, UWTSD</w:t>
      </w:r>
    </w:p>
    <w:p>
      <w:pPr>
        <w:pStyle w:val="Body"/>
        <w:bidi w:val="0"/>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1400" w:hRule="atLeast"/>
        </w:trPr>
        <w:tc>
          <w:tcPr>
            <w:tcW w:type="dxa" w:w="9026"/>
            <w:tcBorders>
              <w:top w:val="single" w:color="2874a6" w:sz="6" w:space="0" w:shadow="0" w:frame="0"/>
              <w:left w:val="single" w:color="cccccc" w:sz="1" w:space="0" w:shadow="0" w:frame="0"/>
              <w:bottom w:val="single" w:color="cccccc" w:sz="1" w:space="0" w:shadow="0" w:frame="0"/>
              <w:right w:val="single" w:color="cccccc" w:sz="1" w:space="0" w:shadow="0" w:frame="0"/>
            </w:tcBorders>
            <w:shd w:val="clear" w:color="auto" w:fill="f0f9ff"/>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874a6"/>
                <w:sz w:val="22"/>
                <w:szCs w:val="22"/>
                <w:u w:color="2874a6"/>
                <w:shd w:val="nil" w:color="auto" w:fill="auto"/>
                <w:rtl w:val="0"/>
                <w:lang w:val="en-US"/>
                <w14:textFill>
                  <w14:solidFill>
                    <w14:srgbClr w14:val="2874A6"/>
                  </w14:solidFill>
                </w14:textFill>
              </w:rPr>
              <w:t>How to use these materials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en-US"/>
              </w:rPr>
              <w:t xml:space="preserve">Two cases are provided. Each illuminates a different dimension of responsible leadership and </w:t>
            </w:r>
            <w:r>
              <w:rPr>
                <w:rFonts w:ascii="Arial" w:hAnsi="Arial"/>
                <w:sz w:val="22"/>
                <w:szCs w:val="22"/>
                <w:u w:color="000000"/>
                <w:shd w:val="nil" w:color="auto" w:fill="auto"/>
                <w:rtl w:val="0"/>
                <w:lang w:val="en-US"/>
              </w:rPr>
              <w:t xml:space="preserve">will help consolidate your understanding and guide your reading. </w:t>
            </w:r>
            <w:r>
              <w:rPr>
                <w:rFonts w:ascii="Times New Roman" w:cs="Times New Roman" w:hAnsi="Times New Roman" w:eastAsia="Times New Roman"/>
                <w:sz w:val="20"/>
                <w:szCs w:val="20"/>
                <w:shd w:val="nil" w:color="auto" w:fill="auto"/>
                <w:rtl w:val="0"/>
              </w:rPr>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Unicode MS" w:cs="Arial Unicode MS" w:hAnsi="Arial Unicode MS" w:eastAsia="Arial Unicode MS"/>
          <w:b w:val="0"/>
          <w:bCs w:val="0"/>
          <w:i w:val="0"/>
          <w:iCs w:val="0"/>
        </w:rPr>
        <w:br w:type="page"/>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a5276"/>
          <w:sz w:val="28"/>
          <w:szCs w:val="28"/>
          <w:u w:color="1a5276"/>
          <w:rtl w:val="0"/>
          <w:lang w:val="it-IT"/>
          <w14:textFill>
            <w14:solidFill>
              <w14:srgbClr w14:val="1A5276"/>
            </w14:solidFill>
          </w14:textFill>
        </w:rPr>
        <w:t xml:space="preserve">Case 1 </w:t>
      </w:r>
      <w:r>
        <w:rPr>
          <w:rFonts w:ascii="Arial" w:hAnsi="Arial" w:hint="default"/>
          <w:b w:val="1"/>
          <w:bCs w:val="1"/>
          <w:outline w:val="0"/>
          <w:color w:val="1a5276"/>
          <w:sz w:val="28"/>
          <w:szCs w:val="28"/>
          <w:u w:color="1a5276"/>
          <w:rtl w:val="0"/>
          <w:lang w:val="en-US"/>
          <w14:textFill>
            <w14:solidFill>
              <w14:srgbClr w14:val="1A5276"/>
            </w14:solidFill>
          </w14:textFill>
        </w:rPr>
        <w:t xml:space="preserve">— </w:t>
      </w:r>
      <w:r>
        <w:rPr>
          <w:rFonts w:ascii="Arial" w:hAnsi="Arial"/>
          <w:b w:val="1"/>
          <w:bCs w:val="1"/>
          <w:outline w:val="0"/>
          <w:color w:val="1a5276"/>
          <w:sz w:val="28"/>
          <w:szCs w:val="28"/>
          <w:u w:color="1a5276"/>
          <w:rtl w:val="0"/>
          <w:lang w:val="de-DE"/>
          <w14:textFill>
            <w14:solidFill>
              <w14:srgbClr w14:val="1A5276"/>
            </w14:solidFill>
          </w14:textFill>
        </w:rPr>
        <w:t>Volkswagen emissions scandal (Dieselgate, 2015)</w:t>
      </w: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1421" w:hRule="atLeast"/>
        </w:trPr>
        <w:tc>
          <w:tcPr>
            <w:tcW w:type="dxa" w:w="9026"/>
            <w:tcBorders>
              <w:top w:val="single" w:color="854f0b" w:sz="6" w:space="0" w:shadow="0" w:frame="0"/>
              <w:left w:val="single" w:color="cccccc" w:sz="1" w:space="0" w:shadow="0" w:frame="0"/>
              <w:bottom w:val="single" w:color="cccccc" w:sz="1" w:space="0" w:shadow="0" w:frame="0"/>
              <w:right w:val="single" w:color="cccccc" w:sz="1" w:space="0" w:shadow="0" w:frame="0"/>
            </w:tcBorders>
            <w:shd w:val="clear" w:color="auto" w:fill="fef9e7"/>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854f0b"/>
                <w:sz w:val="22"/>
                <w:szCs w:val="22"/>
                <w:u w:color="854f0b"/>
                <w:shd w:val="nil" w:color="auto" w:fill="auto"/>
                <w:rtl w:val="0"/>
                <w:lang w:val="en-US"/>
                <w14:textFill>
                  <w14:solidFill>
                    <w14:srgbClr w14:val="854F0B"/>
                  </w14:solidFill>
                </w14:textFill>
              </w:rPr>
              <w:t>Skill focus for this case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Primary: Ethical skills (moral reasoning, values clarification, reasoning under uncertainty)</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en-US"/>
              </w:rPr>
              <w:t>Secondary: Cognitive skills (complexity navigation, systems thinking), Political skills (institutional navigation)</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en-US"/>
          <w14:textFill>
            <w14:solidFill>
              <w14:srgbClr w14:val="1F618D"/>
            </w14:solidFill>
          </w14:textFill>
        </w:rPr>
        <w:t>Background</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In September 2015 the US Environmental Protection Agency issued a notice of violation to Volkswagen AG alleging that the company had intentionally installed defeat device software in approximately 11 million diesel vehicles worldwide. The software detected when vehicles were being tested under laboratory conditions and activated full emissions controls; under real-world driving conditions it switched to a different operating mode that produced nitrogen oxide emissions up to 40 times above legal limits.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deception had been ongoing since approximately 2005 and involved engineers, managers, and executives across multiple levels of the organisation. Martin Winterkorn, the CEO, resigned days after the scandal became public, stating he was not aware of the manipulation. Subsequent investigations suggested awareness of the problem existed at senior levels at least two years before the EPA notice.</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 xml:space="preserve">The financial consequences were severe: VW set aside over </w:t>
      </w:r>
      <w:r>
        <w:rPr>
          <w:rFonts w:ascii="Arial" w:hAnsi="Arial" w:hint="default"/>
          <w:rtl w:val="0"/>
          <w:lang w:val="pt-PT"/>
        </w:rPr>
        <w:t>€</w:t>
      </w:r>
      <w:r>
        <w:rPr>
          <w:rFonts w:ascii="Arial" w:hAnsi="Arial"/>
          <w:rtl w:val="0"/>
          <w:lang w:val="en-US"/>
        </w:rPr>
        <w:t>30 billion in provisions for fines, compensation, and vehicle buybacks. In the United States alone the firm paid $14.7 billion in civil settlements. Criminal charges were brought against individual executives in multiple jurisdictions. The reputational damage to the VW brand, and to the German automotive sector more broadly, was substantial and persistent.</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4067" w:hRule="atLeast"/>
        </w:trPr>
        <w:tc>
          <w:tcPr>
            <w:tcW w:type="dxa" w:w="9026"/>
            <w:tcBorders>
              <w:top w:val="single" w:color="854f0b" w:sz="6" w:space="0" w:shadow="0" w:frame="0"/>
              <w:left w:val="single" w:color="cccccc" w:sz="1" w:space="0" w:shadow="0" w:frame="0"/>
              <w:bottom w:val="single" w:color="cccccc" w:sz="1" w:space="0" w:shadow="0" w:frame="0"/>
              <w:right w:val="single" w:color="cccccc" w:sz="1" w:space="0" w:shadow="0" w:frame="0"/>
            </w:tcBorders>
            <w:shd w:val="clear" w:color="auto" w:fill="fef9e7"/>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854f0b"/>
                <w:sz w:val="22"/>
                <w:szCs w:val="22"/>
                <w:u w:color="854f0b"/>
                <w:shd w:val="nil" w:color="auto" w:fill="auto"/>
                <w:rtl w:val="0"/>
                <w:lang w:val="en-US"/>
                <w14:textFill>
                  <w14:solidFill>
                    <w14:srgbClr w14:val="854F0B"/>
                  </w14:solidFill>
                </w14:textFill>
              </w:rPr>
              <w:t>Key facts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11 million vehicles affected across VW, Audi, Porsche, and SEAT brands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Defeat device software in use since approximately 2005</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 xml:space="preserve">US criminal guilty plea entered by VW AG in 2017 </w:t>
            </w:r>
            <w:r>
              <w:rPr>
                <w:rFonts w:ascii="Arial" w:hAnsi="Arial" w:hint="default"/>
                <w:sz w:val="22"/>
                <w:szCs w:val="22"/>
                <w:u w:color="000000"/>
                <w:shd w:val="nil" w:color="auto" w:fill="auto"/>
                <w:rtl w:val="0"/>
                <w:lang w:val="en-US"/>
              </w:rPr>
              <w:t xml:space="preserve">— </w:t>
            </w:r>
            <w:r>
              <w:rPr>
                <w:rFonts w:ascii="Arial" w:hAnsi="Arial"/>
                <w:sz w:val="22"/>
                <w:szCs w:val="22"/>
                <w:u w:color="000000"/>
                <w:shd w:val="nil" w:color="auto" w:fill="auto"/>
                <w:rtl w:val="0"/>
                <w:lang w:val="en-US"/>
              </w:rPr>
              <w:t>first criminal conviction of a major automaker in US history</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Six individual executives charged in the US; some remain outside US jurisdiction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VW internal investigation found the decision to use defeat devices was made by a small group of engineers under pressure to meet emissions targets without sacrificing performance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en-US"/>
              </w:rPr>
              <w:t>The scandal accelerated EU regulatory reform of vehicle emissions testing and contributed to the political decline of diesel as a technology</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en-US"/>
          <w14:textFill>
            <w14:solidFill>
              <w14:srgbClr w14:val="1F618D"/>
            </w14:solidFill>
          </w14:textFill>
        </w:rPr>
        <w:t>The responsible leadership analysis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 xml:space="preserve">Dieselgate is analytically valuable not because it involved exceptionally bad individuals but because it illustrates how responsible leadership failures are typically systemic rather than individual. The engineers who wrote the defeat device software were not acting randomly </w:t>
      </w:r>
      <w:r>
        <w:rPr>
          <w:rFonts w:ascii="Arial" w:hAnsi="Arial" w:hint="default"/>
          <w:rtl w:val="0"/>
          <w:lang w:val="en-US"/>
        </w:rPr>
        <w:t xml:space="preserve">— </w:t>
      </w:r>
      <w:r>
        <w:rPr>
          <w:rFonts w:ascii="Arial" w:hAnsi="Arial"/>
          <w:rtl w:val="0"/>
          <w:lang w:val="en-US"/>
        </w:rPr>
        <w:t>they were responding to an institutional environment that set incompatible performance targets (meeting stringent US emissions standards while maintaining the performance and fuel economy characteristics that made VW diesels competitive) and did not provide legitimate means of achieving them.</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de-DE"/>
        </w:rPr>
        <w:t>Werhane</w:t>
      </w:r>
      <w:r>
        <w:rPr>
          <w:rFonts w:ascii="Arial" w:hAnsi="Arial" w:hint="default"/>
          <w:rtl w:val="1"/>
        </w:rPr>
        <w:t>’</w:t>
      </w:r>
      <w:r>
        <w:rPr>
          <w:rFonts w:ascii="Arial" w:hAnsi="Arial"/>
          <w:rtl w:val="0"/>
          <w:lang w:val="en-US"/>
        </w:rPr>
        <w:t>s moral imagination concept is directly applicable: the decision-makers involved appear to have been unable to perceive the situation as an ethical problem rather than a technical one. Within the institutional framework of competitive engineering, meeting a target by any available means is normal behaviour. The defeat device was, in that framework, a clever solution. The moral imagination required to perceive it as fraud as a systematic deception of regulators, customers, and the public about the environmental performance of the product  was absent.</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organisational silence around the problem once it was identified internally is equally instructive. Employees who raised concerns about the software appear to have encountered institutional pressures that discouraged escalation. This is the Waldman and Galvin argument about structural versus individual responsible leadership: individual virtue was insufficient to overcome a system that punished the exercise of that virtue.</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 xml:space="preserve">The varieties of capitalism dimension is also worth noting. VW operated within a German co-determination framework </w:t>
      </w:r>
      <w:r>
        <w:rPr>
          <w:rFonts w:ascii="Arial" w:hAnsi="Arial" w:hint="default"/>
          <w:rtl w:val="0"/>
          <w:lang w:val="en-US"/>
        </w:rPr>
        <w:t xml:space="preserve">— </w:t>
      </w:r>
      <w:r>
        <w:rPr>
          <w:rFonts w:ascii="Arial" w:hAnsi="Arial"/>
          <w:rtl w:val="0"/>
          <w:lang w:val="en-US"/>
        </w:rPr>
        <w:t>worker representatives held half the seats on the supervisory board. The institutional architecture that should have provided an accountability mechanism for this kind of systemic deception demonstrably failed to do so, raising questions about the limits of stakeholder governance as a responsible leadership mechanism.</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fr-FR"/>
          <w14:textFill>
            <w14:solidFill>
              <w14:srgbClr w14:val="1F618D"/>
            </w14:solidFill>
          </w14:textFill>
        </w:rPr>
        <w:t>Discussion questions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41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Q1  </w:t>
            </w:r>
            <w:r>
              <w:rPr>
                <w:rFonts w:ascii="Arial" w:hAnsi="Arial"/>
                <w:b w:val="1"/>
                <w:bCs w:val="1"/>
                <w:sz w:val="22"/>
                <w:szCs w:val="22"/>
                <w:u w:color="000000"/>
                <w:shd w:val="nil" w:color="auto" w:fill="auto"/>
                <w:rtl w:val="0"/>
                <w:lang w:val="en-US"/>
              </w:rPr>
              <w:t>Was this a failure of individual leadership ethics or organisational system design?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en-US"/>
                <w14:textFill>
                  <w14:solidFill>
                    <w14:srgbClr w14:val="854F0B"/>
                  </w14:solidFill>
                </w14:textFill>
              </w:rPr>
              <w:t xml:space="preserve"> [Ethical]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p>
          <w:p>
            <w:pPr>
              <w:pStyle w:val="List Paragraph"/>
              <w:numPr>
                <w:ilvl w:val="0"/>
                <w:numId w:val="1"/>
              </w:numPr>
              <w:bidi w:val="0"/>
              <w:spacing w:before="40" w:after="40"/>
              <w:ind w:right="0"/>
              <w:jc w:val="left"/>
              <w:rPr>
                <w:rtl w:val="0"/>
                <w:lang w:val="en-US"/>
              </w:rPr>
            </w:pPr>
            <w:r>
              <w:rPr>
                <w:rFonts w:ascii="Arial" w:hAnsi="Arial"/>
                <w:shd w:val="nil" w:color="auto" w:fill="auto"/>
                <w:rtl w:val="0"/>
                <w:lang w:val="en-US"/>
              </w:rPr>
              <w:t>Apply Waldman and Galvin</w:t>
            </w:r>
            <w:r>
              <w:rPr>
                <w:rFonts w:ascii="Arial" w:hAnsi="Arial" w:hint="default"/>
                <w:shd w:val="nil" w:color="auto" w:fill="auto"/>
                <w:rtl w:val="1"/>
              </w:rPr>
              <w:t>’</w:t>
            </w:r>
            <w:r>
              <w:rPr>
                <w:rFonts w:ascii="Arial" w:hAnsi="Arial"/>
                <w:shd w:val="nil" w:color="auto" w:fill="auto"/>
                <w:rtl w:val="0"/>
                <w:lang w:val="en-US"/>
              </w:rPr>
              <w:t>s distinction between personal virtue and structural responsible leadership to the VW case.</w:t>
            </w:r>
          </w:p>
          <w:p>
            <w:pPr>
              <w:pStyle w:val="List Paragraph"/>
              <w:numPr>
                <w:ilvl w:val="0"/>
                <w:numId w:val="1"/>
              </w:numPr>
              <w:bidi w:val="0"/>
              <w:spacing w:before="40" w:after="40"/>
              <w:ind w:right="0"/>
              <w:jc w:val="left"/>
              <w:rPr>
                <w:rtl w:val="0"/>
                <w:lang w:val="en-US"/>
              </w:rPr>
            </w:pPr>
            <w:r>
              <w:rPr>
                <w:rFonts w:ascii="Arial" w:hAnsi="Arial"/>
                <w:shd w:val="nil" w:color="auto" w:fill="auto"/>
                <w:rtl w:val="0"/>
                <w:lang w:val="en-US"/>
              </w:rPr>
              <w:t>Which specific organisational systems, incentive structures, or cultural norms created the conditions for Dieselgate?</w:t>
            </w:r>
          </w:p>
          <w:p>
            <w:pPr>
              <w:pStyle w:val="List Paragraph"/>
              <w:numPr>
                <w:ilvl w:val="0"/>
                <w:numId w:val="1"/>
              </w:numPr>
              <w:bidi w:val="0"/>
              <w:spacing w:before="40" w:after="40"/>
              <w:ind w:right="0"/>
              <w:jc w:val="left"/>
              <w:rPr>
                <w:rtl w:val="0"/>
                <w:lang w:val="en-US"/>
              </w:rPr>
            </w:pPr>
            <w:r>
              <w:rPr>
                <w:rFonts w:ascii="Arial" w:hAnsi="Arial"/>
                <w:shd w:val="nil" w:color="auto" w:fill="auto"/>
                <w:rtl w:val="0"/>
                <w:lang w:val="en-US"/>
              </w:rPr>
              <w:t>What would a responsible leadership architecture have looked like that made this outcome less likely  regardless of the individual ethical character of those involved?</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41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Q2  </w:t>
            </w:r>
            <w:r>
              <w:rPr>
                <w:rFonts w:ascii="Arial" w:hAnsi="Arial"/>
                <w:b w:val="1"/>
                <w:bCs w:val="1"/>
                <w:sz w:val="22"/>
                <w:szCs w:val="22"/>
                <w:u w:color="000000"/>
                <w:shd w:val="nil" w:color="auto" w:fill="auto"/>
                <w:rtl w:val="0"/>
                <w:lang w:val="en-US"/>
              </w:rPr>
              <w:t>What does Werhane</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moral imagination concept explain about how this happened?</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en-US"/>
                <w14:textFill>
                  <w14:solidFill>
                    <w14:srgbClr w14:val="854F0B"/>
                  </w14:solidFill>
                </w14:textFill>
              </w:rPr>
              <w:t xml:space="preserve"> [Ethical] </w:t>
            </w:r>
            <w:r>
              <w:rPr>
                <w:rFonts w:ascii="Arial" w:hAnsi="Arial"/>
                <w:b w:val="1"/>
                <w:bCs w:val="1"/>
                <w:outline w:val="0"/>
                <w:color w:val="993c1d"/>
                <w:sz w:val="18"/>
                <w:szCs w:val="18"/>
                <w:u w:color="993c1d"/>
                <w:shd w:val="nil" w:color="auto" w:fill="auto"/>
                <w:rtl w:val="0"/>
                <w:lang w:val="en-US"/>
                <w14:textFill>
                  <w14:solidFill>
                    <w14:srgbClr w14:val="993C1D"/>
                  </w14:solidFill>
                </w14:textFill>
              </w:rPr>
              <w:t xml:space="preserve"> [Relational] </w:t>
            </w:r>
          </w:p>
          <w:p>
            <w:pPr>
              <w:pStyle w:val="List Paragraph"/>
              <w:numPr>
                <w:ilvl w:val="0"/>
                <w:numId w:val="2"/>
              </w:numPr>
              <w:bidi w:val="0"/>
              <w:spacing w:before="40" w:after="40"/>
              <w:ind w:right="0"/>
              <w:jc w:val="left"/>
              <w:rPr>
                <w:rtl w:val="0"/>
                <w:lang w:val="en-US"/>
              </w:rPr>
            </w:pPr>
            <w:r>
              <w:rPr>
                <w:rFonts w:ascii="Arial" w:hAnsi="Arial"/>
                <w:shd w:val="nil" w:color="auto" w:fill="auto"/>
                <w:rtl w:val="0"/>
                <w:lang w:val="en-US"/>
              </w:rPr>
              <w:t>At what point in the decision-making process was moral imagination most critically absent? Who should have had it and did not?</w:t>
            </w:r>
          </w:p>
          <w:p>
            <w:pPr>
              <w:pStyle w:val="List Paragraph"/>
              <w:numPr>
                <w:ilvl w:val="0"/>
                <w:numId w:val="2"/>
              </w:numPr>
              <w:bidi w:val="0"/>
              <w:spacing w:before="40" w:after="40"/>
              <w:ind w:right="0"/>
              <w:jc w:val="left"/>
              <w:rPr>
                <w:rtl w:val="0"/>
                <w:lang w:val="en-US"/>
              </w:rPr>
            </w:pPr>
            <w:r>
              <w:rPr>
                <w:rFonts w:ascii="Arial" w:hAnsi="Arial"/>
                <w:shd w:val="nil" w:color="auto" w:fill="auto"/>
                <w:rtl w:val="0"/>
                <w:lang w:val="en-US"/>
              </w:rPr>
              <w:t>What would have been required for the engineers involved to perceive the defeat device as an ethical problem rather than a technical solution?</w:t>
            </w:r>
          </w:p>
          <w:p>
            <w:pPr>
              <w:pStyle w:val="List Paragraph"/>
              <w:numPr>
                <w:ilvl w:val="0"/>
                <w:numId w:val="2"/>
              </w:numPr>
              <w:bidi w:val="0"/>
              <w:spacing w:before="40" w:after="40"/>
              <w:ind w:right="0"/>
              <w:jc w:val="left"/>
              <w:rPr>
                <w:rtl w:val="0"/>
                <w:lang w:val="en-US"/>
              </w:rPr>
            </w:pPr>
            <w:r>
              <w:rPr>
                <w:rFonts w:ascii="Arial" w:hAnsi="Arial"/>
                <w:shd w:val="nil" w:color="auto" w:fill="auto"/>
                <w:rtl w:val="0"/>
                <w:lang w:val="en-US"/>
              </w:rPr>
              <w:t xml:space="preserve">How does institutional distance  </w:t>
            </w:r>
            <w:r>
              <w:rPr>
                <w:rFonts w:ascii="Arial" w:hAnsi="Arial"/>
                <w:shd w:val="nil" w:color="auto" w:fill="auto"/>
                <w:rtl w:val="0"/>
                <w:lang w:val="en-US"/>
              </w:rPr>
              <w:t>(</w:t>
            </w:r>
            <w:r>
              <w:rPr>
                <w:rFonts w:ascii="Arial" w:hAnsi="Arial"/>
                <w:shd w:val="nil" w:color="auto" w:fill="auto"/>
                <w:rtl w:val="0"/>
                <w:lang w:val="en-US"/>
              </w:rPr>
              <w:t>between engineers, middle managers, senior executives, and regulators</w:t>
            </w:r>
            <w:r>
              <w:rPr>
                <w:rFonts w:ascii="Arial" w:hAnsi="Arial"/>
                <w:shd w:val="nil" w:color="auto" w:fill="auto"/>
                <w:rtl w:val="0"/>
                <w:lang w:val="en-US"/>
              </w:rPr>
              <w:t>)</w:t>
            </w:r>
            <w:r>
              <w:rPr>
                <w:rFonts w:ascii="Arial" w:hAnsi="Arial"/>
                <w:shd w:val="nil" w:color="auto" w:fill="auto"/>
                <w:rtl w:val="0"/>
                <w:lang w:val="en-US"/>
              </w:rPr>
              <w:t xml:space="preserve">  contribute to moral imagination failure?</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41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Q3  </w:t>
            </w:r>
            <w:r>
              <w:rPr>
                <w:rFonts w:ascii="Arial" w:hAnsi="Arial"/>
                <w:b w:val="1"/>
                <w:bCs w:val="1"/>
                <w:sz w:val="22"/>
                <w:szCs w:val="22"/>
                <w:u w:color="000000"/>
                <w:shd w:val="nil" w:color="auto" w:fill="auto"/>
                <w:rtl w:val="0"/>
                <w:lang w:val="en-US"/>
              </w:rPr>
              <w:t>What should the responsible leader have done when the problem first emerged internally?</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[Ethical]  [Political] </w:t>
            </w:r>
          </w:p>
          <w:p>
            <w:pPr>
              <w:pStyle w:val="List Paragraph"/>
              <w:numPr>
                <w:ilvl w:val="0"/>
                <w:numId w:val="3"/>
              </w:numPr>
              <w:bidi w:val="0"/>
              <w:spacing w:before="40" w:after="40"/>
              <w:ind w:right="0"/>
              <w:jc w:val="left"/>
              <w:rPr>
                <w:rtl w:val="0"/>
                <w:lang w:val="de-DE"/>
              </w:rPr>
            </w:pPr>
            <w:r>
              <w:rPr>
                <w:rFonts w:ascii="Arial" w:hAnsi="Arial"/>
                <w:shd w:val="nil" w:color="auto" w:fill="auto"/>
                <w:rtl w:val="0"/>
                <w:lang w:val="de-DE"/>
              </w:rPr>
              <w:t>Apply Hirschman</w:t>
            </w:r>
            <w:r>
              <w:rPr>
                <w:rFonts w:ascii="Arial" w:hAnsi="Arial" w:hint="default"/>
                <w:shd w:val="nil" w:color="auto" w:fill="auto"/>
                <w:rtl w:val="1"/>
              </w:rPr>
              <w:t>’</w:t>
            </w:r>
            <w:r>
              <w:rPr>
                <w:rFonts w:ascii="Arial" w:hAnsi="Arial"/>
                <w:shd w:val="nil" w:color="auto" w:fill="auto"/>
                <w:rtl w:val="0"/>
                <w:lang w:val="en-US"/>
              </w:rPr>
              <w:t>s exit-voice-loyalty framework. What voice options were available at different organisational levels?</w:t>
            </w:r>
          </w:p>
          <w:p>
            <w:pPr>
              <w:pStyle w:val="List Paragraph"/>
              <w:numPr>
                <w:ilvl w:val="0"/>
                <w:numId w:val="3"/>
              </w:numPr>
              <w:bidi w:val="0"/>
              <w:spacing w:before="40" w:after="40"/>
              <w:ind w:right="0"/>
              <w:jc w:val="left"/>
              <w:rPr>
                <w:rtl w:val="0"/>
                <w:lang w:val="en-US"/>
              </w:rPr>
            </w:pPr>
            <w:r>
              <w:rPr>
                <w:rFonts w:ascii="Arial" w:hAnsi="Arial"/>
                <w:shd w:val="nil" w:color="auto" w:fill="auto"/>
                <w:rtl w:val="0"/>
                <w:lang w:val="en-US"/>
              </w:rPr>
              <w:t>At what point does institutional courage become the relevant concept and what would it have required in practice?</w:t>
            </w:r>
          </w:p>
          <w:p>
            <w:pPr>
              <w:pStyle w:val="List Paragraph"/>
              <w:numPr>
                <w:ilvl w:val="0"/>
                <w:numId w:val="3"/>
              </w:numPr>
              <w:bidi w:val="0"/>
              <w:spacing w:before="40" w:after="40"/>
              <w:ind w:right="0"/>
              <w:jc w:val="left"/>
              <w:rPr>
                <w:rtl w:val="0"/>
                <w:lang w:val="en-US"/>
              </w:rPr>
            </w:pPr>
            <w:r>
              <w:rPr>
                <w:rFonts w:ascii="Arial" w:hAnsi="Arial"/>
                <w:shd w:val="nil" w:color="auto" w:fill="auto"/>
                <w:rtl w:val="0"/>
                <w:lang w:val="en-US"/>
              </w:rPr>
              <w:t>Is whistleblowing a responsible leadership act or an individual ethical choice? What is the difference and does it matter here?</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63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Q4  </w:t>
            </w:r>
            <w:r>
              <w:rPr>
                <w:rFonts w:ascii="Arial" w:hAnsi="Arial"/>
                <w:b w:val="1"/>
                <w:bCs w:val="1"/>
                <w:sz w:val="22"/>
                <w:szCs w:val="22"/>
                <w:u w:color="000000"/>
                <w:shd w:val="nil" w:color="auto" w:fill="auto"/>
                <w:rtl w:val="0"/>
                <w:lang w:val="en-US"/>
              </w:rPr>
              <w:t>What does the failure of co-determination tell us about the limits of stakeholder governance?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[Political]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p>
          <w:p>
            <w:pPr>
              <w:pStyle w:val="List Paragraph"/>
              <w:numPr>
                <w:ilvl w:val="0"/>
                <w:numId w:val="4"/>
              </w:numPr>
              <w:bidi w:val="0"/>
              <w:spacing w:before="40" w:after="40"/>
              <w:ind w:right="0"/>
              <w:jc w:val="left"/>
              <w:rPr>
                <w:rtl w:val="0"/>
                <w:lang w:val="en-US"/>
              </w:rPr>
            </w:pPr>
            <w:r>
              <w:rPr>
                <w:rFonts w:ascii="Arial" w:hAnsi="Arial"/>
                <w:shd w:val="nil" w:color="auto" w:fill="auto"/>
                <w:rtl w:val="0"/>
                <w:lang w:val="en-US"/>
              </w:rPr>
              <w:t xml:space="preserve">VW operated within a </w:t>
            </w:r>
            <w:r>
              <w:rPr>
                <w:rFonts w:ascii="Arial" w:hAnsi="Arial"/>
                <w:shd w:val="nil" w:color="auto" w:fill="auto"/>
                <w:rtl w:val="0"/>
                <w:lang w:val="en-US"/>
              </w:rPr>
              <w:t>Co-ordinated Market Economy (</w:t>
            </w:r>
            <w:r>
              <w:rPr>
                <w:rFonts w:ascii="Arial" w:hAnsi="Arial"/>
                <w:shd w:val="nil" w:color="auto" w:fill="auto"/>
                <w:rtl w:val="0"/>
              </w:rPr>
              <w:t>CME</w:t>
            </w:r>
            <w:r>
              <w:rPr>
                <w:rFonts w:ascii="Arial" w:hAnsi="Arial"/>
                <w:shd w:val="nil" w:color="auto" w:fill="auto"/>
                <w:rtl w:val="0"/>
                <w:lang w:val="en-US"/>
              </w:rPr>
              <w:t>)</w:t>
            </w:r>
            <w:r>
              <w:rPr>
                <w:rFonts w:ascii="Arial" w:hAnsi="Arial"/>
                <w:shd w:val="nil" w:color="auto" w:fill="auto"/>
                <w:rtl w:val="0"/>
                <w:lang w:val="en-US"/>
              </w:rPr>
              <w:t xml:space="preserve"> institutional framework with strong worker representation on the supervisory board. Why did this fail as a responsible leadership mechanism?</w:t>
            </w:r>
          </w:p>
          <w:p>
            <w:pPr>
              <w:pStyle w:val="List Paragraph"/>
              <w:numPr>
                <w:ilvl w:val="0"/>
                <w:numId w:val="4"/>
              </w:numPr>
              <w:bidi w:val="0"/>
              <w:spacing w:before="40" w:after="40"/>
              <w:ind w:right="0"/>
              <w:jc w:val="left"/>
              <w:rPr>
                <w:rtl w:val="0"/>
                <w:lang w:val="en-US"/>
              </w:rPr>
            </w:pPr>
            <w:r>
              <w:rPr>
                <w:rFonts w:ascii="Arial" w:hAnsi="Arial"/>
                <w:shd w:val="nil" w:color="auto" w:fill="auto"/>
                <w:rtl w:val="0"/>
                <w:lang w:val="en-US"/>
              </w:rPr>
              <w:t>Does the VW case support or challenge the varieties of capitalism argument that CME institutional architecture produces more responsible corporate behaviour?</w:t>
            </w:r>
          </w:p>
          <w:p>
            <w:pPr>
              <w:pStyle w:val="List Paragraph"/>
              <w:numPr>
                <w:ilvl w:val="0"/>
                <w:numId w:val="4"/>
              </w:numPr>
              <w:bidi w:val="0"/>
              <w:spacing w:before="40" w:after="40"/>
              <w:ind w:right="0"/>
              <w:jc w:val="left"/>
              <w:rPr>
                <w:rtl w:val="0"/>
                <w:lang w:val="en-US"/>
              </w:rPr>
            </w:pPr>
            <w:r>
              <w:rPr>
                <w:rFonts w:ascii="Arial" w:hAnsi="Arial"/>
                <w:shd w:val="nil" w:color="auto" w:fill="auto"/>
                <w:rtl w:val="0"/>
                <w:lang w:val="en-US"/>
              </w:rPr>
              <w:t>What additional governance mechanisms would be required to close the gap this case exposes?</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Unicode MS" w:cs="Arial Unicode MS" w:hAnsi="Arial Unicode MS" w:eastAsia="Arial Unicode MS"/>
          <w:b w:val="0"/>
          <w:bCs w:val="0"/>
          <w:i w:val="0"/>
          <w:iCs w:val="0"/>
        </w:rPr>
        <w:br w:type="page"/>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a5276"/>
          <w:sz w:val="28"/>
          <w:szCs w:val="28"/>
          <w:u w:color="1a5276"/>
          <w:rtl w:val="0"/>
          <w:lang w:val="it-IT"/>
          <w14:textFill>
            <w14:solidFill>
              <w14:srgbClr w14:val="1A5276"/>
            </w14:solidFill>
          </w14:textFill>
        </w:rPr>
        <w:t xml:space="preserve">Case 2 </w:t>
      </w:r>
      <w:r>
        <w:rPr>
          <w:rFonts w:ascii="Arial" w:hAnsi="Arial" w:hint="default"/>
          <w:b w:val="1"/>
          <w:bCs w:val="1"/>
          <w:outline w:val="0"/>
          <w:color w:val="1a5276"/>
          <w:sz w:val="28"/>
          <w:szCs w:val="28"/>
          <w:u w:color="1a5276"/>
          <w:rtl w:val="0"/>
          <w:lang w:val="en-US"/>
          <w14:textFill>
            <w14:solidFill>
              <w14:srgbClr w14:val="1A5276"/>
            </w14:solidFill>
          </w14:textFill>
        </w:rPr>
        <w:t xml:space="preserve">— </w:t>
      </w:r>
      <w:r>
        <w:rPr>
          <w:rFonts w:ascii="Arial" w:hAnsi="Arial"/>
          <w:b w:val="1"/>
          <w:bCs w:val="1"/>
          <w:outline w:val="0"/>
          <w:color w:val="1a5276"/>
          <w:sz w:val="28"/>
          <w:szCs w:val="28"/>
          <w:u w:color="1a5276"/>
          <w:rtl w:val="0"/>
          <w:lang w:val="en-US"/>
          <w14:textFill>
            <w14:solidFill>
              <w14:srgbClr w14:val="1A5276"/>
            </w14:solidFill>
          </w14:textFill>
        </w:rPr>
        <w:t>Patagonia and the limits of responsible leadership</w:t>
      </w: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1421" w:hRule="atLeast"/>
        </w:trPr>
        <w:tc>
          <w:tcPr>
            <w:tcW w:type="dxa" w:w="9026"/>
            <w:tcBorders>
              <w:top w:val="single" w:color="1e8449" w:sz="6" w:space="0" w:shadow="0" w:frame="0"/>
              <w:left w:val="single" w:color="cccccc" w:sz="1" w:space="0" w:shadow="0" w:frame="0"/>
              <w:bottom w:val="single" w:color="cccccc" w:sz="1" w:space="0" w:shadow="0" w:frame="0"/>
              <w:right w:val="single" w:color="cccccc" w:sz="1" w:space="0" w:shadow="0" w:frame="0"/>
            </w:tcBorders>
            <w:shd w:val="clear" w:color="auto" w:fill="e9f7ef"/>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1e8449"/>
                <w:sz w:val="22"/>
                <w:szCs w:val="22"/>
                <w:u w:color="1e8449"/>
                <w:shd w:val="nil" w:color="auto" w:fill="auto"/>
                <w:rtl w:val="0"/>
                <w:lang w:val="en-US"/>
                <w14:textFill>
                  <w14:solidFill>
                    <w14:srgbClr w14:val="1E8449"/>
                  </w14:solidFill>
                </w14:textFill>
              </w:rPr>
              <w:t>Skill focus for this case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Primary: Political skills (institutional courage, coalition building, narrative construction), Ethical skills (values clarification)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en-US"/>
              </w:rPr>
              <w:t>Secondary: Cognitive skills (systems thinking), Relational skills (stakeholder engagement)</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en-US"/>
          <w14:textFill>
            <w14:solidFill>
              <w14:srgbClr w14:val="1F618D"/>
            </w14:solidFill>
          </w14:textFill>
        </w:rPr>
        <w:t>Background</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Patagonia, the outdoor clothing company founded by Yvon Chouinard in 1973, has pursued an explicit responsible business agenda for over four decades. Its B Corporation certification, its 1% for the Planet commitment (donating 1% of sales to environmental causes regardless of profitability), its Worn Wear programme promoting repair over replacement, its use of recycled materials, and its political advocacy on environmental issues have made it one of the most frequently cited examples of responsible business in practice.</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In September 2022 Chouinard announced the transfer of Patagonia</w:t>
      </w:r>
      <w:r>
        <w:rPr>
          <w:rFonts w:ascii="Arial" w:hAnsi="Arial" w:hint="default"/>
          <w:rtl w:val="1"/>
        </w:rPr>
        <w:t>’</w:t>
      </w:r>
      <w:r>
        <w:rPr>
          <w:rFonts w:ascii="Arial" w:hAnsi="Arial"/>
          <w:rtl w:val="0"/>
          <w:lang w:val="en-US"/>
        </w:rPr>
        <w:t>s ownership to a specially designed trust structure. The Patagonia Purpose Trust holds voting shares, ensuring the company</w:t>
      </w:r>
      <w:r>
        <w:rPr>
          <w:rFonts w:ascii="Arial" w:hAnsi="Arial" w:hint="default"/>
          <w:rtl w:val="1"/>
        </w:rPr>
        <w:t>’</w:t>
      </w:r>
      <w:r>
        <w:rPr>
          <w:rFonts w:ascii="Arial" w:hAnsi="Arial"/>
          <w:rtl w:val="0"/>
          <w:lang w:val="en-US"/>
        </w:rPr>
        <w:t xml:space="preserve">s values and mission are protected. The Holdfast Collective, a non-profit organisation focused on environmental causes, holds non-voting economic shares and receives all profits not reinvested in the business. Chouinard described the decision as: </w:t>
      </w:r>
      <w:r>
        <w:rPr>
          <w:rFonts w:ascii="Arial" w:hAnsi="Arial" w:hint="default"/>
          <w:rtl w:val="1"/>
        </w:rPr>
        <w:t>‘</w:t>
      </w:r>
      <w:r>
        <w:rPr>
          <w:rFonts w:ascii="Arial" w:hAnsi="Arial"/>
          <w:rtl w:val="0"/>
          <w:lang w:val="en-US"/>
        </w:rPr>
        <w:t>Earth is now our only shareholder.</w:t>
      </w:r>
      <w:r>
        <w:rPr>
          <w:rFonts w:ascii="Arial" w:hAnsi="Arial" w:hint="default"/>
          <w:rtl w:val="1"/>
        </w:rPr>
        <w:t>’</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decision attracted significant attention and wide admiration. It also attracted substantive critique: that it represented tax avoidance on a substantial asset transfer; that it entrenched the values of a single founder permanently without democratic accountability; and that it was ultimately a private solution to a systemic problem that requires collective political action rather than individual philanthropic choices by wealthy founders.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4514" w:hRule="atLeast"/>
        </w:trPr>
        <w:tc>
          <w:tcPr>
            <w:tcW w:type="dxa" w:w="9026"/>
            <w:tcBorders>
              <w:top w:val="single" w:color="1e8449" w:sz="6" w:space="0" w:shadow="0" w:frame="0"/>
              <w:left w:val="single" w:color="cccccc" w:sz="1" w:space="0" w:shadow="0" w:frame="0"/>
              <w:bottom w:val="single" w:color="cccccc" w:sz="1" w:space="0" w:shadow="0" w:frame="0"/>
              <w:right w:val="single" w:color="cccccc" w:sz="1" w:space="0" w:shadow="0" w:frame="0"/>
            </w:tcBorders>
            <w:shd w:val="clear" w:color="auto" w:fill="e9f7ef"/>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1e8449"/>
                <w:sz w:val="22"/>
                <w:szCs w:val="22"/>
                <w:u w:color="1e8449"/>
                <w:shd w:val="nil" w:color="auto" w:fill="auto"/>
                <w:rtl w:val="0"/>
                <w:lang w:val="en-US"/>
                <w14:textFill>
                  <w14:solidFill>
                    <w14:srgbClr w14:val="1E8449"/>
                  </w14:solidFill>
                </w14:textFill>
              </w:rPr>
              <w:t>Key facts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Patagonia estimated value at time of transfer: approximately $3 billion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Annual profits directed to Holdfast Collective: approximately $100 million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1% for the Planet: over $140 million donated since 1985</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Worn Wear programme: encourages repair; offers lifetime guarantee on all products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Supply chain: uses recycled materials extensively; Fair Trade certified facilities for a significant proportion of production</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Political advocacy: took out full-page advertisements opposing the Trump administration</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 xml:space="preserve">s reduction of Bears Ears National Monument; labelled its 2020 shorts tags </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Vote the a**holes out</w:t>
            </w:r>
            <w:r>
              <w:rPr>
                <w:rFonts w:ascii="Arial" w:hAnsi="Arial" w:hint="default"/>
                <w:sz w:val="22"/>
                <w:szCs w:val="22"/>
                <w:u w:color="000000"/>
                <w:shd w:val="nil" w:color="auto" w:fill="auto"/>
                <w:rtl w:val="1"/>
              </w:rPr>
              <w:t>’</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it-IT"/>
              </w:rPr>
              <w:t>Rose Marcario (CEO 2014</w:t>
            </w:r>
            <w:r>
              <w:rPr>
                <w:rFonts w:ascii="Arial" w:hAnsi="Arial" w:hint="default"/>
                <w:sz w:val="22"/>
                <w:szCs w:val="22"/>
                <w:u w:color="000000"/>
                <w:shd w:val="nil" w:color="auto" w:fill="auto"/>
                <w:rtl w:val="0"/>
              </w:rPr>
              <w:t>–</w:t>
            </w:r>
            <w:r>
              <w:rPr>
                <w:rFonts w:ascii="Arial" w:hAnsi="Arial"/>
                <w:sz w:val="22"/>
                <w:szCs w:val="22"/>
                <w:u w:color="000000"/>
                <w:shd w:val="nil" w:color="auto" w:fill="auto"/>
                <w:rtl w:val="0"/>
                <w:lang w:val="en-US"/>
              </w:rPr>
              <w:t>2020): oversaw significant expansion of responsible business agenda including suing the US federal government over public land protection</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en-US"/>
          <w14:textFill>
            <w14:solidFill>
              <w14:srgbClr w14:val="1F618D"/>
            </w14:solidFill>
          </w14:textFill>
        </w:rPr>
        <w:t>The responsible leadership analysis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Patagonia is analytically interesting precisely because it is the strongest available case for responsible business in practice</w:t>
      </w:r>
      <w:r>
        <w:rPr>
          <w:rFonts w:ascii="Arial" w:hAnsi="Arial"/>
          <w:rtl w:val="0"/>
          <w:lang w:val="en-US"/>
        </w:rPr>
        <w:t xml:space="preserve"> </w:t>
      </w:r>
      <w:r>
        <w:rPr>
          <w:rFonts w:ascii="Arial" w:hAnsi="Arial"/>
          <w:rtl w:val="0"/>
          <w:lang w:val="en-US"/>
        </w:rPr>
        <w:t>and even it raises the questions that the critical management studies tradition asks about the limits of firm-level responsible leadership.</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institutional courage dimension is clear and well-evidenced. Chouinard</w:t>
      </w:r>
      <w:r>
        <w:rPr>
          <w:rFonts w:ascii="Arial" w:hAnsi="Arial" w:hint="default"/>
          <w:rtl w:val="1"/>
        </w:rPr>
        <w:t>’</w:t>
      </w:r>
      <w:r>
        <w:rPr>
          <w:rFonts w:ascii="Arial" w:hAnsi="Arial"/>
          <w:rtl w:val="0"/>
          <w:lang w:val="it-IT"/>
        </w:rPr>
        <w:t>s decision to donate Patagonia</w:t>
      </w:r>
      <w:r>
        <w:rPr>
          <w:rFonts w:ascii="Arial" w:hAnsi="Arial" w:hint="default"/>
          <w:rtl w:val="1"/>
        </w:rPr>
        <w:t>’</w:t>
      </w:r>
      <w:r>
        <w:rPr>
          <w:rFonts w:ascii="Arial" w:hAnsi="Arial"/>
          <w:rtl w:val="0"/>
          <w:lang w:val="en-US"/>
        </w:rPr>
        <w:t>s revenues to environmental causes rather than maximise returns to private shareholders was a direct act against the institutional incentives of the LME environment in which the company operates. Marcario</w:t>
      </w:r>
      <w:r>
        <w:rPr>
          <w:rFonts w:ascii="Arial" w:hAnsi="Arial" w:hint="default"/>
          <w:rtl w:val="1"/>
        </w:rPr>
        <w:t>’</w:t>
      </w:r>
      <w:r>
        <w:rPr>
          <w:rFonts w:ascii="Arial" w:hAnsi="Arial"/>
          <w:rtl w:val="0"/>
          <w:lang w:val="en-US"/>
        </w:rPr>
        <w:t>s decision to sue the federal government over Bears Ears is a textbook example of Scherer and Palazzo</w:t>
      </w:r>
      <w:r>
        <w:rPr>
          <w:rFonts w:ascii="Arial" w:hAnsi="Arial" w:hint="default"/>
          <w:rtl w:val="1"/>
        </w:rPr>
        <w:t>’</w:t>
      </w:r>
      <w:r>
        <w:rPr>
          <w:rFonts w:ascii="Arial" w:hAnsi="Arial"/>
          <w:rtl w:val="0"/>
          <w:lang w:val="en-US"/>
        </w:rPr>
        <w:t>s political role of the corporation</w:t>
      </w:r>
      <w:r>
        <w:rPr>
          <w:rFonts w:ascii="Arial" w:hAnsi="Arial"/>
          <w:rtl w:val="0"/>
          <w:lang w:val="en-US"/>
        </w:rPr>
        <w:t xml:space="preserve">; </w:t>
      </w:r>
      <w:r>
        <w:rPr>
          <w:rFonts w:ascii="Arial" w:hAnsi="Arial"/>
          <w:rtl w:val="0"/>
          <w:lang w:val="en-US"/>
        </w:rPr>
        <w:t>a firm using its resources and institutional position to contest a political decision that it judged to be environmentally irresponsible.</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systems thinking dimension is also strong: Patagonia</w:t>
      </w:r>
      <w:r>
        <w:rPr>
          <w:rFonts w:ascii="Arial" w:hAnsi="Arial" w:hint="default"/>
          <w:rtl w:val="1"/>
        </w:rPr>
        <w:t>’</w:t>
      </w:r>
      <w:r>
        <w:rPr>
          <w:rFonts w:ascii="Arial" w:hAnsi="Arial"/>
          <w:rtl w:val="0"/>
          <w:lang w:val="en-US"/>
        </w:rPr>
        <w:t>s Worn Wear programme reflects a genuine circular economy logic</w:t>
      </w:r>
      <w:r>
        <w:rPr>
          <w:rFonts w:ascii="Arial" w:hAnsi="Arial"/>
          <w:rtl w:val="0"/>
          <w:lang w:val="en-US"/>
        </w:rPr>
        <w:t>,</w:t>
      </w:r>
      <w:r>
        <w:rPr>
          <w:rFonts w:ascii="Arial" w:hAnsi="Arial"/>
          <w:rtl w:val="0"/>
          <w:lang w:val="en-US"/>
        </w:rPr>
        <w:t xml:space="preserve"> recognition that the environmental impact of a product extends beyond its manufacture to its entire lifecycle, and that a firm genuinely committed to environmental responsibility cannot ignore the consumption patterns its products generate. The decision to encourage customers to buy less, which Patagonia has done explicitly in advertising campaigns, is a direct challenge to the growth logic that underpins conventional business strategy.</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But the critical questions are equally important for Level 7 analysis. Mayer</w:t>
      </w:r>
      <w:r>
        <w:rPr>
          <w:rFonts w:ascii="Arial" w:hAnsi="Arial" w:hint="default"/>
          <w:rtl w:val="1"/>
        </w:rPr>
        <w:t>’</w:t>
      </w:r>
      <w:r>
        <w:rPr>
          <w:rFonts w:ascii="Arial" w:hAnsi="Arial"/>
          <w:rtl w:val="0"/>
          <w:lang w:val="pt-PT"/>
        </w:rPr>
        <w:t>s argument</w:t>
      </w:r>
      <w:r>
        <w:rPr>
          <w:rFonts w:ascii="Arial" w:hAnsi="Arial"/>
          <w:rtl w:val="0"/>
          <w:lang w:val="en-US"/>
        </w:rPr>
        <w:t xml:space="preserve">, </w:t>
      </w:r>
      <w:r>
        <w:rPr>
          <w:rFonts w:ascii="Arial" w:hAnsi="Arial"/>
          <w:rtl w:val="0"/>
          <w:lang w:val="en-US"/>
        </w:rPr>
        <w:t xml:space="preserve">that responsible leadership requires changing the system, not just operating responsibly within it </w:t>
      </w:r>
      <w:r>
        <w:rPr>
          <w:rFonts w:ascii="Arial" w:hAnsi="Arial"/>
          <w:rtl w:val="0"/>
          <w:lang w:val="en-US"/>
        </w:rPr>
        <w:t>r</w:t>
      </w:r>
      <w:r>
        <w:rPr>
          <w:rFonts w:ascii="Arial" w:hAnsi="Arial"/>
          <w:rtl w:val="0"/>
          <w:lang w:val="en-US"/>
        </w:rPr>
        <w:t>aises the question of whether Patagonia</w:t>
      </w:r>
      <w:r>
        <w:rPr>
          <w:rFonts w:ascii="Arial" w:hAnsi="Arial" w:hint="default"/>
          <w:rtl w:val="1"/>
        </w:rPr>
        <w:t>’</w:t>
      </w:r>
      <w:r>
        <w:rPr>
          <w:rFonts w:ascii="Arial" w:hAnsi="Arial"/>
          <w:rtl w:val="0"/>
          <w:lang w:val="en-US"/>
        </w:rPr>
        <w:t>s approach is sufficient. The firm</w:t>
      </w:r>
      <w:r>
        <w:rPr>
          <w:rFonts w:ascii="Arial" w:hAnsi="Arial" w:hint="default"/>
          <w:rtl w:val="1"/>
        </w:rPr>
        <w:t>’</w:t>
      </w:r>
      <w:r>
        <w:rPr>
          <w:rFonts w:ascii="Arial" w:hAnsi="Arial"/>
          <w:rtl w:val="0"/>
          <w:lang w:val="en-US"/>
        </w:rPr>
        <w:t>s environmental impact, however well-managed, is marginal relative to the systemic drivers of environmental degradation: fossil fuel extraction, agricultural land use, and the institutional frameworks that allow firms to externalise environmental costs. Patagonia</w:t>
      </w:r>
      <w:r>
        <w:rPr>
          <w:rFonts w:ascii="Arial" w:hAnsi="Arial" w:hint="default"/>
          <w:rtl w:val="1"/>
        </w:rPr>
        <w:t>’</w:t>
      </w:r>
      <w:r>
        <w:rPr>
          <w:rFonts w:ascii="Arial" w:hAnsi="Arial"/>
          <w:rtl w:val="0"/>
          <w:lang w:val="en-US"/>
        </w:rPr>
        <w:t>s $100 million annual donation to environmental causes is significant; the US fossil fuel industry</w:t>
      </w:r>
      <w:r>
        <w:rPr>
          <w:rFonts w:ascii="Arial" w:hAnsi="Arial" w:hint="default"/>
          <w:rtl w:val="1"/>
        </w:rPr>
        <w:t>’</w:t>
      </w:r>
      <w:r>
        <w:rPr>
          <w:rFonts w:ascii="Arial" w:hAnsi="Arial"/>
          <w:rtl w:val="0"/>
          <w:lang w:val="en-US"/>
        </w:rPr>
        <w:t>s annual revenue is approximately $200 billion. The scale mismatch is not an argument against responsible leadership at the firm level, but it is an argument for intellectual honesty about what it can and cannot achieve.</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 ownership transfer also raises the reflexivity question directly. Chouinard</w:t>
      </w:r>
      <w:r>
        <w:rPr>
          <w:rFonts w:ascii="Arial" w:hAnsi="Arial" w:hint="default"/>
          <w:rtl w:val="1"/>
        </w:rPr>
        <w:t>’</w:t>
      </w:r>
      <w:r>
        <w:rPr>
          <w:rFonts w:ascii="Arial" w:hAnsi="Arial"/>
          <w:rtl w:val="0"/>
          <w:lang w:val="en-US"/>
        </w:rPr>
        <w:t xml:space="preserve">s decision permanently entrenches a particular set of values </w:t>
      </w:r>
      <w:r>
        <w:rPr>
          <w:rFonts w:ascii="Arial" w:hAnsi="Arial" w:hint="default"/>
          <w:rtl w:val="0"/>
          <w:lang w:val="en-US"/>
        </w:rPr>
        <w:t xml:space="preserve">— </w:t>
      </w:r>
      <w:r>
        <w:rPr>
          <w:rFonts w:ascii="Arial" w:hAnsi="Arial"/>
          <w:rtl w:val="0"/>
          <w:lang w:val="en-US"/>
        </w:rPr>
        <w:t xml:space="preserve">his values </w:t>
      </w:r>
      <w:r>
        <w:rPr>
          <w:rFonts w:ascii="Arial" w:hAnsi="Arial" w:hint="default"/>
          <w:rtl w:val="0"/>
          <w:lang w:val="en-US"/>
        </w:rPr>
        <w:t xml:space="preserve">— </w:t>
      </w:r>
      <w:r>
        <w:rPr>
          <w:rFonts w:ascii="Arial" w:hAnsi="Arial"/>
          <w:rtl w:val="0"/>
          <w:lang w:val="en-US"/>
        </w:rPr>
        <w:t>in the governance of the organisation. The responsible leadership literature</w:t>
      </w:r>
      <w:r>
        <w:rPr>
          <w:rFonts w:ascii="Arial" w:hAnsi="Arial" w:hint="default"/>
          <w:rtl w:val="1"/>
        </w:rPr>
        <w:t>’</w:t>
      </w:r>
      <w:r>
        <w:rPr>
          <w:rFonts w:ascii="Arial" w:hAnsi="Arial"/>
          <w:rtl w:val="0"/>
          <w:lang w:val="en-US"/>
        </w:rPr>
        <w:t>s emphasis on relational engagement, stakeholder voice, and democratic accountability sits in some tension with a founder using private ownership to make an irrevocable unilateral decision about the organisation</w:t>
      </w:r>
      <w:r>
        <w:rPr>
          <w:rFonts w:ascii="Arial" w:hAnsi="Arial" w:hint="default"/>
          <w:rtl w:val="1"/>
        </w:rPr>
        <w:t>’</w:t>
      </w:r>
      <w:r>
        <w:rPr>
          <w:rFonts w:ascii="Arial" w:hAnsi="Arial"/>
          <w:rtl w:val="0"/>
          <w:lang w:val="en-US"/>
        </w:rPr>
        <w:t>s purpose, however admirable that purpose is.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f618d"/>
          <w:sz w:val="24"/>
          <w:szCs w:val="24"/>
          <w:u w:color="1f618d"/>
          <w:rtl w:val="0"/>
          <w:lang w:val="fr-FR"/>
          <w14:textFill>
            <w14:solidFill>
              <w14:srgbClr w14:val="1F618D"/>
            </w14:solidFill>
          </w14:textFill>
        </w:rPr>
        <w:t>Discussion questions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63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Q1  </w:t>
            </w:r>
            <w:r>
              <w:rPr>
                <w:rFonts w:ascii="Arial" w:hAnsi="Arial"/>
                <w:b w:val="1"/>
                <w:bCs w:val="1"/>
                <w:sz w:val="22"/>
                <w:szCs w:val="22"/>
                <w:u w:color="000000"/>
                <w:shd w:val="nil" w:color="auto" w:fill="auto"/>
                <w:rtl w:val="0"/>
                <w:lang w:val="en-US"/>
              </w:rPr>
              <w:t>Does Patagonia represent responsible leadership, or an unusually fortunate set of circumstances?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[Political] </w:t>
            </w:r>
            <w:r>
              <w:rPr>
                <w:rFonts w:ascii="Arial" w:hAnsi="Arial"/>
                <w:b w:val="1"/>
                <w:bCs w:val="1"/>
                <w:outline w:val="0"/>
                <w:color w:val="185fa5"/>
                <w:sz w:val="18"/>
                <w:szCs w:val="18"/>
                <w:u w:color="185fa5"/>
                <w:shd w:val="nil" w:color="auto" w:fill="auto"/>
                <w:rtl w:val="0"/>
                <w:lang w:val="en-US"/>
                <w14:textFill>
                  <w14:solidFill>
                    <w14:srgbClr w14:val="185FA5"/>
                  </w14:solidFill>
                </w14:textFill>
              </w:rPr>
              <w:t xml:space="preserve"> [Ethical] </w:t>
            </w:r>
          </w:p>
          <w:p>
            <w:pPr>
              <w:pStyle w:val="List Paragraph"/>
              <w:numPr>
                <w:ilvl w:val="0"/>
                <w:numId w:val="5"/>
              </w:numPr>
              <w:bidi w:val="0"/>
              <w:spacing w:before="40" w:after="40"/>
              <w:ind w:right="0"/>
              <w:jc w:val="left"/>
              <w:rPr>
                <w:rtl w:val="0"/>
                <w:lang w:val="en-US"/>
              </w:rPr>
            </w:pPr>
            <w:r>
              <w:rPr>
                <w:rFonts w:ascii="Arial" w:hAnsi="Arial"/>
                <w:shd w:val="nil" w:color="auto" w:fill="auto"/>
                <w:rtl w:val="0"/>
                <w:lang w:val="en-US"/>
              </w:rPr>
              <w:t>Identify the specific institutional conditions that made Patagonia</w:t>
            </w:r>
            <w:r>
              <w:rPr>
                <w:rFonts w:ascii="Arial" w:hAnsi="Arial" w:hint="default"/>
                <w:shd w:val="nil" w:color="auto" w:fill="auto"/>
                <w:rtl w:val="1"/>
              </w:rPr>
              <w:t>’</w:t>
            </w:r>
            <w:r>
              <w:rPr>
                <w:rFonts w:ascii="Arial" w:hAnsi="Arial"/>
                <w:shd w:val="nil" w:color="auto" w:fill="auto"/>
                <w:rtl w:val="0"/>
                <w:lang w:val="en-US"/>
              </w:rPr>
              <w:t>s approach possible: private ownership, premium market position, specific consumer base, founder values. Which are transferable?</w:t>
            </w:r>
          </w:p>
          <w:p>
            <w:pPr>
              <w:pStyle w:val="List Paragraph"/>
              <w:numPr>
                <w:ilvl w:val="0"/>
                <w:numId w:val="5"/>
              </w:numPr>
              <w:bidi w:val="0"/>
              <w:spacing w:before="40" w:after="40"/>
              <w:ind w:right="0"/>
              <w:jc w:val="left"/>
              <w:rPr>
                <w:rtl w:val="0"/>
                <w:lang w:val="en-US"/>
              </w:rPr>
            </w:pPr>
            <w:r>
              <w:rPr>
                <w:rFonts w:ascii="Arial" w:hAnsi="Arial"/>
                <w:shd w:val="nil" w:color="auto" w:fill="auto"/>
                <w:rtl w:val="0"/>
                <w:lang w:val="en-US"/>
              </w:rPr>
              <w:t>Apply the varieties of capitalism argument: would this approach be possible for a publicly listed firm in an LME operating in a commodity market? What does your answer tell us about the relationship between institutional context and responsible leadership?</w:t>
            </w:r>
          </w:p>
          <w:p>
            <w:pPr>
              <w:pStyle w:val="List Paragraph"/>
              <w:numPr>
                <w:ilvl w:val="0"/>
                <w:numId w:val="5"/>
              </w:numPr>
              <w:bidi w:val="0"/>
              <w:spacing w:before="40" w:after="40"/>
              <w:ind w:right="0"/>
              <w:jc w:val="left"/>
              <w:rPr>
                <w:rtl w:val="0"/>
                <w:lang w:val="en-US"/>
              </w:rPr>
            </w:pPr>
            <w:r>
              <w:rPr>
                <w:rFonts w:ascii="Arial" w:hAnsi="Arial"/>
                <w:shd w:val="nil" w:color="auto" w:fill="auto"/>
                <w:rtl w:val="0"/>
                <w:lang w:val="en-US"/>
              </w:rPr>
              <w:t>Is Patagonia a model for responsible business or an exception that proves the rule?</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85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Q2  </w:t>
            </w:r>
            <w:r>
              <w:rPr>
                <w:rFonts w:ascii="Arial" w:hAnsi="Arial"/>
                <w:b w:val="1"/>
                <w:bCs w:val="1"/>
                <w:sz w:val="22"/>
                <w:szCs w:val="22"/>
                <w:u w:color="000000"/>
                <w:shd w:val="nil" w:color="auto" w:fill="auto"/>
                <w:rtl w:val="0"/>
                <w:lang w:val="en-US"/>
              </w:rPr>
              <w:t>Is the ownership transfer an act of responsible leadership or a private solution to a systemic problem?</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[Political] </w:t>
            </w:r>
          </w:p>
          <w:p>
            <w:pPr>
              <w:pStyle w:val="List Paragraph"/>
              <w:numPr>
                <w:ilvl w:val="0"/>
                <w:numId w:val="6"/>
              </w:numPr>
              <w:bidi w:val="0"/>
              <w:spacing w:before="40" w:after="40"/>
              <w:ind w:right="0"/>
              <w:jc w:val="left"/>
              <w:rPr>
                <w:rtl w:val="0"/>
                <w:lang w:val="en-US"/>
              </w:rPr>
            </w:pPr>
            <w:r>
              <w:rPr>
                <w:rFonts w:ascii="Arial" w:hAnsi="Arial"/>
                <w:shd w:val="nil" w:color="auto" w:fill="auto"/>
                <w:rtl w:val="0"/>
                <w:lang w:val="en-US"/>
              </w:rPr>
              <w:t>Apply Mayer</w:t>
            </w:r>
            <w:r>
              <w:rPr>
                <w:rFonts w:ascii="Arial" w:hAnsi="Arial" w:hint="default"/>
                <w:shd w:val="nil" w:color="auto" w:fill="auto"/>
                <w:rtl w:val="1"/>
              </w:rPr>
              <w:t>’</w:t>
            </w:r>
            <w:r>
              <w:rPr>
                <w:rFonts w:ascii="Arial" w:hAnsi="Arial"/>
                <w:shd w:val="nil" w:color="auto" w:fill="auto"/>
                <w:rtl w:val="0"/>
                <w:lang w:val="en-US"/>
              </w:rPr>
              <w:t>s argument from Prosperity: does entrenching responsible business values in a single firm</w:t>
            </w:r>
            <w:r>
              <w:rPr>
                <w:rFonts w:ascii="Arial" w:hAnsi="Arial" w:hint="default"/>
                <w:shd w:val="nil" w:color="auto" w:fill="auto"/>
                <w:rtl w:val="1"/>
              </w:rPr>
              <w:t>’</w:t>
            </w:r>
            <w:r>
              <w:rPr>
                <w:rFonts w:ascii="Arial" w:hAnsi="Arial"/>
                <w:shd w:val="nil" w:color="auto" w:fill="auto"/>
                <w:rtl w:val="0"/>
                <w:lang w:val="en-US"/>
              </w:rPr>
              <w:t>s governance structure address the systemic problem of corporate irresponsibility?</w:t>
            </w:r>
          </w:p>
          <w:p>
            <w:pPr>
              <w:pStyle w:val="List Paragraph"/>
              <w:numPr>
                <w:ilvl w:val="0"/>
                <w:numId w:val="6"/>
              </w:numPr>
              <w:bidi w:val="0"/>
              <w:spacing w:before="40" w:after="40"/>
              <w:ind w:right="0"/>
              <w:jc w:val="left"/>
              <w:rPr>
                <w:rtl w:val="0"/>
                <w:lang w:val="it-IT"/>
              </w:rPr>
            </w:pPr>
            <w:r>
              <w:rPr>
                <w:rFonts w:ascii="Arial" w:hAnsi="Arial"/>
                <w:shd w:val="nil" w:color="auto" w:fill="auto"/>
                <w:rtl w:val="0"/>
                <w:lang w:val="it-IT"/>
              </w:rPr>
              <w:t>Apply Scherer and Palazzo</w:t>
            </w:r>
            <w:r>
              <w:rPr>
                <w:rFonts w:ascii="Arial" w:hAnsi="Arial" w:hint="default"/>
                <w:shd w:val="nil" w:color="auto" w:fill="auto"/>
                <w:rtl w:val="1"/>
              </w:rPr>
              <w:t>’</w:t>
            </w:r>
            <w:r>
              <w:rPr>
                <w:rFonts w:ascii="Arial" w:hAnsi="Arial"/>
                <w:shd w:val="nil" w:color="auto" w:fill="auto"/>
                <w:rtl w:val="0"/>
                <w:lang w:val="en-US"/>
              </w:rPr>
              <w:t>s political role of the corporation: when a founder makes irrevocable decisions about a firm</w:t>
            </w:r>
            <w:r>
              <w:rPr>
                <w:rFonts w:ascii="Arial" w:hAnsi="Arial" w:hint="default"/>
                <w:shd w:val="nil" w:color="auto" w:fill="auto"/>
                <w:rtl w:val="1"/>
              </w:rPr>
              <w:t>’</w:t>
            </w:r>
            <w:r>
              <w:rPr>
                <w:rFonts w:ascii="Arial" w:hAnsi="Arial"/>
                <w:shd w:val="nil" w:color="auto" w:fill="auto"/>
                <w:rtl w:val="0"/>
                <w:lang w:val="en-US"/>
              </w:rPr>
              <w:t>s purpose, is that an exercise of responsible leadership or of private power?</w:t>
            </w:r>
          </w:p>
          <w:p>
            <w:pPr>
              <w:pStyle w:val="List Paragraph"/>
              <w:numPr>
                <w:ilvl w:val="0"/>
                <w:numId w:val="6"/>
              </w:numPr>
              <w:bidi w:val="0"/>
              <w:spacing w:before="40" w:after="40"/>
              <w:ind w:right="0"/>
              <w:jc w:val="left"/>
              <w:rPr>
                <w:rtl w:val="0"/>
                <w:lang w:val="en-US"/>
              </w:rPr>
            </w:pPr>
            <w:r>
              <w:rPr>
                <w:rFonts w:ascii="Arial" w:hAnsi="Arial"/>
                <w:shd w:val="nil" w:color="auto" w:fill="auto"/>
                <w:rtl w:val="0"/>
                <w:lang w:val="en-US"/>
              </w:rPr>
              <w:t>What would a genuinely systemic response to the problems Patagonia is addressing look like, and what would responsible leadership at that level require?</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63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Q3  </w:t>
            </w:r>
            <w:r>
              <w:rPr>
                <w:rFonts w:ascii="Arial" w:hAnsi="Arial"/>
                <w:b w:val="1"/>
                <w:bCs w:val="1"/>
                <w:sz w:val="22"/>
                <w:szCs w:val="22"/>
                <w:u w:color="000000"/>
                <w:shd w:val="nil" w:color="auto" w:fill="auto"/>
                <w:rtl w:val="0"/>
                <w:lang w:val="en-US"/>
              </w:rPr>
              <w:t>How does the institutional courage dimension of Patagonia</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leadership connect to the varieties of capitalism argument?</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[Political]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p>
          <w:p>
            <w:pPr>
              <w:pStyle w:val="List Paragraph"/>
              <w:numPr>
                <w:ilvl w:val="0"/>
                <w:numId w:val="7"/>
              </w:numPr>
              <w:bidi w:val="0"/>
              <w:spacing w:before="40" w:after="40"/>
              <w:ind w:right="0"/>
              <w:jc w:val="left"/>
              <w:rPr>
                <w:rtl w:val="0"/>
                <w:lang w:val="en-US"/>
              </w:rPr>
            </w:pPr>
            <w:r>
              <w:rPr>
                <w:rFonts w:ascii="Arial" w:hAnsi="Arial"/>
                <w:shd w:val="nil" w:color="auto" w:fill="auto"/>
                <w:rtl w:val="0"/>
                <w:lang w:val="en-US"/>
              </w:rPr>
              <w:t xml:space="preserve">Map the institutional pressures </w:t>
            </w:r>
            <w:r>
              <w:rPr>
                <w:rFonts w:ascii="Arial" w:hAnsi="Arial" w:hint="default"/>
                <w:shd w:val="nil" w:color="auto" w:fill="auto"/>
                <w:rtl w:val="0"/>
                <w:lang w:val="en-US"/>
              </w:rPr>
              <w:t xml:space="preserve">— </w:t>
            </w:r>
            <w:r>
              <w:rPr>
                <w:rFonts w:ascii="Arial" w:hAnsi="Arial"/>
                <w:shd w:val="nil" w:color="auto" w:fill="auto"/>
                <w:rtl w:val="0"/>
                <w:lang w:val="it-IT"/>
              </w:rPr>
              <w:t xml:space="preserve">coercive, mimetic, normative </w:t>
            </w:r>
            <w:r>
              <w:rPr>
                <w:rFonts w:ascii="Arial" w:hAnsi="Arial" w:hint="default"/>
                <w:shd w:val="nil" w:color="auto" w:fill="auto"/>
                <w:rtl w:val="0"/>
                <w:lang w:val="en-US"/>
              </w:rPr>
              <w:t xml:space="preserve">— </w:t>
            </w:r>
            <w:r>
              <w:rPr>
                <w:rFonts w:ascii="Arial" w:hAnsi="Arial"/>
                <w:shd w:val="nil" w:color="auto" w:fill="auto"/>
                <w:rtl w:val="0"/>
                <w:lang w:val="en-US"/>
              </w:rPr>
              <w:t>that Patagonia</w:t>
            </w:r>
            <w:r>
              <w:rPr>
                <w:rFonts w:ascii="Arial" w:hAnsi="Arial" w:hint="default"/>
                <w:shd w:val="nil" w:color="auto" w:fill="auto"/>
                <w:rtl w:val="1"/>
              </w:rPr>
              <w:t>’</w:t>
            </w:r>
            <w:r>
              <w:rPr>
                <w:rFonts w:ascii="Arial" w:hAnsi="Arial"/>
                <w:shd w:val="nil" w:color="auto" w:fill="auto"/>
                <w:rtl w:val="0"/>
                <w:lang w:val="en-US"/>
              </w:rPr>
              <w:t>s leadership has consistently acted against. Which is most significant?</w:t>
            </w:r>
          </w:p>
          <w:p>
            <w:pPr>
              <w:pStyle w:val="List Paragraph"/>
              <w:numPr>
                <w:ilvl w:val="0"/>
                <w:numId w:val="7"/>
              </w:numPr>
              <w:bidi w:val="0"/>
              <w:spacing w:before="40" w:after="40"/>
              <w:ind w:right="0"/>
              <w:jc w:val="left"/>
              <w:rPr>
                <w:rtl w:val="0"/>
                <w:lang w:val="en-US"/>
              </w:rPr>
            </w:pPr>
            <w:r>
              <w:rPr>
                <w:rFonts w:ascii="Arial" w:hAnsi="Arial"/>
                <w:shd w:val="nil" w:color="auto" w:fill="auto"/>
                <w:rtl w:val="0"/>
                <w:lang w:val="en-US"/>
              </w:rPr>
              <w:t>Apply Oliver</w:t>
            </w:r>
            <w:r>
              <w:rPr>
                <w:rFonts w:ascii="Arial" w:hAnsi="Arial" w:hint="default"/>
                <w:shd w:val="nil" w:color="auto" w:fill="auto"/>
                <w:rtl w:val="1"/>
              </w:rPr>
              <w:t>’</w:t>
            </w:r>
            <w:r>
              <w:rPr>
                <w:rFonts w:ascii="Arial" w:hAnsi="Arial"/>
                <w:shd w:val="nil" w:color="auto" w:fill="auto"/>
                <w:rtl w:val="0"/>
                <w:lang w:val="en-US"/>
              </w:rPr>
              <w:t>s strategic responses framework. Where on the acquiesce-to-manipulate spectrum has Patagonia</w:t>
            </w:r>
            <w:r>
              <w:rPr>
                <w:rFonts w:ascii="Arial" w:hAnsi="Arial" w:hint="default"/>
                <w:shd w:val="nil" w:color="auto" w:fill="auto"/>
                <w:rtl w:val="1"/>
              </w:rPr>
              <w:t>’</w:t>
            </w:r>
            <w:r>
              <w:rPr>
                <w:rFonts w:ascii="Arial" w:hAnsi="Arial"/>
                <w:shd w:val="nil" w:color="auto" w:fill="auto"/>
                <w:rtl w:val="0"/>
                <w:lang w:val="en-US"/>
              </w:rPr>
              <w:t>s leadership positioned itself over time? Has that position changed?</w:t>
            </w:r>
          </w:p>
          <w:p>
            <w:pPr>
              <w:pStyle w:val="List Paragraph"/>
              <w:numPr>
                <w:ilvl w:val="0"/>
                <w:numId w:val="7"/>
              </w:numPr>
              <w:bidi w:val="0"/>
              <w:spacing w:before="40" w:after="40"/>
              <w:ind w:right="0"/>
              <w:jc w:val="left"/>
              <w:rPr>
                <w:rtl w:val="0"/>
                <w:lang w:val="en-US"/>
              </w:rPr>
            </w:pPr>
            <w:r>
              <w:rPr>
                <w:rFonts w:ascii="Arial" w:hAnsi="Arial"/>
                <w:shd w:val="nil" w:color="auto" w:fill="auto"/>
                <w:rtl w:val="0"/>
                <w:lang w:val="en-US"/>
              </w:rPr>
              <w:t>What organisational conditions made institutional courage sustainable at Patagonia when it is so difficult to sustain in publicly listed firms?</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3008"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Q4  </w:t>
            </w:r>
            <w:r>
              <w:rPr>
                <w:rFonts w:ascii="Arial" w:hAnsi="Arial"/>
                <w:b w:val="1"/>
                <w:bCs w:val="1"/>
                <w:sz w:val="22"/>
                <w:szCs w:val="22"/>
                <w:u w:color="000000"/>
                <w:shd w:val="nil" w:color="auto" w:fill="auto"/>
                <w:rtl w:val="0"/>
                <w:lang w:val="en-US"/>
              </w:rPr>
              <w:t>What does reflexivity require of a student engaging with the Patagonia case?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185fa5"/>
                <w:sz w:val="18"/>
                <w:szCs w:val="18"/>
                <w:u w:color="185fa5"/>
                <w:shd w:val="nil" w:color="auto" w:fill="auto"/>
                <w:rtl w:val="0"/>
                <w:lang w:val="en-US"/>
                <w14:textFill>
                  <w14:solidFill>
                    <w14:srgbClr w14:val="185FA5"/>
                  </w14:solidFill>
                </w14:textFill>
              </w:rPr>
              <w:t xml:space="preserve"> [Ethical] </w:t>
            </w:r>
            <w:r>
              <w:rPr>
                <w:rFonts w:ascii="Arial" w:hAnsi="Arial"/>
                <w:b w:val="1"/>
                <w:bCs w:val="1"/>
                <w:outline w:val="0"/>
                <w:color w:val="993c1d"/>
                <w:sz w:val="18"/>
                <w:szCs w:val="18"/>
                <w:u w:color="993c1d"/>
                <w:shd w:val="nil" w:color="auto" w:fill="auto"/>
                <w:rtl w:val="0"/>
                <w:lang w:val="en-US"/>
                <w14:textFill>
                  <w14:solidFill>
                    <w14:srgbClr w14:val="993C1D"/>
                  </w14:solidFill>
                </w14:textFill>
              </w:rPr>
              <w:t xml:space="preserve"> [Relational] </w:t>
            </w:r>
          </w:p>
          <w:p>
            <w:pPr>
              <w:pStyle w:val="List Paragraph"/>
              <w:numPr>
                <w:ilvl w:val="0"/>
                <w:numId w:val="8"/>
              </w:numPr>
              <w:bidi w:val="0"/>
              <w:spacing w:before="40" w:after="40"/>
              <w:ind w:right="0"/>
              <w:jc w:val="left"/>
              <w:rPr>
                <w:rtl w:val="0"/>
                <w:lang w:val="it-IT"/>
              </w:rPr>
            </w:pPr>
            <w:r>
              <w:rPr>
                <w:rFonts w:ascii="Arial" w:hAnsi="Arial"/>
                <w:shd w:val="nil" w:color="auto" w:fill="auto"/>
                <w:rtl w:val="0"/>
                <w:lang w:val="it-IT"/>
              </w:rPr>
              <w:t>Patagonia</w:t>
            </w:r>
            <w:r>
              <w:rPr>
                <w:rFonts w:ascii="Arial" w:hAnsi="Arial" w:hint="default"/>
                <w:shd w:val="nil" w:color="auto" w:fill="auto"/>
                <w:rtl w:val="1"/>
              </w:rPr>
              <w:t>’</w:t>
            </w:r>
            <w:r>
              <w:rPr>
                <w:rFonts w:ascii="Arial" w:hAnsi="Arial"/>
                <w:shd w:val="nil" w:color="auto" w:fill="auto"/>
                <w:rtl w:val="0"/>
                <w:lang w:val="en-US"/>
              </w:rPr>
              <w:t>s consumer base is predominantly affluent. Its premium pricing means its responsible business model is subsidised by customers who can afford to pay more for ethical products. What does this tell us about the distributional politics of responsible consumption?</w:t>
            </w:r>
          </w:p>
          <w:p>
            <w:pPr>
              <w:pStyle w:val="List Paragraph"/>
              <w:numPr>
                <w:ilvl w:val="0"/>
                <w:numId w:val="8"/>
              </w:numPr>
              <w:bidi w:val="0"/>
              <w:spacing w:before="40" w:after="40"/>
              <w:ind w:right="0"/>
              <w:jc w:val="left"/>
              <w:rPr>
                <w:rtl w:val="0"/>
                <w:lang w:val="en-US"/>
              </w:rPr>
            </w:pPr>
            <w:r>
              <w:rPr>
                <w:rFonts w:ascii="Arial" w:hAnsi="Arial"/>
                <w:shd w:val="nil" w:color="auto" w:fill="auto"/>
                <w:rtl w:val="0"/>
                <w:lang w:val="en-US"/>
              </w:rPr>
              <w:t>The critical management studies critique of CSR argues that responsible business discourse depoliticises questions of corporate power. Does Patagonia</w:t>
            </w:r>
            <w:r>
              <w:rPr>
                <w:rFonts w:ascii="Arial" w:hAnsi="Arial" w:hint="default"/>
                <w:shd w:val="nil" w:color="auto" w:fill="auto"/>
                <w:rtl w:val="1"/>
              </w:rPr>
              <w:t>’</w:t>
            </w:r>
            <w:r>
              <w:rPr>
                <w:rFonts w:ascii="Arial" w:hAnsi="Arial"/>
                <w:shd w:val="nil" w:color="auto" w:fill="auto"/>
                <w:rtl w:val="0"/>
                <w:lang w:val="en-US"/>
              </w:rPr>
              <w:t>s approach support or challenge that critique?</w:t>
            </w:r>
          </w:p>
          <w:p>
            <w:pPr>
              <w:pStyle w:val="List Paragraph"/>
              <w:numPr>
                <w:ilvl w:val="0"/>
                <w:numId w:val="8"/>
              </w:numPr>
              <w:bidi w:val="0"/>
              <w:spacing w:before="40" w:after="40"/>
              <w:ind w:right="0"/>
              <w:jc w:val="left"/>
              <w:rPr>
                <w:rtl w:val="0"/>
                <w:lang w:val="en-US"/>
              </w:rPr>
            </w:pPr>
            <w:r>
              <w:rPr>
                <w:rFonts w:ascii="Arial" w:hAnsi="Arial"/>
                <w:shd w:val="nil" w:color="auto" w:fill="auto"/>
                <w:rtl w:val="0"/>
                <w:lang w:val="en-US"/>
              </w:rPr>
              <w:t xml:space="preserve">What would it mean for your own leadership practice to take the Patagonia case seriously </w:t>
            </w:r>
            <w:r>
              <w:rPr>
                <w:rFonts w:ascii="Arial" w:hAnsi="Arial" w:hint="default"/>
                <w:shd w:val="nil" w:color="auto" w:fill="auto"/>
                <w:rtl w:val="0"/>
                <w:lang w:val="en-US"/>
              </w:rPr>
              <w:t xml:space="preserve">— </w:t>
            </w:r>
            <w:r>
              <w:rPr>
                <w:rFonts w:ascii="Arial" w:hAnsi="Arial"/>
                <w:shd w:val="nil" w:color="auto" w:fill="auto"/>
                <w:rtl w:val="0"/>
                <w:lang w:val="en-US"/>
              </w:rPr>
              <w:t>not as a model to admire but as a limit case that reveals both what responsible leadership can achieve and what it cannot?</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b w:val="1"/>
          <w:bCs w:val="1"/>
          <w:outline w:val="0"/>
          <w:color w:val="1a5276"/>
          <w:sz w:val="28"/>
          <w:szCs w:val="28"/>
          <w:u w:color="1a5276"/>
          <w:rtl w:val="0"/>
          <w:lang w:val="en-US"/>
          <w14:textFill>
            <w14:solidFill>
              <w14:srgbClr w14:val="1A5276"/>
            </w14:solidFill>
          </w14:textFill>
        </w:rPr>
        <w:t>Cross-case synthesis questions</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rtl w:val="0"/>
          <w:lang w:val="en-US"/>
        </w:rPr>
        <w:t>These questions ask students to work across both cases and connect to the broader responsible leadership framework.</w:t>
      </w: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63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Q1  </w:t>
            </w:r>
            <w:r>
              <w:rPr>
                <w:rFonts w:ascii="Arial" w:hAnsi="Arial"/>
                <w:b w:val="1"/>
                <w:bCs w:val="1"/>
                <w:sz w:val="22"/>
                <w:szCs w:val="22"/>
                <w:u w:color="000000"/>
                <w:shd w:val="nil" w:color="auto" w:fill="auto"/>
                <w:rtl w:val="0"/>
                <w:lang w:val="en-US"/>
              </w:rPr>
              <w:t>VW and Patagonia represent opposite ends of the responsible leadership spectrum. What does each case reveal that the other obscures?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r>
              <w:rPr>
                <w:rFonts w:ascii="Arial" w:hAnsi="Arial"/>
                <w:b w:val="1"/>
                <w:bCs w:val="1"/>
                <w:outline w:val="0"/>
                <w:color w:val="185fa5"/>
                <w:sz w:val="18"/>
                <w:szCs w:val="18"/>
                <w:u w:color="185fa5"/>
                <w:shd w:val="nil" w:color="auto" w:fill="auto"/>
                <w:rtl w:val="0"/>
                <w:lang w:val="en-US"/>
                <w14:textFill>
                  <w14:solidFill>
                    <w14:srgbClr w14:val="185FA5"/>
                  </w14:solidFill>
                </w14:textFill>
              </w:rPr>
              <w:t xml:space="preserve"> [Ethical] </w:t>
            </w:r>
          </w:p>
          <w:p>
            <w:pPr>
              <w:pStyle w:val="List Paragraph"/>
              <w:numPr>
                <w:ilvl w:val="0"/>
                <w:numId w:val="9"/>
              </w:numPr>
              <w:bidi w:val="0"/>
              <w:spacing w:before="40" w:after="40"/>
              <w:ind w:right="0"/>
              <w:jc w:val="left"/>
              <w:rPr>
                <w:rtl w:val="0"/>
                <w:lang w:val="en-US"/>
              </w:rPr>
            </w:pPr>
            <w:r>
              <w:rPr>
                <w:rFonts w:ascii="Arial" w:hAnsi="Arial"/>
                <w:shd w:val="nil" w:color="auto" w:fill="auto"/>
                <w:rtl w:val="0"/>
                <w:lang w:val="en-US"/>
              </w:rPr>
              <w:t>VW shows what happens when responsible leadership fails systemically. Patagonia shows what responsible leadership looks like when conditions are most favourable. What sits between them?</w:t>
            </w:r>
          </w:p>
          <w:p>
            <w:pPr>
              <w:pStyle w:val="List Paragraph"/>
              <w:numPr>
                <w:ilvl w:val="0"/>
                <w:numId w:val="9"/>
              </w:numPr>
              <w:bidi w:val="0"/>
              <w:spacing w:before="40" w:after="40"/>
              <w:ind w:right="0"/>
              <w:jc w:val="left"/>
              <w:rPr>
                <w:rtl w:val="0"/>
                <w:lang w:val="en-US"/>
              </w:rPr>
            </w:pPr>
            <w:r>
              <w:rPr>
                <w:rFonts w:ascii="Arial" w:hAnsi="Arial"/>
                <w:shd w:val="nil" w:color="auto" w:fill="auto"/>
                <w:rtl w:val="0"/>
                <w:lang w:val="en-US"/>
              </w:rPr>
              <w:t xml:space="preserve">Which of the four skill domains </w:t>
            </w:r>
            <w:r>
              <w:rPr>
                <w:rFonts w:ascii="Arial" w:hAnsi="Arial" w:hint="default"/>
                <w:shd w:val="nil" w:color="auto" w:fill="auto"/>
                <w:rtl w:val="0"/>
                <w:lang w:val="en-US"/>
              </w:rPr>
              <w:t xml:space="preserve">— </w:t>
            </w:r>
            <w:r>
              <w:rPr>
                <w:rFonts w:ascii="Arial" w:hAnsi="Arial"/>
                <w:shd w:val="nil" w:color="auto" w:fill="auto"/>
                <w:rtl w:val="0"/>
                <w:lang w:val="en-US"/>
              </w:rPr>
              <w:t xml:space="preserve">cognitive, relational, ethical, political </w:t>
            </w:r>
            <w:r>
              <w:rPr>
                <w:rFonts w:ascii="Arial" w:hAnsi="Arial" w:hint="default"/>
                <w:shd w:val="nil" w:color="auto" w:fill="auto"/>
                <w:rtl w:val="0"/>
                <w:lang w:val="en-US"/>
              </w:rPr>
              <w:t xml:space="preserve">— </w:t>
            </w:r>
            <w:r>
              <w:rPr>
                <w:rFonts w:ascii="Arial" w:hAnsi="Arial"/>
                <w:shd w:val="nil" w:color="auto" w:fill="auto"/>
                <w:rtl w:val="0"/>
                <w:lang w:val="en-US"/>
              </w:rPr>
              <w:t>is most visible in each case? What does the distribution tell us?</w:t>
            </w:r>
          </w:p>
          <w:p>
            <w:pPr>
              <w:pStyle w:val="List Paragraph"/>
              <w:numPr>
                <w:ilvl w:val="0"/>
                <w:numId w:val="9"/>
              </w:numPr>
              <w:bidi w:val="0"/>
              <w:spacing w:before="40" w:after="40"/>
              <w:ind w:right="0"/>
              <w:jc w:val="left"/>
              <w:rPr>
                <w:rtl w:val="0"/>
                <w:lang w:val="en-US"/>
              </w:rPr>
            </w:pPr>
            <w:r>
              <w:rPr>
                <w:rFonts w:ascii="Arial" w:hAnsi="Arial"/>
                <w:shd w:val="nil" w:color="auto" w:fill="auto"/>
                <w:rtl w:val="0"/>
                <w:lang w:val="en-US"/>
              </w:rPr>
              <w:t>If you were designing a responsible leadership development programme based on these two cases, what would its core components be?</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2634" w:hRule="atLeast"/>
        </w:trPr>
        <w:tc>
          <w:tcPr>
            <w:tcW w:type="dxa" w:w="9026"/>
            <w:tcBorders>
              <w:top w:val="single" w:color="2e3a8c" w:sz="6" w:space="0" w:shadow="0" w:frame="0"/>
              <w:left w:val="single" w:color="cccccc" w:sz="1" w:space="0" w:shadow="0" w:frame="0"/>
              <w:bottom w:val="single" w:color="cccccc" w:sz="1" w:space="0" w:shadow="0" w:frame="0"/>
              <w:right w:val="single" w:color="cccccc" w:sz="1" w:space="0" w:shadow="0" w:frame="0"/>
            </w:tcBorders>
            <w:shd w:val="clear" w:color="auto" w:fill="ebf5fb"/>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2e3a8c"/>
                <w:sz w:val="22"/>
                <w:szCs w:val="22"/>
                <w:u w:color="2e3a8c"/>
                <w:shd w:val="nil" w:color="auto" w:fill="auto"/>
                <w:rtl w:val="0"/>
                <w14:textFill>
                  <w14:solidFill>
                    <w14:srgbClr w14:val="2E3A8C"/>
                  </w14:solidFill>
                </w14:textFill>
              </w:rPr>
              <w:t xml:space="preserve">Q2  </w:t>
            </w:r>
            <w:r>
              <w:rPr>
                <w:rFonts w:ascii="Arial" w:hAnsi="Arial"/>
                <w:b w:val="1"/>
                <w:bCs w:val="1"/>
                <w:sz w:val="22"/>
                <w:szCs w:val="22"/>
                <w:u w:color="000000"/>
                <w:shd w:val="nil" w:color="auto" w:fill="auto"/>
                <w:rtl w:val="0"/>
                <w:lang w:val="en-US"/>
              </w:rPr>
              <w:t>Both cases involve the relationship between individual leadership and institutional structure. What is the right balance?</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i w:val="1"/>
                <w:iCs w:val="1"/>
                <w:outline w:val="0"/>
                <w:color w:val="555555"/>
                <w:sz w:val="18"/>
                <w:szCs w:val="18"/>
                <w:u w:color="555555"/>
                <w:shd w:val="nil" w:color="auto" w:fill="auto"/>
                <w:rtl w:val="0"/>
                <w:lang w:val="en-US"/>
                <w14:textFill>
                  <w14:solidFill>
                    <w14:srgbClr w14:val="555555"/>
                  </w14:solidFill>
                </w14:textFill>
              </w:rPr>
              <w:t xml:space="preserve">Skill domains: </w:t>
            </w:r>
            <w:r>
              <w:rPr>
                <w:rFonts w:ascii="Arial" w:hAnsi="Arial"/>
                <w:b w:val="1"/>
                <w:bCs w:val="1"/>
                <w:outline w:val="0"/>
                <w:color w:val="854f0b"/>
                <w:sz w:val="18"/>
                <w:szCs w:val="18"/>
                <w:u w:color="854f0b"/>
                <w:shd w:val="nil" w:color="auto" w:fill="auto"/>
                <w:rtl w:val="0"/>
                <w:lang w:val="pt-PT"/>
                <w14:textFill>
                  <w14:solidFill>
                    <w14:srgbClr w14:val="854F0B"/>
                  </w14:solidFill>
                </w14:textFill>
              </w:rPr>
              <w:t xml:space="preserve"> [Political] </w:t>
            </w:r>
            <w:r>
              <w:rPr>
                <w:rFonts w:ascii="Arial" w:hAnsi="Arial"/>
                <w:b w:val="1"/>
                <w:bCs w:val="1"/>
                <w:outline w:val="0"/>
                <w:color w:val="534ab7"/>
                <w:sz w:val="18"/>
                <w:szCs w:val="18"/>
                <w:u w:color="534ab7"/>
                <w:shd w:val="nil" w:color="auto" w:fill="auto"/>
                <w:rtl w:val="0"/>
                <w:lang w:val="en-US"/>
                <w14:textFill>
                  <w14:solidFill>
                    <w14:srgbClr w14:val="534AB7"/>
                  </w14:solidFill>
                </w14:textFill>
              </w:rPr>
              <w:t xml:space="preserve"> [Cognitive] </w:t>
            </w:r>
          </w:p>
          <w:p>
            <w:pPr>
              <w:pStyle w:val="List Paragraph"/>
              <w:numPr>
                <w:ilvl w:val="0"/>
                <w:numId w:val="10"/>
              </w:numPr>
              <w:bidi w:val="0"/>
              <w:spacing w:before="40" w:after="40"/>
              <w:ind w:right="0"/>
              <w:jc w:val="left"/>
              <w:rPr>
                <w:rtl w:val="0"/>
                <w:lang w:val="en-US"/>
              </w:rPr>
            </w:pPr>
            <w:r>
              <w:rPr>
                <w:rFonts w:ascii="Arial" w:hAnsi="Arial"/>
                <w:shd w:val="nil" w:color="auto" w:fill="auto"/>
                <w:rtl w:val="0"/>
                <w:lang w:val="en-US"/>
              </w:rPr>
              <w:t>Apply Waldman and Galvin</w:t>
            </w:r>
            <w:r>
              <w:rPr>
                <w:rFonts w:ascii="Arial" w:hAnsi="Arial" w:hint="default"/>
                <w:shd w:val="nil" w:color="auto" w:fill="auto"/>
                <w:rtl w:val="1"/>
              </w:rPr>
              <w:t>’</w:t>
            </w:r>
            <w:r>
              <w:rPr>
                <w:rFonts w:ascii="Arial" w:hAnsi="Arial"/>
                <w:shd w:val="nil" w:color="auto" w:fill="auto"/>
                <w:rtl w:val="0"/>
                <w:lang w:val="en-US"/>
              </w:rPr>
              <w:t>s structural argument to both cases. In which case is individual leadership more or less constrained by institutional structure?</w:t>
            </w:r>
          </w:p>
          <w:p>
            <w:pPr>
              <w:pStyle w:val="List Paragraph"/>
              <w:numPr>
                <w:ilvl w:val="0"/>
                <w:numId w:val="10"/>
              </w:numPr>
              <w:bidi w:val="0"/>
              <w:spacing w:before="40" w:after="40"/>
              <w:ind w:right="0"/>
              <w:jc w:val="left"/>
              <w:rPr>
                <w:rtl w:val="0"/>
                <w:lang w:val="en-US"/>
              </w:rPr>
            </w:pPr>
            <w:r>
              <w:rPr>
                <w:rFonts w:ascii="Arial" w:hAnsi="Arial"/>
                <w:shd w:val="nil" w:color="auto" w:fill="auto"/>
                <w:rtl w:val="0"/>
                <w:lang w:val="en-US"/>
              </w:rPr>
              <w:t>The critical management studies tradition argues that focusing on individual responsible leaders distracts from the need for systemic institutional change. Do these cases support or challenge that argument?</w:t>
            </w:r>
          </w:p>
          <w:p>
            <w:pPr>
              <w:pStyle w:val="List Paragraph"/>
              <w:numPr>
                <w:ilvl w:val="0"/>
                <w:numId w:val="10"/>
              </w:numPr>
              <w:bidi w:val="0"/>
              <w:spacing w:before="40" w:after="40"/>
              <w:ind w:right="0"/>
              <w:jc w:val="left"/>
              <w:rPr>
                <w:rtl w:val="0"/>
                <w:lang w:val="en-US"/>
              </w:rPr>
            </w:pPr>
            <w:r>
              <w:rPr>
                <w:rFonts w:ascii="Arial" w:hAnsi="Arial"/>
                <w:shd w:val="nil" w:color="auto" w:fill="auto"/>
                <w:rtl w:val="0"/>
                <w:lang w:val="en-US"/>
              </w:rPr>
              <w:t>What does your answer imply for how responsible leadership should be taught and developed at MBA level?</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tbl>
      <w:tblPr>
        <w:tblW w:w="902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026"/>
      </w:tblGrid>
      <w:tr>
        <w:tblPrEx>
          <w:shd w:val="clear" w:color="auto" w:fill="ced7e7"/>
        </w:tblPrEx>
        <w:trPr>
          <w:trHeight w:val="5373" w:hRule="atLeast"/>
        </w:trPr>
        <w:tc>
          <w:tcPr>
            <w:tcW w:type="dxa" w:w="9026"/>
            <w:tcBorders>
              <w:top w:val="single" w:color="7d3c98" w:sz="6" w:space="0" w:shadow="0" w:frame="0"/>
              <w:left w:val="single" w:color="cccccc" w:sz="1" w:space="0" w:shadow="0" w:frame="0"/>
              <w:bottom w:val="single" w:color="cccccc" w:sz="1" w:space="0" w:shadow="0" w:frame="0"/>
              <w:right w:val="single" w:color="cccccc" w:sz="1" w:space="0" w:shadow="0" w:frame="0"/>
            </w:tcBorders>
            <w:shd w:val="clear" w:color="auto" w:fill="f9ebff"/>
            <w:tcMar>
              <w:top w:type="dxa" w:w="80"/>
              <w:left w:type="dxa" w:w="80"/>
              <w:bottom w:type="dxa" w:w="80"/>
              <w:right w:type="dxa" w:w="80"/>
            </w:tcMar>
            <w:vAlign w:val="top"/>
          </w:tcPr>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bidi w:val="0"/>
              <w:ind w:left="0" w:right="0" w:firstLine="0"/>
              <w:jc w:val="left"/>
              <w:rPr>
                <w:rFonts w:ascii="Times New Roman" w:cs="Times New Roman" w:hAnsi="Times New Roman" w:eastAsia="Times New Roman"/>
                <w:sz w:val="20"/>
                <w:szCs w:val="20"/>
                <w:shd w:val="nil" w:color="auto" w:fill="auto"/>
                <w:rtl w:val="0"/>
              </w:rPr>
            </w:pPr>
            <w:r>
              <w:rPr>
                <w:rFonts w:ascii="Arial" w:hAnsi="Arial"/>
                <w:b w:val="1"/>
                <w:bCs w:val="1"/>
                <w:outline w:val="0"/>
                <w:color w:val="7d3c98"/>
                <w:sz w:val="22"/>
                <w:szCs w:val="22"/>
                <w:u w:color="7d3c98"/>
                <w:shd w:val="nil" w:color="auto" w:fill="auto"/>
                <w:rtl w:val="0"/>
                <w:lang w:val="en-US"/>
                <w14:textFill>
                  <w14:solidFill>
                    <w14:srgbClr w14:val="7D3C98"/>
                  </w14:solidFill>
                </w14:textFill>
              </w:rPr>
              <w:t>Key references for these cases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rPr>
              <w:t xml:space="preserve">Maak, T. and Pless, N.M. (2006) </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Responsible leadership in a stakeholder society</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 Journal of Business Ethics, 66(1), pp. 99</w:t>
            </w:r>
            <w:r>
              <w:rPr>
                <w:rFonts w:ascii="Arial" w:hAnsi="Arial" w:hint="default"/>
                <w:sz w:val="22"/>
                <w:szCs w:val="22"/>
                <w:u w:color="000000"/>
                <w:shd w:val="nil" w:color="auto" w:fill="auto"/>
                <w:rtl w:val="0"/>
              </w:rPr>
              <w:t>–</w:t>
            </w:r>
            <w:r>
              <w:rPr>
                <w:rFonts w:ascii="Arial" w:hAnsi="Arial"/>
                <w:sz w:val="22"/>
                <w:szCs w:val="22"/>
                <w:u w:color="000000"/>
                <w:shd w:val="nil" w:color="auto" w:fill="auto"/>
                <w:rtl w:val="0"/>
              </w:rPr>
              <w:t>115.</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rPr>
              <w:t xml:space="preserve">Waldman, D.A. and Galvin, B.M. (2008) </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Alternative perspectives of responsible leadership</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 Organizational Dynamics, 37(4), pp. 327</w:t>
            </w:r>
            <w:r>
              <w:rPr>
                <w:rFonts w:ascii="Arial" w:hAnsi="Arial" w:hint="default"/>
                <w:sz w:val="22"/>
                <w:szCs w:val="22"/>
                <w:u w:color="000000"/>
                <w:shd w:val="nil" w:color="auto" w:fill="auto"/>
                <w:rtl w:val="0"/>
              </w:rPr>
              <w:t>–</w:t>
            </w:r>
            <w:r>
              <w:rPr>
                <w:rFonts w:ascii="Arial" w:hAnsi="Arial"/>
                <w:sz w:val="22"/>
                <w:szCs w:val="22"/>
                <w:u w:color="000000"/>
                <w:shd w:val="nil" w:color="auto" w:fill="auto"/>
                <w:rtl w:val="0"/>
              </w:rPr>
              <w:t>341.</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Werhane, P.H. (1999) Moral Imagination and Management Decision-Making. Oxford: Oxford University Press.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en-US"/>
              </w:rPr>
              <w:t>Mayer, C. (2018) Prosperity: Better Business Makes the Greater Good. Oxford: Oxford University Press.</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lang w:val="it-IT"/>
              </w:rPr>
              <w:t xml:space="preserve">Scherer, A.G. and Palazzo, G. (2011) </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The new political role of business in a globalized world</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 Journal of Management Studies, 48(4), pp. 899</w:t>
            </w:r>
            <w:r>
              <w:rPr>
                <w:rFonts w:ascii="Arial" w:hAnsi="Arial" w:hint="default"/>
                <w:sz w:val="22"/>
                <w:szCs w:val="22"/>
                <w:u w:color="000000"/>
                <w:shd w:val="nil" w:color="auto" w:fill="auto"/>
                <w:rtl w:val="0"/>
              </w:rPr>
              <w:t>–</w:t>
            </w:r>
            <w:r>
              <w:rPr>
                <w:rFonts w:ascii="Arial" w:hAnsi="Arial"/>
                <w:sz w:val="22"/>
                <w:szCs w:val="22"/>
                <w:u w:color="000000"/>
                <w:shd w:val="nil" w:color="auto" w:fill="auto"/>
                <w:rtl w:val="0"/>
              </w:rPr>
              <w:t>931.</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cs="Times New Roman" w:hAnsi="Times New Roman" w:eastAsia="Times New Roman"/>
                <w:sz w:val="20"/>
                <w:szCs w:val="20"/>
                <w:shd w:val="nil" w:color="auto" w:fill="auto"/>
              </w:rPr>
            </w:pPr>
            <w:r>
              <w:rPr>
                <w:rFonts w:ascii="Arial" w:hAnsi="Arial"/>
                <w:sz w:val="22"/>
                <w:szCs w:val="22"/>
                <w:u w:color="000000"/>
                <w:shd w:val="nil" w:color="auto" w:fill="auto"/>
                <w:rtl w:val="0"/>
              </w:rPr>
              <w:t xml:space="preserve">Oliver, C. (1991) </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Strategic responses to institutional processes</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 Academy of Management Review, 16(1), pp. 145</w:t>
            </w:r>
            <w:r>
              <w:rPr>
                <w:rFonts w:ascii="Arial" w:hAnsi="Arial" w:hint="default"/>
                <w:sz w:val="22"/>
                <w:szCs w:val="22"/>
                <w:u w:color="000000"/>
                <w:shd w:val="nil" w:color="auto" w:fill="auto"/>
                <w:rtl w:val="0"/>
              </w:rPr>
              <w:t>–</w:t>
            </w:r>
            <w:r>
              <w:rPr>
                <w:rFonts w:ascii="Arial" w:hAnsi="Arial"/>
                <w:sz w:val="22"/>
                <w:szCs w:val="22"/>
                <w:u w:color="000000"/>
                <w:shd w:val="nil" w:color="auto" w:fill="auto"/>
                <w:rtl w:val="0"/>
              </w:rPr>
              <w:t>179.</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sz w:val="22"/>
                <w:szCs w:val="22"/>
                <w:u w:color="000000"/>
                <w:shd w:val="nil" w:color="auto" w:fill="auto"/>
                <w:rtl w:val="0"/>
                <w:lang w:val="en-US"/>
              </w:rPr>
              <w:t>Hirschman, A.O. (1970) Exit, Voice, and Loyalty. Cambridge, MA: Harvard University Press.</w:t>
            </w:r>
          </w:p>
        </w:tc>
      </w:tr>
    </w:tbl>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pPr>
        <w:pStyle w:val="Body"/>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rFonts w:ascii="Arial" w:hAnsi="Arial"/>
          <w:i w:val="1"/>
          <w:iCs w:val="1"/>
          <w:outline w:val="0"/>
          <w:color w:val="999999"/>
          <w:sz w:val="18"/>
          <w:szCs w:val="18"/>
          <w:u w:color="999999"/>
          <w:rtl w:val="0"/>
          <w:lang w:val="de-DE"/>
          <w14:textFill>
            <w14:solidFill>
              <w14:srgbClr w14:val="999999"/>
            </w14:solidFill>
          </w14:textFill>
        </w:rPr>
        <w:t>MBA Global Business Challenges  |  Swansea Business School, UWTSD</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