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77B8C" w14:textId="5F6A8815" w:rsidR="00711D13" w:rsidRDefault="00711D13" w:rsidP="00166EB2">
      <w:pPr>
        <w:spacing w:line="360" w:lineRule="auto"/>
        <w:rPr>
          <w:b/>
          <w:bCs/>
          <w:sz w:val="24"/>
          <w:szCs w:val="24"/>
          <w:lang w:val="en-GB"/>
        </w:rPr>
      </w:pPr>
    </w:p>
    <w:p w14:paraId="2639E351" w14:textId="77777777" w:rsidR="00BC3BE7" w:rsidRDefault="00A157CE" w:rsidP="003032BC">
      <w:pPr>
        <w:pStyle w:val="Title"/>
      </w:pPr>
      <w:r>
        <w:t xml:space="preserve">                     </w:t>
      </w:r>
      <w:r w:rsidR="00176F32">
        <w:rPr>
          <w:noProof/>
        </w:rPr>
        <w:drawing>
          <wp:inline distT="0" distB="0" distL="0" distR="0" wp14:anchorId="5ABF06A3" wp14:editId="5D5A63FB">
            <wp:extent cx="8576945" cy="4284345"/>
            <wp:effectExtent l="0" t="0" r="0" b="1905"/>
            <wp:docPr id="1536974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76945" cy="4284345"/>
                    </a:xfrm>
                    <a:prstGeom prst="rect">
                      <a:avLst/>
                    </a:prstGeom>
                    <a:noFill/>
                    <a:ln>
                      <a:noFill/>
                    </a:ln>
                  </pic:spPr>
                </pic:pic>
              </a:graphicData>
            </a:graphic>
          </wp:inline>
        </w:drawing>
      </w:r>
    </w:p>
    <w:p w14:paraId="308DD807" w14:textId="53F6F5A2" w:rsidR="00711D13" w:rsidRPr="003032BC" w:rsidRDefault="00BC3BE7" w:rsidP="003032BC">
      <w:pPr>
        <w:pStyle w:val="Title"/>
        <w:rPr>
          <w:kern w:val="0"/>
        </w:rPr>
      </w:pPr>
      <w:r>
        <w:t xml:space="preserve">  </w:t>
      </w:r>
      <w:r w:rsidR="00E77D08">
        <w:t xml:space="preserve">Academic </w:t>
      </w:r>
      <w:r>
        <w:t>Report</w:t>
      </w:r>
    </w:p>
    <w:p w14:paraId="061548CC" w14:textId="5FC252C0" w:rsidR="00C80F0B" w:rsidRDefault="00C80F0B">
      <w:pPr>
        <w:rPr>
          <w:b/>
          <w:bCs/>
          <w:sz w:val="24"/>
          <w:szCs w:val="24"/>
        </w:rPr>
      </w:pPr>
      <w:r>
        <w:rPr>
          <w:b/>
          <w:bCs/>
          <w:sz w:val="24"/>
          <w:szCs w:val="24"/>
        </w:rPr>
        <w:t>Module Name: Introduction to Public Health</w:t>
      </w:r>
      <w:r w:rsidR="00DE3152">
        <w:rPr>
          <w:b/>
          <w:bCs/>
          <w:sz w:val="24"/>
          <w:szCs w:val="24"/>
        </w:rPr>
        <w:t>.</w:t>
      </w:r>
    </w:p>
    <w:p w14:paraId="11CAEEE1" w14:textId="77777777" w:rsidR="002E6383" w:rsidRDefault="002E6383">
      <w:pPr>
        <w:rPr>
          <w:b/>
          <w:bCs/>
          <w:sz w:val="24"/>
          <w:szCs w:val="24"/>
        </w:rPr>
      </w:pPr>
    </w:p>
    <w:p w14:paraId="408E7BE6" w14:textId="14997FA3" w:rsidR="00C80F0B" w:rsidRDefault="00C80F0B">
      <w:pPr>
        <w:rPr>
          <w:b/>
          <w:bCs/>
          <w:sz w:val="24"/>
          <w:szCs w:val="24"/>
        </w:rPr>
      </w:pPr>
      <w:r>
        <w:rPr>
          <w:b/>
          <w:bCs/>
          <w:sz w:val="24"/>
          <w:szCs w:val="24"/>
        </w:rPr>
        <w:t>Module Number: LCHS4008</w:t>
      </w:r>
      <w:r w:rsidR="00DE3152">
        <w:rPr>
          <w:b/>
          <w:bCs/>
          <w:sz w:val="24"/>
          <w:szCs w:val="24"/>
        </w:rPr>
        <w:t>.</w:t>
      </w:r>
    </w:p>
    <w:p w14:paraId="4CA54834" w14:textId="5BEFABAA" w:rsidR="00711D13" w:rsidRDefault="00C80F0B">
      <w:pPr>
        <w:rPr>
          <w:sz w:val="24"/>
          <w:szCs w:val="24"/>
        </w:rPr>
      </w:pPr>
      <w:r>
        <w:rPr>
          <w:b/>
          <w:bCs/>
          <w:sz w:val="24"/>
          <w:szCs w:val="24"/>
        </w:rPr>
        <w:t>Student Name</w:t>
      </w:r>
      <w:r w:rsidR="00711D13">
        <w:rPr>
          <w:b/>
          <w:bCs/>
          <w:sz w:val="24"/>
          <w:szCs w:val="24"/>
        </w:rPr>
        <w:t>:</w:t>
      </w:r>
      <w:r w:rsidR="00711D13">
        <w:rPr>
          <w:sz w:val="24"/>
          <w:szCs w:val="24"/>
        </w:rPr>
        <w:t xml:space="preserve"> </w:t>
      </w:r>
      <w:r w:rsidR="007A7422" w:rsidRPr="007974B4">
        <w:rPr>
          <w:b/>
          <w:bCs/>
          <w:sz w:val="24"/>
          <w:szCs w:val="24"/>
        </w:rPr>
        <w:t>Gillian Gibbs (2508019</w:t>
      </w:r>
      <w:r w:rsidR="008072AB" w:rsidRPr="007974B4">
        <w:rPr>
          <w:b/>
          <w:bCs/>
          <w:sz w:val="24"/>
          <w:szCs w:val="24"/>
        </w:rPr>
        <w:t>)</w:t>
      </w:r>
      <w:r w:rsidR="00DE3152" w:rsidRPr="007974B4">
        <w:rPr>
          <w:b/>
          <w:bCs/>
          <w:sz w:val="24"/>
          <w:szCs w:val="24"/>
        </w:rPr>
        <w:t>.</w:t>
      </w:r>
    </w:p>
    <w:p w14:paraId="3622322F" w14:textId="1B064E1F" w:rsidR="008072AB" w:rsidRDefault="008072AB">
      <w:pPr>
        <w:rPr>
          <w:b/>
          <w:bCs/>
          <w:sz w:val="24"/>
          <w:szCs w:val="24"/>
        </w:rPr>
      </w:pPr>
      <w:r w:rsidRPr="00F9248E">
        <w:rPr>
          <w:b/>
          <w:bCs/>
          <w:sz w:val="24"/>
          <w:szCs w:val="24"/>
        </w:rPr>
        <w:t xml:space="preserve">Lecturer </w:t>
      </w:r>
      <w:r w:rsidR="00F9248E" w:rsidRPr="00F9248E">
        <w:rPr>
          <w:b/>
          <w:bCs/>
          <w:sz w:val="24"/>
          <w:szCs w:val="24"/>
        </w:rPr>
        <w:t>Name:</w:t>
      </w:r>
      <w:r w:rsidR="00F9248E">
        <w:rPr>
          <w:b/>
          <w:bCs/>
          <w:sz w:val="24"/>
          <w:szCs w:val="24"/>
        </w:rPr>
        <w:t xml:space="preserve"> Ziko Shepherd</w:t>
      </w:r>
      <w:r w:rsidR="00DE3152">
        <w:rPr>
          <w:b/>
          <w:bCs/>
          <w:sz w:val="24"/>
          <w:szCs w:val="24"/>
        </w:rPr>
        <w:t>.</w:t>
      </w:r>
    </w:p>
    <w:p w14:paraId="5F2911D3" w14:textId="61A8926D" w:rsidR="00AF4CBF" w:rsidRPr="00F9248E" w:rsidRDefault="00DE3152">
      <w:pPr>
        <w:rPr>
          <w:b/>
          <w:bCs/>
        </w:rPr>
      </w:pPr>
      <w:r>
        <w:rPr>
          <w:b/>
          <w:bCs/>
          <w:sz w:val="24"/>
          <w:szCs w:val="24"/>
        </w:rPr>
        <w:t>Submission Date: 21 April 2026.</w:t>
      </w:r>
    </w:p>
    <w:p w14:paraId="7BCFCD8D" w14:textId="505132A0" w:rsidR="00711D13" w:rsidRDefault="00711D13"/>
    <w:p w14:paraId="6E0D922E" w14:textId="79134FBD" w:rsidR="00711D13" w:rsidRDefault="00711D13"/>
    <w:p w14:paraId="19ADE793" w14:textId="77777777" w:rsidR="00711D13" w:rsidRDefault="00711D13">
      <w:r>
        <w:rPr>
          <w:b/>
          <w:bCs/>
          <w:sz w:val="24"/>
          <w:szCs w:val="24"/>
        </w:rPr>
        <w:t>Confidentiality Statement:</w:t>
      </w:r>
    </w:p>
    <w:p w14:paraId="3F99A56E" w14:textId="77777777" w:rsidR="00711D13" w:rsidRDefault="00711D13">
      <w:r>
        <w:t xml:space="preserve">This document is intended for internal use and should not be distributed without permission. </w:t>
      </w:r>
    </w:p>
    <w:p w14:paraId="046C3B31" w14:textId="77777777" w:rsidR="00711D13" w:rsidRDefault="00711D13">
      <w:r>
        <w:rPr>
          <w:b/>
          <w:bCs/>
          <w:sz w:val="24"/>
          <w:szCs w:val="24"/>
        </w:rPr>
        <w:t>Abstract:</w:t>
      </w:r>
    </w:p>
    <w:p w14:paraId="47276C31" w14:textId="77777777" w:rsidR="00711D13" w:rsidRDefault="00711D13">
      <w:r>
        <w:t xml:space="preserve">This report provides a comprehensive analysis of stroke, focusing on its measurement, monitoring, and control. Key determinants and risk factors are explored, alongside public health consequences and strategies to support health and well-being. </w:t>
      </w:r>
    </w:p>
    <w:p w14:paraId="52F5340E" w14:textId="3A982D0C" w:rsidR="006A0026" w:rsidRPr="00772E8F" w:rsidRDefault="006A0026" w:rsidP="00166EB2">
      <w:pPr>
        <w:spacing w:line="360" w:lineRule="auto"/>
        <w:rPr>
          <w:b/>
          <w:bCs/>
          <w:sz w:val="28"/>
          <w:szCs w:val="28"/>
          <w:lang w:val="en-GB"/>
        </w:rPr>
      </w:pPr>
      <w:r w:rsidRPr="00772E8F">
        <w:rPr>
          <w:b/>
          <w:bCs/>
          <w:sz w:val="28"/>
          <w:szCs w:val="28"/>
          <w:lang w:val="en-GB"/>
        </w:rPr>
        <w:t>Stroke: A Public Health Report</w:t>
      </w:r>
    </w:p>
    <w:p w14:paraId="5C894F35" w14:textId="77777777" w:rsidR="00777F7D" w:rsidRDefault="00777F7D">
      <w:pPr>
        <w:rPr>
          <w:b/>
          <w:bCs/>
          <w:sz w:val="24"/>
          <w:szCs w:val="24"/>
          <w:lang w:val="en-GB"/>
        </w:rPr>
      </w:pPr>
      <w:r>
        <w:rPr>
          <w:b/>
          <w:bCs/>
          <w:sz w:val="24"/>
          <w:szCs w:val="24"/>
          <w:lang w:val="en-GB"/>
        </w:rPr>
        <w:br w:type="page"/>
      </w:r>
    </w:p>
    <w:sdt>
      <w:sdtPr>
        <w:rPr>
          <w:rFonts w:ascii="Arial" w:eastAsiaTheme="minorEastAsia" w:hAnsi="Arial" w:cstheme="minorBidi"/>
          <w:b w:val="0"/>
          <w:bCs w:val="0"/>
          <w:color w:val="auto"/>
          <w:sz w:val="22"/>
          <w:szCs w:val="22"/>
        </w:rPr>
        <w:id w:val="723182169"/>
        <w:docPartObj>
          <w:docPartGallery w:val="Table of Contents"/>
          <w:docPartUnique/>
        </w:docPartObj>
      </w:sdtPr>
      <w:sdtEndPr>
        <w:rPr>
          <w:noProof/>
        </w:rPr>
      </w:sdtEndPr>
      <w:sdtContent>
        <w:p w14:paraId="0D590340" w14:textId="5A1CC44E" w:rsidR="00777F7D" w:rsidRDefault="00777F7D">
          <w:pPr>
            <w:pStyle w:val="TOCHeading"/>
          </w:pPr>
          <w:r>
            <w:t>Table of Contents</w:t>
          </w:r>
        </w:p>
        <w:p w14:paraId="38AEECE6" w14:textId="6B7CFF9B" w:rsidR="008E759F" w:rsidRDefault="00777F7D">
          <w:pPr>
            <w:pStyle w:val="TOC1"/>
            <w:tabs>
              <w:tab w:val="right" w:leader="dot" w:pos="8630"/>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27439875" w:history="1">
            <w:r w:rsidR="008E759F" w:rsidRPr="00CE741B">
              <w:rPr>
                <w:rStyle w:val="Hyperlink"/>
                <w:rFonts w:cs="Arial"/>
                <w:noProof/>
                <w:lang w:val="en-GB"/>
              </w:rPr>
              <w:t>Introduction</w:t>
            </w:r>
            <w:r w:rsidR="008E759F">
              <w:rPr>
                <w:noProof/>
                <w:webHidden/>
              </w:rPr>
              <w:tab/>
            </w:r>
            <w:r w:rsidR="008E759F">
              <w:rPr>
                <w:noProof/>
                <w:webHidden/>
              </w:rPr>
              <w:fldChar w:fldCharType="begin"/>
            </w:r>
            <w:r w:rsidR="008E759F">
              <w:rPr>
                <w:noProof/>
                <w:webHidden/>
              </w:rPr>
              <w:instrText xml:space="preserve"> PAGEREF _Toc227439875 \h </w:instrText>
            </w:r>
            <w:r w:rsidR="008E759F">
              <w:rPr>
                <w:noProof/>
                <w:webHidden/>
              </w:rPr>
            </w:r>
            <w:r w:rsidR="008E759F">
              <w:rPr>
                <w:noProof/>
                <w:webHidden/>
              </w:rPr>
              <w:fldChar w:fldCharType="separate"/>
            </w:r>
            <w:r w:rsidR="008E759F">
              <w:rPr>
                <w:noProof/>
                <w:webHidden/>
              </w:rPr>
              <w:t>1</w:t>
            </w:r>
            <w:r w:rsidR="008E759F">
              <w:rPr>
                <w:noProof/>
                <w:webHidden/>
              </w:rPr>
              <w:fldChar w:fldCharType="end"/>
            </w:r>
          </w:hyperlink>
          <w:r w:rsidR="008E759F">
            <w:rPr>
              <w:rStyle w:val="Hyperlink"/>
              <w:noProof/>
            </w:rPr>
            <w:t>……………………………………….</w:t>
          </w:r>
          <w:r w:rsidR="002354A7">
            <w:rPr>
              <w:rStyle w:val="Hyperlink"/>
              <w:noProof/>
            </w:rPr>
            <w:t>.</w:t>
          </w:r>
          <w:r w:rsidR="00CA1597">
            <w:rPr>
              <w:rStyle w:val="Hyperlink"/>
              <w:noProof/>
            </w:rPr>
            <w:t>4</w:t>
          </w:r>
        </w:p>
        <w:p w14:paraId="29C2FBCA" w14:textId="4A053BA2" w:rsidR="008E759F" w:rsidRDefault="008E759F">
          <w:pPr>
            <w:pStyle w:val="TOC1"/>
            <w:tabs>
              <w:tab w:val="right" w:leader="dot" w:pos="8630"/>
            </w:tabs>
            <w:rPr>
              <w:rFonts w:asciiTheme="minorHAnsi" w:hAnsiTheme="minorHAnsi"/>
              <w:noProof/>
              <w:kern w:val="2"/>
              <w:sz w:val="24"/>
              <w:szCs w:val="24"/>
              <w:lang w:val="en-GB" w:eastAsia="en-GB"/>
              <w14:ligatures w14:val="standardContextual"/>
            </w:rPr>
          </w:pPr>
          <w:hyperlink w:anchor="_Toc227439876" w:history="1">
            <w:r w:rsidRPr="00CE741B">
              <w:rPr>
                <w:rStyle w:val="Hyperlink"/>
                <w:noProof/>
                <w:lang w:val="en-GB"/>
              </w:rPr>
              <w:t>Measurement, Monitoring and Control of Stroke</w:t>
            </w:r>
            <w:r>
              <w:rPr>
                <w:noProof/>
                <w:webHidden/>
              </w:rPr>
              <w:tab/>
            </w:r>
            <w:r>
              <w:rPr>
                <w:noProof/>
                <w:webHidden/>
              </w:rPr>
              <w:fldChar w:fldCharType="begin"/>
            </w:r>
            <w:r>
              <w:rPr>
                <w:noProof/>
                <w:webHidden/>
              </w:rPr>
              <w:instrText xml:space="preserve"> PAGEREF _Toc227439876 \h </w:instrText>
            </w:r>
            <w:r>
              <w:rPr>
                <w:noProof/>
                <w:webHidden/>
              </w:rPr>
            </w:r>
            <w:r>
              <w:rPr>
                <w:noProof/>
                <w:webHidden/>
              </w:rPr>
              <w:fldChar w:fldCharType="separate"/>
            </w:r>
            <w:r>
              <w:rPr>
                <w:noProof/>
                <w:webHidden/>
              </w:rPr>
              <w:t>1</w:t>
            </w:r>
            <w:r>
              <w:rPr>
                <w:noProof/>
                <w:webHidden/>
              </w:rPr>
              <w:fldChar w:fldCharType="end"/>
            </w:r>
          </w:hyperlink>
          <w:r w:rsidR="002354A7">
            <w:rPr>
              <w:rStyle w:val="Hyperlink"/>
              <w:noProof/>
            </w:rPr>
            <w:t>…..</w:t>
          </w:r>
          <w:r w:rsidR="00D86468">
            <w:rPr>
              <w:rStyle w:val="Hyperlink"/>
              <w:noProof/>
            </w:rPr>
            <w:t>4</w:t>
          </w:r>
        </w:p>
        <w:p w14:paraId="38422BC1" w14:textId="46133EEC" w:rsidR="008E759F" w:rsidRDefault="008E759F" w:rsidP="002354A7">
          <w:pPr>
            <w:pStyle w:val="TOC2"/>
            <w:tabs>
              <w:tab w:val="right" w:leader="dot" w:pos="8630"/>
            </w:tabs>
            <w:ind w:left="0"/>
            <w:rPr>
              <w:rFonts w:asciiTheme="minorHAnsi" w:hAnsiTheme="minorHAnsi"/>
              <w:noProof/>
              <w:kern w:val="2"/>
              <w:sz w:val="24"/>
              <w:szCs w:val="24"/>
              <w:lang w:val="en-GB" w:eastAsia="en-GB"/>
              <w14:ligatures w14:val="standardContextual"/>
            </w:rPr>
          </w:pPr>
          <w:hyperlink w:anchor="_Toc227439877" w:history="1">
            <w:r w:rsidRPr="00CE741B">
              <w:rPr>
                <w:rStyle w:val="Hyperlink"/>
                <w:noProof/>
                <w:lang w:val="en-GB"/>
              </w:rPr>
              <w:t>Key Determinants and Risk Factors</w:t>
            </w:r>
            <w:r>
              <w:rPr>
                <w:noProof/>
                <w:webHidden/>
              </w:rPr>
              <w:tab/>
            </w:r>
            <w:r>
              <w:rPr>
                <w:noProof/>
                <w:webHidden/>
              </w:rPr>
              <w:fldChar w:fldCharType="begin"/>
            </w:r>
            <w:r>
              <w:rPr>
                <w:noProof/>
                <w:webHidden/>
              </w:rPr>
              <w:instrText xml:space="preserve"> PAGEREF _Toc227439877 \h </w:instrText>
            </w:r>
            <w:r>
              <w:rPr>
                <w:noProof/>
                <w:webHidden/>
              </w:rPr>
            </w:r>
            <w:r>
              <w:rPr>
                <w:noProof/>
                <w:webHidden/>
              </w:rPr>
              <w:fldChar w:fldCharType="separate"/>
            </w:r>
            <w:r>
              <w:rPr>
                <w:noProof/>
                <w:webHidden/>
              </w:rPr>
              <w:t>1</w:t>
            </w:r>
            <w:r>
              <w:rPr>
                <w:noProof/>
                <w:webHidden/>
              </w:rPr>
              <w:fldChar w:fldCharType="end"/>
            </w:r>
          </w:hyperlink>
          <w:r w:rsidR="002354A7">
            <w:rPr>
              <w:rStyle w:val="Hyperlink"/>
              <w:noProof/>
            </w:rPr>
            <w:t>………………….</w:t>
          </w:r>
          <w:r w:rsidR="00CA1597">
            <w:rPr>
              <w:rStyle w:val="Hyperlink"/>
              <w:noProof/>
            </w:rPr>
            <w:t>7</w:t>
          </w:r>
        </w:p>
        <w:p w14:paraId="5D956DDE" w14:textId="7BFF538B" w:rsidR="008E759F" w:rsidRDefault="008E759F">
          <w:pPr>
            <w:pStyle w:val="TOC1"/>
            <w:tabs>
              <w:tab w:val="right" w:leader="dot" w:pos="8630"/>
            </w:tabs>
            <w:rPr>
              <w:rFonts w:asciiTheme="minorHAnsi" w:hAnsiTheme="minorHAnsi"/>
              <w:noProof/>
              <w:kern w:val="2"/>
              <w:sz w:val="24"/>
              <w:szCs w:val="24"/>
              <w:lang w:val="en-GB" w:eastAsia="en-GB"/>
              <w14:ligatures w14:val="standardContextual"/>
            </w:rPr>
          </w:pPr>
          <w:hyperlink w:anchor="_Toc227439878" w:history="1">
            <w:r w:rsidRPr="00CE741B">
              <w:rPr>
                <w:rStyle w:val="Hyperlink"/>
                <w:rFonts w:cs="Arial"/>
                <w:noProof/>
                <w:lang w:val="en-GB"/>
              </w:rPr>
              <w:t>Public Health Consequences of Stroke</w:t>
            </w:r>
            <w:r>
              <w:rPr>
                <w:noProof/>
                <w:webHidden/>
              </w:rPr>
              <w:tab/>
            </w:r>
            <w:r>
              <w:rPr>
                <w:noProof/>
                <w:webHidden/>
              </w:rPr>
              <w:fldChar w:fldCharType="begin"/>
            </w:r>
            <w:r>
              <w:rPr>
                <w:noProof/>
                <w:webHidden/>
              </w:rPr>
              <w:instrText xml:space="preserve"> PAGEREF _Toc227439878 \h </w:instrText>
            </w:r>
            <w:r>
              <w:rPr>
                <w:noProof/>
                <w:webHidden/>
              </w:rPr>
            </w:r>
            <w:r>
              <w:rPr>
                <w:noProof/>
                <w:webHidden/>
              </w:rPr>
              <w:fldChar w:fldCharType="separate"/>
            </w:r>
            <w:r>
              <w:rPr>
                <w:noProof/>
                <w:webHidden/>
              </w:rPr>
              <w:t>1</w:t>
            </w:r>
            <w:r>
              <w:rPr>
                <w:noProof/>
                <w:webHidden/>
              </w:rPr>
              <w:fldChar w:fldCharType="end"/>
            </w:r>
          </w:hyperlink>
          <w:r w:rsidR="00694FC3">
            <w:rPr>
              <w:rStyle w:val="Hyperlink"/>
              <w:noProof/>
            </w:rPr>
            <w:t>……………….9</w:t>
          </w:r>
        </w:p>
        <w:p w14:paraId="48A4C6EC" w14:textId="550A588B" w:rsidR="008E759F" w:rsidRDefault="008E759F">
          <w:pPr>
            <w:pStyle w:val="TOC1"/>
            <w:tabs>
              <w:tab w:val="right" w:leader="dot" w:pos="8630"/>
            </w:tabs>
            <w:rPr>
              <w:rFonts w:asciiTheme="minorHAnsi" w:hAnsiTheme="minorHAnsi"/>
              <w:noProof/>
              <w:kern w:val="2"/>
              <w:sz w:val="24"/>
              <w:szCs w:val="24"/>
              <w:lang w:val="en-GB" w:eastAsia="en-GB"/>
              <w14:ligatures w14:val="standardContextual"/>
            </w:rPr>
          </w:pPr>
          <w:hyperlink w:anchor="_Toc227439879" w:history="1">
            <w:r w:rsidRPr="00CE741B">
              <w:rPr>
                <w:rStyle w:val="Hyperlink"/>
                <w:rFonts w:cs="Arial"/>
                <w:noProof/>
                <w:lang w:val="en-GB"/>
              </w:rPr>
              <w:t>Strategies to Support Health and Well-being</w:t>
            </w:r>
            <w:r>
              <w:rPr>
                <w:noProof/>
                <w:webHidden/>
              </w:rPr>
              <w:tab/>
            </w:r>
            <w:r>
              <w:rPr>
                <w:noProof/>
                <w:webHidden/>
              </w:rPr>
              <w:fldChar w:fldCharType="begin"/>
            </w:r>
            <w:r>
              <w:rPr>
                <w:noProof/>
                <w:webHidden/>
              </w:rPr>
              <w:instrText xml:space="preserve"> PAGEREF _Toc227439879 \h </w:instrText>
            </w:r>
            <w:r>
              <w:rPr>
                <w:noProof/>
                <w:webHidden/>
              </w:rPr>
            </w:r>
            <w:r>
              <w:rPr>
                <w:noProof/>
                <w:webHidden/>
              </w:rPr>
              <w:fldChar w:fldCharType="separate"/>
            </w:r>
            <w:r>
              <w:rPr>
                <w:noProof/>
                <w:webHidden/>
              </w:rPr>
              <w:t>1</w:t>
            </w:r>
            <w:r>
              <w:rPr>
                <w:noProof/>
                <w:webHidden/>
              </w:rPr>
              <w:fldChar w:fldCharType="end"/>
            </w:r>
          </w:hyperlink>
          <w:r w:rsidR="00694FC3">
            <w:rPr>
              <w:rStyle w:val="Hyperlink"/>
              <w:noProof/>
            </w:rPr>
            <w:t>…………..</w:t>
          </w:r>
          <w:r w:rsidR="00CA1597">
            <w:rPr>
              <w:rStyle w:val="Hyperlink"/>
              <w:noProof/>
            </w:rPr>
            <w:t>10</w:t>
          </w:r>
        </w:p>
        <w:p w14:paraId="74702D70" w14:textId="67FE2BC9" w:rsidR="008E759F" w:rsidRDefault="008E759F">
          <w:pPr>
            <w:pStyle w:val="TOC1"/>
            <w:tabs>
              <w:tab w:val="right" w:leader="dot" w:pos="8630"/>
            </w:tabs>
            <w:rPr>
              <w:rFonts w:asciiTheme="minorHAnsi" w:hAnsiTheme="minorHAnsi"/>
              <w:noProof/>
              <w:kern w:val="2"/>
              <w:sz w:val="24"/>
              <w:szCs w:val="24"/>
              <w:lang w:val="en-GB" w:eastAsia="en-GB"/>
              <w14:ligatures w14:val="standardContextual"/>
            </w:rPr>
          </w:pPr>
          <w:hyperlink w:anchor="_Toc227439880" w:history="1">
            <w:r w:rsidRPr="00CE741B">
              <w:rPr>
                <w:rStyle w:val="Hyperlink"/>
                <w:rFonts w:cs="Arial"/>
                <w:noProof/>
                <w:lang w:val="en-GB"/>
              </w:rPr>
              <w:t>Conclusion</w:t>
            </w:r>
            <w:r>
              <w:rPr>
                <w:noProof/>
                <w:webHidden/>
              </w:rPr>
              <w:tab/>
            </w:r>
            <w:r>
              <w:rPr>
                <w:noProof/>
                <w:webHidden/>
              </w:rPr>
              <w:fldChar w:fldCharType="begin"/>
            </w:r>
            <w:r>
              <w:rPr>
                <w:noProof/>
                <w:webHidden/>
              </w:rPr>
              <w:instrText xml:space="preserve"> PAGEREF _Toc227439880 \h </w:instrText>
            </w:r>
            <w:r>
              <w:rPr>
                <w:noProof/>
                <w:webHidden/>
              </w:rPr>
            </w:r>
            <w:r>
              <w:rPr>
                <w:noProof/>
                <w:webHidden/>
              </w:rPr>
              <w:fldChar w:fldCharType="separate"/>
            </w:r>
            <w:r>
              <w:rPr>
                <w:noProof/>
                <w:webHidden/>
              </w:rPr>
              <w:t>1</w:t>
            </w:r>
            <w:r>
              <w:rPr>
                <w:noProof/>
                <w:webHidden/>
              </w:rPr>
              <w:fldChar w:fldCharType="end"/>
            </w:r>
          </w:hyperlink>
          <w:r w:rsidR="00694FC3">
            <w:rPr>
              <w:rStyle w:val="Hyperlink"/>
              <w:noProof/>
            </w:rPr>
            <w:t>………………………………………………….11</w:t>
          </w:r>
        </w:p>
        <w:p w14:paraId="0E8C1C80" w14:textId="189C2C26" w:rsidR="008E759F" w:rsidRDefault="008E759F">
          <w:pPr>
            <w:pStyle w:val="TOC1"/>
            <w:tabs>
              <w:tab w:val="right" w:leader="dot" w:pos="8630"/>
            </w:tabs>
            <w:rPr>
              <w:rFonts w:asciiTheme="minorHAnsi" w:hAnsiTheme="minorHAnsi"/>
              <w:noProof/>
              <w:kern w:val="2"/>
              <w:sz w:val="24"/>
              <w:szCs w:val="24"/>
              <w:lang w:val="en-GB" w:eastAsia="en-GB"/>
              <w14:ligatures w14:val="standardContextual"/>
            </w:rPr>
          </w:pPr>
          <w:hyperlink w:anchor="_Toc227439881" w:history="1">
            <w:r w:rsidRPr="00CE741B">
              <w:rPr>
                <w:rStyle w:val="Hyperlink"/>
                <w:rFonts w:cs="Arial"/>
                <w:noProof/>
                <w:lang w:val="en-GB"/>
              </w:rPr>
              <w:t>References</w:t>
            </w:r>
            <w:r>
              <w:rPr>
                <w:noProof/>
                <w:webHidden/>
              </w:rPr>
              <w:tab/>
            </w:r>
            <w:r>
              <w:rPr>
                <w:noProof/>
                <w:webHidden/>
              </w:rPr>
              <w:fldChar w:fldCharType="begin"/>
            </w:r>
            <w:r>
              <w:rPr>
                <w:noProof/>
                <w:webHidden/>
              </w:rPr>
              <w:instrText xml:space="preserve"> PAGEREF _Toc227439881 \h </w:instrText>
            </w:r>
            <w:r>
              <w:rPr>
                <w:noProof/>
                <w:webHidden/>
              </w:rPr>
            </w:r>
            <w:r>
              <w:rPr>
                <w:noProof/>
                <w:webHidden/>
              </w:rPr>
              <w:fldChar w:fldCharType="separate"/>
            </w:r>
            <w:r>
              <w:rPr>
                <w:noProof/>
                <w:webHidden/>
              </w:rPr>
              <w:t>1</w:t>
            </w:r>
            <w:r>
              <w:rPr>
                <w:noProof/>
                <w:webHidden/>
              </w:rPr>
              <w:fldChar w:fldCharType="end"/>
            </w:r>
          </w:hyperlink>
          <w:r w:rsidR="0097162C">
            <w:rPr>
              <w:rStyle w:val="Hyperlink"/>
              <w:noProof/>
            </w:rPr>
            <w:t>.…………………………………………………..1</w:t>
          </w:r>
          <w:r w:rsidR="00CA1597">
            <w:rPr>
              <w:rStyle w:val="Hyperlink"/>
              <w:noProof/>
            </w:rPr>
            <w:t>2</w:t>
          </w:r>
        </w:p>
        <w:p w14:paraId="2ADE66AC" w14:textId="302E02E3" w:rsidR="00777F7D" w:rsidRDefault="00777F7D">
          <w:r>
            <w:rPr>
              <w:b/>
              <w:bCs/>
              <w:noProof/>
            </w:rPr>
            <w:fldChar w:fldCharType="end"/>
          </w:r>
        </w:p>
      </w:sdtContent>
    </w:sdt>
    <w:p w14:paraId="42903562" w14:textId="315CB7C9" w:rsidR="00777F7D" w:rsidRDefault="00777F7D" w:rsidP="00777F7D">
      <w:pPr>
        <w:rPr>
          <w:b/>
          <w:bCs/>
          <w:sz w:val="24"/>
          <w:szCs w:val="24"/>
          <w:lang w:val="en-GB"/>
        </w:rPr>
      </w:pPr>
      <w:r>
        <w:rPr>
          <w:b/>
          <w:bCs/>
          <w:sz w:val="24"/>
          <w:szCs w:val="24"/>
          <w:lang w:val="en-GB"/>
        </w:rPr>
        <w:br w:type="page"/>
      </w:r>
    </w:p>
    <w:p w14:paraId="23DAD880" w14:textId="77777777" w:rsidR="006A0026" w:rsidRPr="00777F7D" w:rsidRDefault="006A0026" w:rsidP="00777F7D">
      <w:pPr>
        <w:pStyle w:val="Heading1"/>
        <w:spacing w:line="360" w:lineRule="auto"/>
        <w:jc w:val="both"/>
        <w:rPr>
          <w:rFonts w:ascii="Arial" w:hAnsi="Arial" w:cs="Arial"/>
          <w:sz w:val="22"/>
          <w:szCs w:val="22"/>
          <w:lang w:val="en-GB"/>
        </w:rPr>
      </w:pPr>
      <w:bookmarkStart w:id="0" w:name="_Toc227439875"/>
      <w:r w:rsidRPr="00777F7D">
        <w:rPr>
          <w:rFonts w:ascii="Arial" w:hAnsi="Arial" w:cs="Arial"/>
          <w:sz w:val="22"/>
          <w:szCs w:val="22"/>
          <w:lang w:val="en-GB"/>
        </w:rPr>
        <w:t>Introduction</w:t>
      </w:r>
      <w:bookmarkEnd w:id="0"/>
    </w:p>
    <w:p w14:paraId="14EDF5AA" w14:textId="05C2C716" w:rsidR="006A0026" w:rsidRPr="00777F7D" w:rsidRDefault="00523AD9" w:rsidP="00777F7D">
      <w:pPr>
        <w:spacing w:line="360" w:lineRule="auto"/>
        <w:jc w:val="both"/>
        <w:rPr>
          <w:rFonts w:cs="Arial"/>
          <w:lang w:val="en-GB"/>
        </w:rPr>
      </w:pPr>
      <w:r w:rsidRPr="00523AD9">
        <w:rPr>
          <w:rFonts w:cs="Arial"/>
          <w:lang w:val="en-GB"/>
        </w:rPr>
        <w:t xml:space="preserve">A stroke is a dangerous non-communicable disease that happens when the blood supply to the brain is cut off, causing damage or death to brain cells. It is often divided into two types: </w:t>
      </w:r>
      <w:r w:rsidR="002B5C9A" w:rsidRPr="00523AD9">
        <w:rPr>
          <w:rFonts w:cs="Arial"/>
          <w:lang w:val="en-GB"/>
        </w:rPr>
        <w:t>haemorrhagic</w:t>
      </w:r>
      <w:r w:rsidRPr="00523AD9">
        <w:rPr>
          <w:rFonts w:cs="Arial"/>
          <w:lang w:val="en-GB"/>
        </w:rPr>
        <w:t xml:space="preserve"> stroke, which is brought on by bleeding inside the brain, and ischaemic stroke, which is brought on by a blockage in arteries</w:t>
      </w:r>
      <w:r w:rsidR="006A0026" w:rsidRPr="00777F7D">
        <w:rPr>
          <w:rFonts w:cs="Arial"/>
          <w:lang w:val="en-GB"/>
        </w:rPr>
        <w:t xml:space="preserve">. Stroke represents a major global health burden, with approximately 12.2 million </w:t>
      </w:r>
      <w:r w:rsidR="00D57877">
        <w:rPr>
          <w:rFonts w:cs="Arial"/>
          <w:lang w:val="en-GB"/>
        </w:rPr>
        <w:t>incidences</w:t>
      </w:r>
      <w:r w:rsidR="006A0026" w:rsidRPr="00777F7D">
        <w:rPr>
          <w:rFonts w:cs="Arial"/>
          <w:lang w:val="en-GB"/>
        </w:rPr>
        <w:t xml:space="preserve"> occurring annually worldwide (World Health Organisation, 2023). In the United Kingdom</w:t>
      </w:r>
      <w:r w:rsidR="00717908">
        <w:rPr>
          <w:rFonts w:cs="Arial"/>
          <w:lang w:val="en-GB"/>
        </w:rPr>
        <w:t xml:space="preserve"> </w:t>
      </w:r>
      <w:r w:rsidR="003263E9">
        <w:rPr>
          <w:rFonts w:cs="Arial"/>
          <w:lang w:val="en-GB"/>
        </w:rPr>
        <w:t>(UK)</w:t>
      </w:r>
      <w:r w:rsidR="006A0026" w:rsidRPr="00777F7D">
        <w:rPr>
          <w:rFonts w:cs="Arial"/>
          <w:lang w:val="en-GB"/>
        </w:rPr>
        <w:t xml:space="preserve">, over 100,000 individuals experience a stroke </w:t>
      </w:r>
      <w:r w:rsidR="00D57877">
        <w:rPr>
          <w:rFonts w:cs="Arial"/>
          <w:lang w:val="en-GB"/>
        </w:rPr>
        <w:t>yearly</w:t>
      </w:r>
      <w:r w:rsidR="006A0026" w:rsidRPr="00777F7D">
        <w:rPr>
          <w:rFonts w:cs="Arial"/>
          <w:lang w:val="en-GB"/>
        </w:rPr>
        <w:t xml:space="preserve">, </w:t>
      </w:r>
      <w:r w:rsidR="00346E94">
        <w:rPr>
          <w:rFonts w:cs="Arial"/>
          <w:lang w:val="en-GB"/>
        </w:rPr>
        <w:t>noted as the fourth</w:t>
      </w:r>
      <w:r w:rsidR="006A0026" w:rsidRPr="00777F7D">
        <w:rPr>
          <w:rFonts w:cs="Arial"/>
          <w:lang w:val="en-GB"/>
        </w:rPr>
        <w:t xml:space="preserve"> leading </w:t>
      </w:r>
      <w:r w:rsidR="009451A3">
        <w:rPr>
          <w:rFonts w:cs="Arial"/>
          <w:lang w:val="en-GB"/>
        </w:rPr>
        <w:t>cause</w:t>
      </w:r>
      <w:r w:rsidR="006A0026" w:rsidRPr="00777F7D">
        <w:rPr>
          <w:rFonts w:cs="Arial"/>
          <w:lang w:val="en-GB"/>
        </w:rPr>
        <w:t xml:space="preserve"> of death and long-term disability (Stroke Association, 2024). Common signs and symptoms include sudden </w:t>
      </w:r>
      <w:r w:rsidR="00D57877">
        <w:rPr>
          <w:rFonts w:cs="Arial"/>
          <w:lang w:val="en-GB"/>
        </w:rPr>
        <w:t xml:space="preserve">unilateral body </w:t>
      </w:r>
      <w:r w:rsidR="006A0026" w:rsidRPr="00777F7D">
        <w:rPr>
          <w:rFonts w:cs="Arial"/>
          <w:lang w:val="en-GB"/>
        </w:rPr>
        <w:t>weakness,</w:t>
      </w:r>
      <w:r w:rsidR="00D57877">
        <w:rPr>
          <w:rFonts w:cs="Arial"/>
          <w:lang w:val="en-GB"/>
        </w:rPr>
        <w:t xml:space="preserve"> aphasia</w:t>
      </w:r>
      <w:r w:rsidR="006A0026" w:rsidRPr="00777F7D">
        <w:rPr>
          <w:rFonts w:cs="Arial"/>
          <w:lang w:val="en-GB"/>
        </w:rPr>
        <w:t>, confusion, and visual disturbances, often identified using the FAST (Face, Arms, Speech, Time) framework</w:t>
      </w:r>
      <w:r w:rsidR="00D57877">
        <w:rPr>
          <w:rFonts w:cs="Arial"/>
          <w:lang w:val="en-GB"/>
        </w:rPr>
        <w:t xml:space="preserve"> (Warlow et al., 2019; NHS, 2024)</w:t>
      </w:r>
      <w:r w:rsidR="006A0026" w:rsidRPr="00777F7D">
        <w:rPr>
          <w:rFonts w:cs="Arial"/>
          <w:lang w:val="en-GB"/>
        </w:rPr>
        <w:t>. Despite advances in treatment, stroke continues to impose significant health and economic challenges. This report critically examines the measurement, monitoring and control of stroke, explores its key determinants, and evaluates strategies to improve health and well-being.</w:t>
      </w:r>
    </w:p>
    <w:p w14:paraId="26B8DA70" w14:textId="2BD5A056" w:rsidR="00777F7D" w:rsidRDefault="006A0026" w:rsidP="00A04E67">
      <w:pPr>
        <w:pStyle w:val="Heading1"/>
        <w:rPr>
          <w:lang w:val="en-GB"/>
        </w:rPr>
      </w:pPr>
      <w:bookmarkStart w:id="1" w:name="_Toc227439213"/>
      <w:bookmarkStart w:id="2" w:name="_Toc227439876"/>
      <w:r w:rsidRPr="00777F7D">
        <w:rPr>
          <w:lang w:val="en-GB"/>
        </w:rPr>
        <w:t>Measurement, Monitoring and Control of Stroke</w:t>
      </w:r>
      <w:bookmarkEnd w:id="1"/>
      <w:bookmarkEnd w:id="2"/>
    </w:p>
    <w:p w14:paraId="3D74BD50" w14:textId="77777777" w:rsidR="00777F7D" w:rsidRPr="00777F7D" w:rsidRDefault="00777F7D" w:rsidP="00A04E67">
      <w:pPr>
        <w:pStyle w:val="Heading1"/>
        <w:rPr>
          <w:lang w:val="en-GB"/>
        </w:rPr>
      </w:pPr>
    </w:p>
    <w:p w14:paraId="078CDD80" w14:textId="6E710F86" w:rsidR="003A5D3F" w:rsidRPr="00BF7F2C" w:rsidRDefault="00BF7F2C" w:rsidP="003A5D3F">
      <w:pPr>
        <w:spacing w:line="360" w:lineRule="auto"/>
        <w:rPr>
          <w:rFonts w:cs="Arial"/>
          <w:lang w:val="en-GB"/>
        </w:rPr>
      </w:pPr>
      <w:r w:rsidRPr="00BF7F2C">
        <w:rPr>
          <w:rFonts w:cs="Arial"/>
          <w:lang w:val="en-GB"/>
        </w:rPr>
        <w:t xml:space="preserve">Key epidemiological factors, </w:t>
      </w:r>
      <w:r w:rsidR="00482F8F">
        <w:rPr>
          <w:rFonts w:cs="Arial"/>
          <w:lang w:val="en-GB"/>
        </w:rPr>
        <w:t xml:space="preserve">including </w:t>
      </w:r>
      <w:r w:rsidRPr="00BF7F2C">
        <w:rPr>
          <w:rFonts w:cs="Arial"/>
          <w:lang w:val="en-GB"/>
        </w:rPr>
        <w:t>incidence, prevalence, mortality, and morbidity rates, are used to measure stroke. While prevalence is the total number of people who</w:t>
      </w:r>
      <w:r w:rsidR="00482F8F">
        <w:rPr>
          <w:rFonts w:cs="Arial"/>
          <w:lang w:val="en-GB"/>
        </w:rPr>
        <w:t xml:space="preserve"> previously had a stroke, incidence is the number of new cases</w:t>
      </w:r>
      <w:r w:rsidRPr="00BF7F2C">
        <w:rPr>
          <w:rFonts w:cs="Arial"/>
          <w:lang w:val="en-GB"/>
        </w:rPr>
        <w:t xml:space="preserve"> within a specified time frame. Mortality rates measure stroke-related deaths, whereas stroke-related long-term impairment and lower quality of life are reflected in morbidity. </w:t>
      </w:r>
      <w:r w:rsidR="00181149" w:rsidRPr="00777F7D">
        <w:rPr>
          <w:rFonts w:cs="Arial"/>
          <w:lang w:val="en-GB"/>
        </w:rPr>
        <w:t>(</w:t>
      </w:r>
      <w:r w:rsidR="006A0026" w:rsidRPr="00777F7D">
        <w:rPr>
          <w:rFonts w:cs="Arial"/>
          <w:lang w:val="en-GB"/>
        </w:rPr>
        <w:t xml:space="preserve">Bonita et al., 2020). </w:t>
      </w:r>
      <w:r w:rsidR="003A5D3F">
        <w:rPr>
          <w:sz w:val="24"/>
          <w:szCs w:val="24"/>
          <w:lang w:val="en-GB"/>
        </w:rPr>
        <w:t xml:space="preserve">In the UK, </w:t>
      </w:r>
      <w:r w:rsidR="00E310E0">
        <w:rPr>
          <w:sz w:val="24"/>
          <w:szCs w:val="24"/>
          <w:lang w:val="en-GB"/>
        </w:rPr>
        <w:t>approximately 3</w:t>
      </w:r>
      <w:r w:rsidR="004113BF">
        <w:rPr>
          <w:sz w:val="24"/>
          <w:szCs w:val="24"/>
          <w:lang w:val="en-GB"/>
        </w:rPr>
        <w:t>8</w:t>
      </w:r>
      <w:r w:rsidR="00E310E0">
        <w:rPr>
          <w:sz w:val="24"/>
          <w:szCs w:val="24"/>
          <w:lang w:val="en-GB"/>
        </w:rPr>
        <w:t xml:space="preserve">000 </w:t>
      </w:r>
      <w:r w:rsidR="004113BF">
        <w:rPr>
          <w:sz w:val="24"/>
          <w:szCs w:val="24"/>
          <w:lang w:val="en-GB"/>
        </w:rPr>
        <w:t xml:space="preserve">stroke-related </w:t>
      </w:r>
      <w:r w:rsidR="00E310E0">
        <w:rPr>
          <w:sz w:val="24"/>
          <w:szCs w:val="24"/>
          <w:lang w:val="en-GB"/>
        </w:rPr>
        <w:t>deaths</w:t>
      </w:r>
      <w:r w:rsidR="001150C5">
        <w:rPr>
          <w:sz w:val="24"/>
          <w:szCs w:val="24"/>
          <w:lang w:val="en-GB"/>
        </w:rPr>
        <w:t xml:space="preserve"> </w:t>
      </w:r>
      <w:r w:rsidR="005E43B2">
        <w:rPr>
          <w:sz w:val="24"/>
          <w:szCs w:val="24"/>
          <w:lang w:val="en-GB"/>
        </w:rPr>
        <w:t xml:space="preserve">occur </w:t>
      </w:r>
      <w:r w:rsidR="001150C5">
        <w:rPr>
          <w:sz w:val="24"/>
          <w:szCs w:val="24"/>
          <w:lang w:val="en-GB"/>
        </w:rPr>
        <w:t>yearly</w:t>
      </w:r>
      <w:r w:rsidR="00E310E0">
        <w:rPr>
          <w:sz w:val="24"/>
          <w:szCs w:val="24"/>
          <w:lang w:val="en-GB"/>
        </w:rPr>
        <w:t xml:space="preserve">, </w:t>
      </w:r>
      <w:r w:rsidR="001150C5">
        <w:rPr>
          <w:sz w:val="24"/>
          <w:szCs w:val="24"/>
          <w:lang w:val="en-GB"/>
        </w:rPr>
        <w:t xml:space="preserve">and </w:t>
      </w:r>
      <w:r w:rsidR="003A5D3F">
        <w:rPr>
          <w:sz w:val="24"/>
          <w:szCs w:val="24"/>
          <w:lang w:val="en-GB"/>
        </w:rPr>
        <w:t>1.4 million stroke survivors now live with the effects of stroke (Stroke Association, 2024).</w:t>
      </w:r>
    </w:p>
    <w:p w14:paraId="5F26B6B2" w14:textId="421A1E2A" w:rsidR="00AF0713" w:rsidRPr="00777F7D" w:rsidRDefault="00AF0713" w:rsidP="00777F7D">
      <w:pPr>
        <w:spacing w:line="360" w:lineRule="auto"/>
        <w:jc w:val="both"/>
        <w:rPr>
          <w:rFonts w:cs="Arial"/>
          <w:lang w:val="en-GB"/>
        </w:rPr>
      </w:pPr>
    </w:p>
    <w:p w14:paraId="40FAE09E" w14:textId="77777777" w:rsidR="000708C7" w:rsidRDefault="000708C7" w:rsidP="00777F7D">
      <w:pPr>
        <w:spacing w:line="360" w:lineRule="auto"/>
        <w:jc w:val="both"/>
        <w:rPr>
          <w:rFonts w:cs="Arial"/>
          <w:noProof/>
          <w:lang w:val="en-GB" w:eastAsia="en-GB"/>
        </w:rPr>
      </w:pPr>
    </w:p>
    <w:p w14:paraId="6DA951ED" w14:textId="689BEDB3" w:rsidR="00AF0713" w:rsidRPr="00777F7D" w:rsidRDefault="00AF0713" w:rsidP="00777F7D">
      <w:pPr>
        <w:spacing w:line="360" w:lineRule="auto"/>
        <w:jc w:val="both"/>
        <w:rPr>
          <w:rFonts w:cs="Arial"/>
          <w:lang w:val="en-GB"/>
        </w:rPr>
      </w:pPr>
      <w:r w:rsidRPr="00777F7D">
        <w:rPr>
          <w:rFonts w:cs="Arial"/>
          <w:noProof/>
          <w:lang w:val="en-GB" w:eastAsia="en-GB"/>
        </w:rPr>
        <w:drawing>
          <wp:anchor distT="0" distB="0" distL="114300" distR="114300" simplePos="0" relativeHeight="251660290" behindDoc="1" locked="0" layoutInCell="1" allowOverlap="1" wp14:anchorId="3FFBBAAF" wp14:editId="12B2FCD6">
            <wp:simplePos x="0" y="0"/>
            <wp:positionH relativeFrom="column">
              <wp:posOffset>0</wp:posOffset>
            </wp:positionH>
            <wp:positionV relativeFrom="paragraph">
              <wp:posOffset>0</wp:posOffset>
            </wp:positionV>
            <wp:extent cx="4572000" cy="3429000"/>
            <wp:effectExtent l="0" t="0" r="0" b="0"/>
            <wp:wrapTight wrapText="bothSides">
              <wp:wrapPolygon edited="0">
                <wp:start x="0" y="0"/>
                <wp:lineTo x="0" y="21480"/>
                <wp:lineTo x="21510" y="21480"/>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tality_final.png"/>
                    <pic:cNvPicPr/>
                  </pic:nvPicPr>
                  <pic:blipFill>
                    <a:blip r:embed="rId9"/>
                    <a:stretch>
                      <a:fillRect/>
                    </a:stretch>
                  </pic:blipFill>
                  <pic:spPr>
                    <a:xfrm>
                      <a:off x="0" y="0"/>
                      <a:ext cx="4572000" cy="3429000"/>
                    </a:xfrm>
                    <a:prstGeom prst="rect">
                      <a:avLst/>
                    </a:prstGeom>
                  </pic:spPr>
                </pic:pic>
              </a:graphicData>
            </a:graphic>
          </wp:anchor>
        </w:drawing>
      </w:r>
    </w:p>
    <w:p w14:paraId="1FA846BA" w14:textId="77777777" w:rsidR="00093774" w:rsidRDefault="006D550C">
      <w:pPr>
        <w:spacing w:line="360" w:lineRule="auto"/>
        <w:jc w:val="both"/>
        <w:rPr>
          <w:b/>
        </w:rPr>
      </w:pPr>
      <w:r>
        <w:rPr>
          <w:b/>
        </w:rPr>
        <w:t>Figure 1: UK Stroke Mortality Trend (2010–2022)</w:t>
      </w:r>
    </w:p>
    <w:p w14:paraId="6F17F5B1" w14:textId="3F2B0F3E" w:rsidR="006D550C" w:rsidRDefault="006D550C">
      <w:pPr>
        <w:spacing w:line="360" w:lineRule="auto"/>
        <w:jc w:val="both"/>
        <w:rPr>
          <w:kern w:val="2"/>
          <w:lang w:val="en-GB" w:eastAsia="en-GB"/>
          <w14:ligatures w14:val="standardContextual"/>
        </w:rPr>
      </w:pPr>
      <w:r>
        <w:rPr>
          <w:b/>
        </w:rPr>
        <w:t xml:space="preserve"> (</w:t>
      </w:r>
      <w:r w:rsidRPr="00D2378C">
        <w:rPr>
          <w:bCs/>
        </w:rPr>
        <w:t xml:space="preserve">Source: </w:t>
      </w:r>
      <w:r w:rsidR="00121B78" w:rsidRPr="00D2378C">
        <w:rPr>
          <w:bCs/>
        </w:rPr>
        <w:t xml:space="preserve">Adapted from </w:t>
      </w:r>
      <w:r w:rsidRPr="00D2378C">
        <w:rPr>
          <w:bCs/>
        </w:rPr>
        <w:t>Office for National Statistics, 202</w:t>
      </w:r>
      <w:r w:rsidR="001C4AC0">
        <w:rPr>
          <w:bCs/>
        </w:rPr>
        <w:t>3</w:t>
      </w:r>
      <w:r>
        <w:rPr>
          <w:b/>
        </w:rPr>
        <w:t>)</w:t>
      </w:r>
    </w:p>
    <w:p w14:paraId="7AE7B334" w14:textId="77777777" w:rsidR="00AF0713" w:rsidRPr="00777F7D" w:rsidRDefault="00AF0713" w:rsidP="00777F7D">
      <w:pPr>
        <w:spacing w:line="360" w:lineRule="auto"/>
        <w:jc w:val="both"/>
        <w:rPr>
          <w:rFonts w:cs="Arial"/>
          <w:lang w:val="en-GB"/>
        </w:rPr>
      </w:pPr>
    </w:p>
    <w:p w14:paraId="09C8CBF0" w14:textId="0AB7DEDB" w:rsidR="006A0026" w:rsidRPr="00777F7D" w:rsidRDefault="006A0026" w:rsidP="00777F7D">
      <w:pPr>
        <w:spacing w:line="360" w:lineRule="auto"/>
        <w:jc w:val="both"/>
        <w:rPr>
          <w:rFonts w:cs="Arial"/>
          <w:lang w:val="en-GB"/>
        </w:rPr>
      </w:pPr>
      <w:r w:rsidRPr="00777F7D">
        <w:rPr>
          <w:rFonts w:cs="Arial"/>
          <w:lang w:val="en-GB"/>
        </w:rPr>
        <w:t xml:space="preserve">While these measures are essential for understanding the scale of the disease, they often fail to capture the wider </w:t>
      </w:r>
      <w:r w:rsidR="00401637">
        <w:rPr>
          <w:rFonts w:cs="Arial"/>
          <w:lang w:val="en-GB"/>
        </w:rPr>
        <w:t>socio-economic</w:t>
      </w:r>
      <w:r w:rsidRPr="00777F7D">
        <w:rPr>
          <w:rFonts w:cs="Arial"/>
          <w:lang w:val="en-GB"/>
        </w:rPr>
        <w:t xml:space="preserve"> burden. Therefore, additional indicators, such as </w:t>
      </w:r>
      <w:r w:rsidR="00D308AF">
        <w:rPr>
          <w:rFonts w:cs="Arial"/>
          <w:lang w:val="en-GB"/>
        </w:rPr>
        <w:t>disability-</w:t>
      </w:r>
      <w:r w:rsidRPr="00777F7D">
        <w:rPr>
          <w:rFonts w:cs="Arial"/>
          <w:lang w:val="en-GB"/>
        </w:rPr>
        <w:t xml:space="preserve">adjusted life years </w:t>
      </w:r>
      <w:r w:rsidR="00A262FA">
        <w:rPr>
          <w:rFonts w:cs="Arial"/>
          <w:lang w:val="en-GB"/>
        </w:rPr>
        <w:t xml:space="preserve">and </w:t>
      </w:r>
      <w:r w:rsidR="008821EE">
        <w:rPr>
          <w:rFonts w:cs="Arial"/>
          <w:lang w:val="en-GB"/>
        </w:rPr>
        <w:t xml:space="preserve">healthy life expectancy </w:t>
      </w:r>
      <w:r w:rsidRPr="00777F7D">
        <w:rPr>
          <w:rFonts w:cs="Arial"/>
          <w:lang w:val="en-GB"/>
        </w:rPr>
        <w:t>(</w:t>
      </w:r>
      <w:r w:rsidR="00F65DE8">
        <w:rPr>
          <w:rFonts w:cs="Arial"/>
          <w:lang w:val="en-GB"/>
        </w:rPr>
        <w:t>D</w:t>
      </w:r>
      <w:r w:rsidRPr="00777F7D">
        <w:rPr>
          <w:rFonts w:cs="Arial"/>
          <w:lang w:val="en-GB"/>
        </w:rPr>
        <w:t>ALYs</w:t>
      </w:r>
      <w:r w:rsidR="008821EE">
        <w:rPr>
          <w:rFonts w:cs="Arial"/>
          <w:lang w:val="en-GB"/>
        </w:rPr>
        <w:t>/HALEs</w:t>
      </w:r>
      <w:r w:rsidRPr="00777F7D">
        <w:rPr>
          <w:rFonts w:cs="Arial"/>
          <w:lang w:val="en-GB"/>
        </w:rPr>
        <w:t>), are increasingly used to assess broader impact (</w:t>
      </w:r>
      <w:r w:rsidR="007C2B4F">
        <w:rPr>
          <w:rFonts w:cs="Arial"/>
          <w:lang w:val="en-GB"/>
        </w:rPr>
        <w:t xml:space="preserve">Ferrari </w:t>
      </w:r>
      <w:r w:rsidR="00FC1B3E">
        <w:rPr>
          <w:rFonts w:cs="Arial"/>
          <w:lang w:val="en-GB"/>
        </w:rPr>
        <w:t xml:space="preserve">et al., </w:t>
      </w:r>
      <w:r w:rsidR="00F7026C">
        <w:rPr>
          <w:rFonts w:cs="Arial"/>
          <w:lang w:val="en-GB"/>
        </w:rPr>
        <w:t>2024;</w:t>
      </w:r>
      <w:r w:rsidR="007C2B4F">
        <w:rPr>
          <w:rFonts w:cs="Arial"/>
          <w:lang w:val="en-GB"/>
        </w:rPr>
        <w:t xml:space="preserve"> Murray</w:t>
      </w:r>
      <w:r w:rsidR="00FC1B3E">
        <w:rPr>
          <w:rFonts w:cs="Arial"/>
          <w:lang w:val="en-GB"/>
        </w:rPr>
        <w:t xml:space="preserve">, </w:t>
      </w:r>
      <w:r w:rsidR="00F7026C">
        <w:rPr>
          <w:rFonts w:cs="Arial"/>
          <w:lang w:val="en-GB"/>
        </w:rPr>
        <w:t>2022)</w:t>
      </w:r>
      <w:r w:rsidRPr="00777F7D">
        <w:rPr>
          <w:rFonts w:cs="Arial"/>
          <w:lang w:val="en-GB"/>
        </w:rPr>
        <w:t>.</w:t>
      </w:r>
    </w:p>
    <w:p w14:paraId="77447772" w14:textId="709423C3" w:rsidR="006A0026" w:rsidRPr="00777F7D" w:rsidRDefault="006A0026" w:rsidP="00777F7D">
      <w:pPr>
        <w:spacing w:line="360" w:lineRule="auto"/>
        <w:jc w:val="both"/>
        <w:rPr>
          <w:rFonts w:cs="Arial"/>
          <w:lang w:val="en-GB"/>
        </w:rPr>
      </w:pPr>
      <w:r w:rsidRPr="00777F7D">
        <w:rPr>
          <w:rFonts w:cs="Arial"/>
          <w:lang w:val="en-GB"/>
        </w:rPr>
        <w:t xml:space="preserve">In the UK, stroke is monitored through national systems such as NHS Digital and the </w:t>
      </w:r>
      <w:r w:rsidR="0017080D" w:rsidRPr="00777F7D">
        <w:rPr>
          <w:rFonts w:cs="Arial"/>
          <w:lang w:val="en-GB"/>
        </w:rPr>
        <w:t>SSNAP</w:t>
      </w:r>
      <w:r w:rsidR="0017080D" w:rsidRPr="00777F7D">
        <w:rPr>
          <w:rFonts w:cs="Arial"/>
          <w:lang w:val="en-GB"/>
        </w:rPr>
        <w:t xml:space="preserve"> </w:t>
      </w:r>
      <w:r w:rsidR="0017080D">
        <w:rPr>
          <w:rFonts w:cs="Arial"/>
          <w:lang w:val="en-GB"/>
        </w:rPr>
        <w:t>(</w:t>
      </w:r>
      <w:r w:rsidRPr="00777F7D">
        <w:rPr>
          <w:rFonts w:cs="Arial"/>
          <w:lang w:val="en-GB"/>
        </w:rPr>
        <w:t>Sentinel Stroke National Audit Programme</w:t>
      </w:r>
      <w:r w:rsidR="0017080D">
        <w:rPr>
          <w:rFonts w:cs="Arial"/>
          <w:lang w:val="en-GB"/>
        </w:rPr>
        <w:t>)</w:t>
      </w:r>
      <w:r w:rsidRPr="00777F7D">
        <w:rPr>
          <w:rFonts w:cs="Arial"/>
          <w:lang w:val="en-GB"/>
        </w:rPr>
        <w:t>, which collect detailed data on patient outcomes and service performance. These systems allow healthcare providers to evaluate the quality of care and identify regional disparities (</w:t>
      </w:r>
      <w:r w:rsidR="00B30935">
        <w:rPr>
          <w:rFonts w:cs="Arial"/>
          <w:lang w:val="en-GB"/>
        </w:rPr>
        <w:t>SSNAP</w:t>
      </w:r>
      <w:r w:rsidR="00C52A83">
        <w:rPr>
          <w:rFonts w:cs="Arial"/>
          <w:lang w:val="en-GB"/>
        </w:rPr>
        <w:t xml:space="preserve">, </w:t>
      </w:r>
      <w:r w:rsidRPr="00777F7D">
        <w:rPr>
          <w:rFonts w:cs="Arial"/>
          <w:lang w:val="en-GB"/>
        </w:rPr>
        <w:t>202</w:t>
      </w:r>
      <w:r w:rsidR="00B30935">
        <w:rPr>
          <w:rFonts w:cs="Arial"/>
          <w:lang w:val="en-GB"/>
        </w:rPr>
        <w:t>1</w:t>
      </w:r>
      <w:r w:rsidRPr="00777F7D">
        <w:rPr>
          <w:rFonts w:cs="Arial"/>
          <w:lang w:val="en-GB"/>
        </w:rPr>
        <w:t>). However, limitations exist, including potential underreporting and variations in data collection, particularly among disadvantaged populations. This can lead to an incomplete understanding of the true burden of stroke.</w:t>
      </w:r>
    </w:p>
    <w:p w14:paraId="18A758A3" w14:textId="53644ED8" w:rsidR="006A0026" w:rsidRPr="00777F7D" w:rsidRDefault="006A0026" w:rsidP="00777F7D">
      <w:pPr>
        <w:spacing w:line="360" w:lineRule="auto"/>
        <w:jc w:val="both"/>
        <w:rPr>
          <w:rFonts w:cs="Arial"/>
          <w:lang w:val="en-GB"/>
        </w:rPr>
      </w:pPr>
      <w:r w:rsidRPr="00777F7D">
        <w:rPr>
          <w:rFonts w:cs="Arial"/>
          <w:lang w:val="en-GB"/>
        </w:rPr>
        <w:t>Globally, stroke monitoring is supported by the World Health Organisation, although inconsistencies in reporting standards between countries can reduce comparability. This is particularly evident in low- and middle-income countries, where limited healthcare infrastructure can affect data accuracy (Feigin et al., 2021).</w:t>
      </w:r>
    </w:p>
    <w:p w14:paraId="06801737" w14:textId="77777777" w:rsidR="00166EB2" w:rsidRPr="00777F7D" w:rsidRDefault="00166EB2" w:rsidP="00777F7D">
      <w:pPr>
        <w:spacing w:line="360" w:lineRule="auto"/>
        <w:jc w:val="both"/>
        <w:rPr>
          <w:rFonts w:cs="Arial"/>
          <w:noProof/>
        </w:rPr>
      </w:pPr>
    </w:p>
    <w:p w14:paraId="3C0C1E0C" w14:textId="4F36DB18" w:rsidR="00166EB2" w:rsidRPr="00777F7D" w:rsidRDefault="00166EB2" w:rsidP="00777F7D">
      <w:pPr>
        <w:spacing w:line="360" w:lineRule="auto"/>
        <w:jc w:val="both"/>
        <w:rPr>
          <w:rFonts w:cs="Arial"/>
          <w:lang w:val="en-GB"/>
        </w:rPr>
      </w:pPr>
      <w:r w:rsidRPr="00777F7D">
        <w:rPr>
          <w:rFonts w:cs="Arial"/>
          <w:noProof/>
          <w:lang w:val="en-GB" w:eastAsia="en-GB"/>
        </w:rPr>
        <w:drawing>
          <wp:anchor distT="0" distB="0" distL="114300" distR="114300" simplePos="0" relativeHeight="251658242" behindDoc="1" locked="0" layoutInCell="1" allowOverlap="1" wp14:anchorId="1694881D" wp14:editId="5B368B63">
            <wp:simplePos x="0" y="0"/>
            <wp:positionH relativeFrom="column">
              <wp:posOffset>0</wp:posOffset>
            </wp:positionH>
            <wp:positionV relativeFrom="paragraph">
              <wp:posOffset>342265</wp:posOffset>
            </wp:positionV>
            <wp:extent cx="5486400" cy="3872865"/>
            <wp:effectExtent l="19050" t="19050" r="19050" b="13335"/>
            <wp:wrapTight wrapText="bothSides">
              <wp:wrapPolygon edited="0">
                <wp:start x="-75" y="-106"/>
                <wp:lineTo x="-75" y="21568"/>
                <wp:lineTo x="21600" y="21568"/>
                <wp:lineTo x="21600" y="-106"/>
                <wp:lineTo x="-75" y="-106"/>
              </wp:wrapPolygon>
            </wp:wrapTight>
            <wp:docPr id="1348727097" name="Picture 5" descr="Cardiovascular Diseases - Our World in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ardiovascular Diseases - Our World in Da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872865"/>
                    </a:xfrm>
                    <a:prstGeom prst="rect">
                      <a:avLst/>
                    </a:prstGeom>
                    <a:noFill/>
                    <a:ln w="19050">
                      <a:solidFill>
                        <a:srgbClr val="002060"/>
                      </a:solidFill>
                    </a:ln>
                  </pic:spPr>
                </pic:pic>
              </a:graphicData>
            </a:graphic>
            <wp14:sizeRelH relativeFrom="page">
              <wp14:pctWidth>0</wp14:pctWidth>
            </wp14:sizeRelH>
            <wp14:sizeRelV relativeFrom="page">
              <wp14:pctHeight>0</wp14:pctHeight>
            </wp14:sizeRelV>
          </wp:anchor>
        </w:drawing>
      </w:r>
    </w:p>
    <w:p w14:paraId="4461BE34" w14:textId="01B53AB0" w:rsidR="00093774" w:rsidRDefault="006A0026" w:rsidP="00777F7D">
      <w:pPr>
        <w:spacing w:line="360" w:lineRule="auto"/>
        <w:jc w:val="both"/>
        <w:rPr>
          <w:rFonts w:cs="Arial"/>
          <w:b/>
          <w:bCs/>
          <w:lang w:val="en-GB"/>
        </w:rPr>
      </w:pPr>
      <w:r w:rsidRPr="00777F7D">
        <w:rPr>
          <w:rFonts w:cs="Arial"/>
          <w:b/>
          <w:bCs/>
          <w:lang w:val="en-GB"/>
        </w:rPr>
        <w:t xml:space="preserve">Figure </w:t>
      </w:r>
      <w:r w:rsidR="00D207EA">
        <w:rPr>
          <w:rFonts w:cs="Arial"/>
          <w:b/>
          <w:bCs/>
          <w:lang w:val="en-GB"/>
        </w:rPr>
        <w:t>2</w:t>
      </w:r>
      <w:r w:rsidRPr="00777F7D">
        <w:rPr>
          <w:rFonts w:cs="Arial"/>
          <w:b/>
          <w:bCs/>
          <w:lang w:val="en-GB"/>
        </w:rPr>
        <w:t xml:space="preserve">: Global Death Rate from Stroke per 100,000 Population </w:t>
      </w:r>
      <w:r w:rsidR="00E87DDA">
        <w:rPr>
          <w:rFonts w:cs="Arial"/>
          <w:b/>
          <w:bCs/>
          <w:lang w:val="en-GB"/>
        </w:rPr>
        <w:t>(</w:t>
      </w:r>
      <w:r w:rsidRPr="00777F7D">
        <w:rPr>
          <w:rFonts w:cs="Arial"/>
          <w:b/>
          <w:bCs/>
          <w:lang w:val="en-GB"/>
        </w:rPr>
        <w:t>2021</w:t>
      </w:r>
      <w:r w:rsidR="00E87DDA">
        <w:rPr>
          <w:rFonts w:cs="Arial"/>
          <w:b/>
          <w:bCs/>
          <w:lang w:val="en-GB"/>
        </w:rPr>
        <w:t>)</w:t>
      </w:r>
    </w:p>
    <w:p w14:paraId="31B2C3D4" w14:textId="3AE6D40D" w:rsidR="006A0026" w:rsidRPr="00976FA1" w:rsidRDefault="006A0026" w:rsidP="00777F7D">
      <w:pPr>
        <w:spacing w:line="360" w:lineRule="auto"/>
        <w:jc w:val="both"/>
        <w:rPr>
          <w:rFonts w:cs="Arial"/>
          <w:b/>
          <w:bCs/>
          <w:lang w:val="en-GB"/>
        </w:rPr>
      </w:pPr>
      <w:r w:rsidRPr="00777F7D">
        <w:rPr>
          <w:rFonts w:cs="Arial"/>
          <w:b/>
          <w:bCs/>
          <w:lang w:val="en-GB"/>
        </w:rPr>
        <w:t xml:space="preserve"> (</w:t>
      </w:r>
      <w:r w:rsidR="005345BE" w:rsidRPr="00976FA1">
        <w:rPr>
          <w:rFonts w:cs="Arial"/>
          <w:lang w:val="en-GB"/>
        </w:rPr>
        <w:t xml:space="preserve">Source:  Reproduced from </w:t>
      </w:r>
      <w:r w:rsidR="00646755" w:rsidRPr="00976FA1">
        <w:rPr>
          <w:rFonts w:cs="Arial"/>
          <w:lang w:val="en-GB"/>
        </w:rPr>
        <w:t>World Health Organisation,2024</w:t>
      </w:r>
      <w:r w:rsidR="00CD2F2E" w:rsidRPr="00976FA1">
        <w:rPr>
          <w:rFonts w:cs="Arial"/>
          <w:lang w:val="en-GB"/>
        </w:rPr>
        <w:t>;</w:t>
      </w:r>
      <w:r w:rsidRPr="00976FA1">
        <w:rPr>
          <w:rFonts w:cs="Arial"/>
          <w:lang w:val="en-GB"/>
        </w:rPr>
        <w:t xml:space="preserve"> Our World in Data, 2024</w:t>
      </w:r>
      <w:r w:rsidRPr="00976FA1">
        <w:rPr>
          <w:rFonts w:cs="Arial"/>
          <w:b/>
          <w:bCs/>
          <w:lang w:val="en-GB"/>
        </w:rPr>
        <w:t>)</w:t>
      </w:r>
    </w:p>
    <w:p w14:paraId="7E3DD3DF" w14:textId="77777777" w:rsidR="002F168C" w:rsidRPr="00777F7D" w:rsidRDefault="002F168C" w:rsidP="00777F7D">
      <w:pPr>
        <w:spacing w:line="360" w:lineRule="auto"/>
        <w:jc w:val="both"/>
        <w:rPr>
          <w:rFonts w:cs="Arial"/>
          <w:b/>
          <w:bCs/>
          <w:lang w:val="en-GB"/>
        </w:rPr>
      </w:pPr>
    </w:p>
    <w:p w14:paraId="63AAE38D" w14:textId="77777777" w:rsidR="00166EB2" w:rsidRPr="00777F7D" w:rsidRDefault="00166EB2" w:rsidP="00777F7D">
      <w:pPr>
        <w:spacing w:line="360" w:lineRule="auto"/>
        <w:jc w:val="both"/>
        <w:rPr>
          <w:rFonts w:cs="Arial"/>
          <w:lang w:val="en-GB"/>
        </w:rPr>
      </w:pPr>
    </w:p>
    <w:p w14:paraId="67002161" w14:textId="7B07573E" w:rsidR="006A0026" w:rsidRPr="00777F7D" w:rsidRDefault="006A0026" w:rsidP="00777F7D">
      <w:pPr>
        <w:spacing w:line="360" w:lineRule="auto"/>
        <w:jc w:val="both"/>
        <w:rPr>
          <w:rFonts w:cs="Arial"/>
          <w:lang w:val="en-GB"/>
        </w:rPr>
      </w:pPr>
      <w:r w:rsidRPr="00777F7D">
        <w:rPr>
          <w:rFonts w:cs="Arial"/>
          <w:lang w:val="en-GB"/>
        </w:rPr>
        <w:t>The control of stroke is guided by the “3 Ps” of public health: prevention, protection and promotion. Prevention strategies focus on reducing modifiable risk factors such as hypertension, smoking and poor diet. Research shows that controlling blood pressure alone could prevent a significant proportion of strokes (O’Donnell et al., 2016). However, prevention efforts are often limited by socioeconomic inequalities that restrict access to healthy lifestyles.</w:t>
      </w:r>
    </w:p>
    <w:p w14:paraId="3634A916" w14:textId="191FFC9D" w:rsidR="007B27D1" w:rsidRPr="00777F7D" w:rsidRDefault="006A0026" w:rsidP="00777F7D">
      <w:pPr>
        <w:spacing w:line="360" w:lineRule="auto"/>
        <w:jc w:val="both"/>
        <w:rPr>
          <w:rFonts w:cs="Arial"/>
          <w:lang w:val="en-GB"/>
        </w:rPr>
      </w:pPr>
      <w:r w:rsidRPr="00777F7D">
        <w:rPr>
          <w:rFonts w:cs="Arial"/>
          <w:lang w:val="en-GB"/>
        </w:rPr>
        <w:t>Protection involves early detection and rapid treatment, including emergency stroke services and thrombolysis. Public awareness campaigns such as FAST have improved recognition of symptoms, but delays in seeking medical help remain a challenge (B</w:t>
      </w:r>
      <w:r w:rsidR="004831AF">
        <w:rPr>
          <w:rFonts w:cs="Arial"/>
          <w:lang w:val="en-GB"/>
        </w:rPr>
        <w:t>ray</w:t>
      </w:r>
      <w:r w:rsidRPr="00777F7D">
        <w:rPr>
          <w:rFonts w:cs="Arial"/>
          <w:lang w:val="en-GB"/>
        </w:rPr>
        <w:t xml:space="preserve"> et al., 20</w:t>
      </w:r>
      <w:r w:rsidR="00A82F1A">
        <w:rPr>
          <w:rFonts w:cs="Arial"/>
          <w:lang w:val="en-GB"/>
        </w:rPr>
        <w:t xml:space="preserve">18). </w:t>
      </w:r>
      <w:r w:rsidRPr="00777F7D">
        <w:rPr>
          <w:rFonts w:cs="Arial"/>
          <w:lang w:val="en-GB"/>
        </w:rPr>
        <w:t>Promotion focuses on long-term health education and policy initiatives designed to improve population health. While these strategies have reduced mortality rates, increasing prevalence due to ageing populations continues to place pressure on healthcare systems.</w:t>
      </w:r>
    </w:p>
    <w:p w14:paraId="5D919472" w14:textId="1F68F912" w:rsidR="007B27D1" w:rsidRPr="00777F7D" w:rsidRDefault="007B27D1" w:rsidP="00777F7D">
      <w:pPr>
        <w:spacing w:line="360" w:lineRule="auto"/>
        <w:jc w:val="both"/>
        <w:rPr>
          <w:rFonts w:cs="Arial"/>
          <w:b/>
          <w:bCs/>
          <w:lang w:val="en-GB"/>
        </w:rPr>
      </w:pPr>
    </w:p>
    <w:p w14:paraId="10EF5695" w14:textId="41AEEB33" w:rsidR="006A0026" w:rsidRPr="00AA42B5" w:rsidRDefault="006A0026" w:rsidP="00F64DD2">
      <w:pPr>
        <w:pStyle w:val="Heading2"/>
        <w:rPr>
          <w:lang w:val="en-GB"/>
        </w:rPr>
      </w:pPr>
      <w:bookmarkStart w:id="3" w:name="_Toc227439877"/>
      <w:r w:rsidRPr="00AA42B5">
        <w:rPr>
          <w:lang w:val="en-GB"/>
        </w:rPr>
        <w:t>Key Determinants and Risk Factors</w:t>
      </w:r>
      <w:bookmarkEnd w:id="3"/>
    </w:p>
    <w:p w14:paraId="32763CA5" w14:textId="35E6086D" w:rsidR="00AF0713" w:rsidRPr="00777F7D" w:rsidRDefault="006A0026" w:rsidP="00777F7D">
      <w:pPr>
        <w:spacing w:line="360" w:lineRule="auto"/>
        <w:jc w:val="both"/>
        <w:rPr>
          <w:rFonts w:cs="Arial"/>
          <w:lang w:val="en-GB"/>
        </w:rPr>
      </w:pPr>
      <w:r w:rsidRPr="00777F7D">
        <w:rPr>
          <w:rFonts w:cs="Arial"/>
          <w:lang w:val="en-GB"/>
        </w:rPr>
        <w:t xml:space="preserve">Stroke is influenced by a combination of non-modifiable and modifiable risk factors, as well as </w:t>
      </w:r>
      <w:r w:rsidR="00E6778E">
        <w:rPr>
          <w:rFonts w:cs="Arial"/>
          <w:lang w:val="en-GB"/>
        </w:rPr>
        <w:t>broader social drivers of health</w:t>
      </w:r>
      <w:r w:rsidRPr="00777F7D">
        <w:rPr>
          <w:rFonts w:cs="Arial"/>
          <w:lang w:val="en-GB"/>
        </w:rPr>
        <w:t xml:space="preserve">. Non-modifiable factors include age, gender, genetics and ethnicity. Age is the most significant factor, with stroke risk increasing significantly after 55 </w:t>
      </w:r>
      <w:r w:rsidR="00E6778E" w:rsidRPr="00777F7D">
        <w:rPr>
          <w:rFonts w:cs="Arial"/>
          <w:lang w:val="en-GB"/>
        </w:rPr>
        <w:t>(</w:t>
      </w:r>
      <w:r w:rsidR="00E6778E">
        <w:rPr>
          <w:rFonts w:cs="Arial"/>
          <w:lang w:val="en-GB"/>
        </w:rPr>
        <w:t>Dahlgren</w:t>
      </w:r>
      <w:r w:rsidR="00216E47">
        <w:rPr>
          <w:rFonts w:cs="Arial"/>
          <w:lang w:val="en-GB"/>
        </w:rPr>
        <w:t xml:space="preserve"> and Whitehead</w:t>
      </w:r>
      <w:r w:rsidR="00367F65">
        <w:rPr>
          <w:rFonts w:cs="Arial"/>
          <w:lang w:val="en-GB"/>
        </w:rPr>
        <w:t xml:space="preserve">, 1991; </w:t>
      </w:r>
      <w:r w:rsidRPr="00777F7D">
        <w:rPr>
          <w:rFonts w:cs="Arial"/>
          <w:lang w:val="en-GB"/>
        </w:rPr>
        <w:t>Feigin et al., 202</w:t>
      </w:r>
      <w:r w:rsidR="00EF2CD0">
        <w:rPr>
          <w:rFonts w:cs="Arial"/>
          <w:lang w:val="en-GB"/>
        </w:rPr>
        <w:t>4</w:t>
      </w:r>
      <w:r w:rsidRPr="00777F7D">
        <w:rPr>
          <w:rFonts w:cs="Arial"/>
          <w:lang w:val="en-GB"/>
        </w:rPr>
        <w:t>).</w:t>
      </w:r>
    </w:p>
    <w:p w14:paraId="343541D6" w14:textId="1927EAAD" w:rsidR="00AF0713" w:rsidRPr="00777F7D" w:rsidRDefault="00AF0713" w:rsidP="00777F7D">
      <w:pPr>
        <w:spacing w:line="360" w:lineRule="auto"/>
        <w:jc w:val="both"/>
        <w:rPr>
          <w:rFonts w:cs="Arial"/>
          <w:lang w:val="en-GB"/>
        </w:rPr>
      </w:pPr>
      <w:r w:rsidRPr="00777F7D">
        <w:rPr>
          <w:rFonts w:cs="Arial"/>
          <w:noProof/>
          <w:lang w:val="en-GB" w:eastAsia="en-GB"/>
        </w:rPr>
        <w:drawing>
          <wp:anchor distT="0" distB="0" distL="114300" distR="114300" simplePos="0" relativeHeight="251658241" behindDoc="1" locked="0" layoutInCell="1" allowOverlap="1" wp14:anchorId="46A3ADF7" wp14:editId="027F7172">
            <wp:simplePos x="0" y="0"/>
            <wp:positionH relativeFrom="column">
              <wp:posOffset>0</wp:posOffset>
            </wp:positionH>
            <wp:positionV relativeFrom="paragraph">
              <wp:posOffset>0</wp:posOffset>
            </wp:positionV>
            <wp:extent cx="4572000" cy="3429000"/>
            <wp:effectExtent l="0" t="0" r="0" b="0"/>
            <wp:wrapTight wrapText="bothSides">
              <wp:wrapPolygon edited="0">
                <wp:start x="0" y="0"/>
                <wp:lineTo x="0" y="21480"/>
                <wp:lineTo x="21510" y="21480"/>
                <wp:lineTo x="215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_final.png"/>
                    <pic:cNvPicPr/>
                  </pic:nvPicPr>
                  <pic:blipFill>
                    <a:blip r:embed="rId11"/>
                    <a:stretch>
                      <a:fillRect/>
                    </a:stretch>
                  </pic:blipFill>
                  <pic:spPr>
                    <a:xfrm>
                      <a:off x="0" y="0"/>
                      <a:ext cx="4572000" cy="3429000"/>
                    </a:xfrm>
                    <a:prstGeom prst="rect">
                      <a:avLst/>
                    </a:prstGeom>
                  </pic:spPr>
                </pic:pic>
              </a:graphicData>
            </a:graphic>
            <wp14:sizeRelH relativeFrom="page">
              <wp14:pctWidth>0</wp14:pctWidth>
            </wp14:sizeRelH>
            <wp14:sizeRelV relativeFrom="page">
              <wp14:pctHeight>0</wp14:pctHeight>
            </wp14:sizeRelV>
          </wp:anchor>
        </w:drawing>
      </w:r>
    </w:p>
    <w:p w14:paraId="5180EFA4" w14:textId="77777777" w:rsidR="00AF0713" w:rsidRPr="00777F7D" w:rsidRDefault="00AF0713" w:rsidP="00777F7D">
      <w:pPr>
        <w:spacing w:line="360" w:lineRule="auto"/>
        <w:jc w:val="both"/>
        <w:rPr>
          <w:rFonts w:cs="Arial"/>
          <w:lang w:val="en-GB"/>
        </w:rPr>
      </w:pPr>
    </w:p>
    <w:p w14:paraId="04DD02B2" w14:textId="77777777" w:rsidR="00AF0713" w:rsidRPr="00777F7D" w:rsidRDefault="00AF0713" w:rsidP="00777F7D">
      <w:pPr>
        <w:spacing w:line="360" w:lineRule="auto"/>
        <w:jc w:val="both"/>
        <w:rPr>
          <w:rFonts w:cs="Arial"/>
          <w:lang w:val="en-GB"/>
        </w:rPr>
      </w:pPr>
    </w:p>
    <w:p w14:paraId="493958EA" w14:textId="77777777" w:rsidR="00AF0713" w:rsidRPr="00777F7D" w:rsidRDefault="00AF0713" w:rsidP="00777F7D">
      <w:pPr>
        <w:spacing w:line="360" w:lineRule="auto"/>
        <w:jc w:val="both"/>
        <w:rPr>
          <w:rFonts w:cs="Arial"/>
          <w:lang w:val="en-GB"/>
        </w:rPr>
      </w:pPr>
    </w:p>
    <w:p w14:paraId="16B3B4F6" w14:textId="77777777" w:rsidR="00AF0713" w:rsidRPr="00777F7D" w:rsidRDefault="00AF0713" w:rsidP="00777F7D">
      <w:pPr>
        <w:spacing w:line="360" w:lineRule="auto"/>
        <w:jc w:val="both"/>
        <w:rPr>
          <w:rFonts w:cs="Arial"/>
          <w:lang w:val="en-GB"/>
        </w:rPr>
      </w:pPr>
    </w:p>
    <w:p w14:paraId="2328ED08" w14:textId="77777777" w:rsidR="00AF0713" w:rsidRPr="00777F7D" w:rsidRDefault="00AF0713" w:rsidP="00777F7D">
      <w:pPr>
        <w:spacing w:line="360" w:lineRule="auto"/>
        <w:jc w:val="both"/>
        <w:rPr>
          <w:rFonts w:cs="Arial"/>
          <w:lang w:val="en-GB"/>
        </w:rPr>
      </w:pPr>
    </w:p>
    <w:p w14:paraId="24DCFEF9" w14:textId="77777777" w:rsidR="00AF0713" w:rsidRPr="00777F7D" w:rsidRDefault="00AF0713" w:rsidP="00777F7D">
      <w:pPr>
        <w:spacing w:line="360" w:lineRule="auto"/>
        <w:jc w:val="both"/>
        <w:rPr>
          <w:rFonts w:cs="Arial"/>
          <w:lang w:val="en-GB"/>
        </w:rPr>
      </w:pPr>
    </w:p>
    <w:p w14:paraId="073580B4" w14:textId="77777777" w:rsidR="00AF0713" w:rsidRPr="00777F7D" w:rsidRDefault="00AF0713" w:rsidP="00777F7D">
      <w:pPr>
        <w:spacing w:line="360" w:lineRule="auto"/>
        <w:jc w:val="both"/>
        <w:rPr>
          <w:rFonts w:cs="Arial"/>
          <w:lang w:val="en-GB"/>
        </w:rPr>
      </w:pPr>
    </w:p>
    <w:p w14:paraId="0342621A" w14:textId="77777777" w:rsidR="00AF0713" w:rsidRPr="00777F7D" w:rsidRDefault="00AF0713" w:rsidP="00777F7D">
      <w:pPr>
        <w:spacing w:line="360" w:lineRule="auto"/>
        <w:jc w:val="both"/>
        <w:rPr>
          <w:rFonts w:cs="Arial"/>
          <w:lang w:val="en-GB"/>
        </w:rPr>
      </w:pPr>
    </w:p>
    <w:p w14:paraId="2FDE1C3E" w14:textId="77777777" w:rsidR="00AF0713" w:rsidRPr="00777F7D" w:rsidRDefault="00AF0713" w:rsidP="00777F7D">
      <w:pPr>
        <w:spacing w:line="360" w:lineRule="auto"/>
        <w:jc w:val="both"/>
        <w:rPr>
          <w:rFonts w:cs="Arial"/>
          <w:lang w:val="en-GB"/>
        </w:rPr>
      </w:pPr>
    </w:p>
    <w:p w14:paraId="0FBDB2C2" w14:textId="77777777" w:rsidR="00093774" w:rsidRDefault="006D550C">
      <w:pPr>
        <w:spacing w:line="360" w:lineRule="auto"/>
        <w:jc w:val="both"/>
        <w:rPr>
          <w:b/>
        </w:rPr>
      </w:pPr>
      <w:r>
        <w:rPr>
          <w:b/>
        </w:rPr>
        <w:t>Figure 3: UK Stroke Incidence per 1,000 Population by Age Group</w:t>
      </w:r>
      <w:r w:rsidR="00093774">
        <w:rPr>
          <w:b/>
        </w:rPr>
        <w:t xml:space="preserve"> </w:t>
      </w:r>
      <w:r>
        <w:rPr>
          <w:b/>
        </w:rPr>
        <w:t xml:space="preserve"> </w:t>
      </w:r>
    </w:p>
    <w:p w14:paraId="3EE0E875" w14:textId="0C682F2E" w:rsidR="006D550C" w:rsidRDefault="00093774">
      <w:pPr>
        <w:spacing w:line="360" w:lineRule="auto"/>
        <w:jc w:val="both"/>
        <w:rPr>
          <w:kern w:val="2"/>
          <w:lang w:val="en-GB" w:eastAsia="en-GB"/>
          <w14:ligatures w14:val="standardContextual"/>
        </w:rPr>
      </w:pPr>
      <w:r>
        <w:rPr>
          <w:b/>
        </w:rPr>
        <w:t>(</w:t>
      </w:r>
      <w:r w:rsidR="006D550C" w:rsidRPr="00B36383">
        <w:rPr>
          <w:bCs/>
        </w:rPr>
        <w:t>Source:</w:t>
      </w:r>
      <w:r w:rsidR="00D42699" w:rsidRPr="00B36383">
        <w:rPr>
          <w:bCs/>
        </w:rPr>
        <w:t xml:space="preserve"> Adapted from</w:t>
      </w:r>
      <w:r w:rsidR="006D550C" w:rsidRPr="00B36383">
        <w:rPr>
          <w:bCs/>
        </w:rPr>
        <w:t xml:space="preserve"> Stroke Association, 2024; Office for National Statistics, 202</w:t>
      </w:r>
      <w:r w:rsidR="007A4E94">
        <w:rPr>
          <w:bCs/>
        </w:rPr>
        <w:t>4</w:t>
      </w:r>
      <w:r w:rsidR="006D550C">
        <w:rPr>
          <w:b/>
        </w:rPr>
        <w:t>)</w:t>
      </w:r>
    </w:p>
    <w:p w14:paraId="2B3E031F" w14:textId="77777777" w:rsidR="00AF0713" w:rsidRPr="00777F7D" w:rsidRDefault="00AF0713" w:rsidP="00777F7D">
      <w:pPr>
        <w:spacing w:line="360" w:lineRule="auto"/>
        <w:jc w:val="both"/>
        <w:rPr>
          <w:rFonts w:cs="Arial"/>
          <w:lang w:val="en-GB"/>
        </w:rPr>
      </w:pPr>
    </w:p>
    <w:p w14:paraId="48D94501" w14:textId="53CE4ADE" w:rsidR="006A0026" w:rsidRDefault="006A0026" w:rsidP="00777F7D">
      <w:pPr>
        <w:spacing w:line="360" w:lineRule="auto"/>
        <w:jc w:val="both"/>
        <w:rPr>
          <w:rFonts w:cs="Arial"/>
          <w:lang w:val="en-GB"/>
        </w:rPr>
      </w:pPr>
      <w:r w:rsidRPr="00777F7D">
        <w:rPr>
          <w:rFonts w:cs="Arial"/>
          <w:lang w:val="en-GB"/>
        </w:rPr>
        <w:t xml:space="preserve"> Although men are more likely to experience stroke, women often face worse outcomes due to longer life expectancy and different risk profiles. Genetic predisposition and ethnicity also play a role, with certain groups at higher risk due to both biological and environmental factors (Feigin et al., 2021; </w:t>
      </w:r>
      <w:proofErr w:type="spellStart"/>
      <w:r w:rsidR="00653486">
        <w:rPr>
          <w:rFonts w:cs="Arial"/>
          <w:lang w:val="en-GB"/>
        </w:rPr>
        <w:t>Zeraatiannejad</w:t>
      </w:r>
      <w:proofErr w:type="spellEnd"/>
      <w:r w:rsidR="00653486">
        <w:rPr>
          <w:rFonts w:cs="Arial"/>
          <w:lang w:val="en-GB"/>
        </w:rPr>
        <w:t xml:space="preserve"> et al., 2024</w:t>
      </w:r>
      <w:r w:rsidRPr="00777F7D">
        <w:rPr>
          <w:rFonts w:cs="Arial"/>
          <w:lang w:val="en-GB"/>
        </w:rPr>
        <w:t>).</w:t>
      </w:r>
    </w:p>
    <w:p w14:paraId="13D952C4" w14:textId="77777777" w:rsidR="003C40D7" w:rsidRPr="00777F7D" w:rsidRDefault="003C40D7" w:rsidP="00777F7D">
      <w:pPr>
        <w:spacing w:line="360" w:lineRule="auto"/>
        <w:jc w:val="both"/>
        <w:rPr>
          <w:rFonts w:cs="Arial"/>
          <w:lang w:val="en-GB"/>
        </w:rPr>
      </w:pPr>
    </w:p>
    <w:p w14:paraId="52391E04" w14:textId="5D831BF1" w:rsidR="006A0026" w:rsidRPr="00777F7D" w:rsidRDefault="006A0026" w:rsidP="00777F7D">
      <w:pPr>
        <w:spacing w:line="360" w:lineRule="auto"/>
        <w:jc w:val="both"/>
        <w:rPr>
          <w:rFonts w:cs="Arial"/>
          <w:lang w:val="en-GB"/>
        </w:rPr>
      </w:pPr>
      <w:r w:rsidRPr="00777F7D">
        <w:rPr>
          <w:rFonts w:cs="Arial"/>
          <w:lang w:val="en-GB"/>
        </w:rPr>
        <w:t xml:space="preserve">Modifiable risk factors such as individual lifestyle, poverty, education, housing quality and employment are central to prevention strategies. Hypertension is the most significant, contributing to both ischaemic and haemorrhagic strokes </w:t>
      </w:r>
      <w:r w:rsidR="000F6AAD" w:rsidRPr="00777F7D">
        <w:rPr>
          <w:rFonts w:cs="Arial"/>
          <w:lang w:val="en-GB"/>
        </w:rPr>
        <w:t>(</w:t>
      </w:r>
      <w:r w:rsidR="000F6AAD">
        <w:rPr>
          <w:rFonts w:cs="Arial"/>
          <w:lang w:val="en-GB"/>
        </w:rPr>
        <w:t>Feig</w:t>
      </w:r>
      <w:r w:rsidR="006D226A">
        <w:rPr>
          <w:rFonts w:cs="Arial"/>
          <w:lang w:val="en-GB"/>
        </w:rPr>
        <w:t>i</w:t>
      </w:r>
      <w:r w:rsidR="000F6AAD">
        <w:rPr>
          <w:rFonts w:cs="Arial"/>
          <w:lang w:val="en-GB"/>
        </w:rPr>
        <w:t>n</w:t>
      </w:r>
      <w:r w:rsidR="006C29B1">
        <w:rPr>
          <w:rFonts w:cs="Arial"/>
          <w:lang w:val="en-GB"/>
        </w:rPr>
        <w:t xml:space="preserve"> et al., 2</w:t>
      </w:r>
      <w:r w:rsidR="000F6AAD">
        <w:rPr>
          <w:rFonts w:cs="Arial"/>
          <w:lang w:val="en-GB"/>
        </w:rPr>
        <w:t>02</w:t>
      </w:r>
      <w:r w:rsidR="00F72B72">
        <w:rPr>
          <w:rFonts w:cs="Arial"/>
          <w:lang w:val="en-GB"/>
        </w:rPr>
        <w:t>4</w:t>
      </w:r>
      <w:r w:rsidR="000F6AAD">
        <w:rPr>
          <w:rFonts w:cs="Arial"/>
          <w:lang w:val="en-GB"/>
        </w:rPr>
        <w:t xml:space="preserve">; </w:t>
      </w:r>
      <w:r w:rsidR="00CD461D" w:rsidRPr="00777F7D">
        <w:rPr>
          <w:rFonts w:cs="Arial"/>
          <w:lang w:val="en-GB"/>
        </w:rPr>
        <w:t>O’Donnell</w:t>
      </w:r>
      <w:r w:rsidRPr="00777F7D">
        <w:rPr>
          <w:rFonts w:cs="Arial"/>
          <w:lang w:val="en-GB"/>
        </w:rPr>
        <w:t xml:space="preserve"> et al., 2016). Smoking damages blood vessels and </w:t>
      </w:r>
      <w:proofErr w:type="gramStart"/>
      <w:r w:rsidR="00FF68B6">
        <w:rPr>
          <w:rFonts w:cs="Arial"/>
          <w:lang w:val="en-GB"/>
        </w:rPr>
        <w:t>increases</w:t>
      </w:r>
      <w:proofErr w:type="gramEnd"/>
      <w:r w:rsidR="00E7693F">
        <w:rPr>
          <w:rFonts w:cs="Arial"/>
          <w:lang w:val="en-GB"/>
        </w:rPr>
        <w:t xml:space="preserve"> </w:t>
      </w:r>
      <w:r w:rsidRPr="00777F7D">
        <w:rPr>
          <w:rFonts w:cs="Arial"/>
          <w:lang w:val="en-GB"/>
        </w:rPr>
        <w:t>clot formation, while excessive alcohol consumption raises blood pressure. Obesity and physical inactivity are linked to conditions such as diabetes, which further increase stroke risk. Poor diet, particularly high salt and fat intake, also contributes to hypertension and cardiovascular disease.</w:t>
      </w:r>
    </w:p>
    <w:p w14:paraId="611812ED" w14:textId="2D1AD022" w:rsidR="00070A6D" w:rsidRPr="00777F7D" w:rsidRDefault="00070A6D" w:rsidP="00777F7D">
      <w:pPr>
        <w:spacing w:line="360" w:lineRule="auto"/>
        <w:jc w:val="both"/>
        <w:rPr>
          <w:rFonts w:cs="Arial"/>
          <w:lang w:val="en-GB"/>
        </w:rPr>
      </w:pPr>
    </w:p>
    <w:p w14:paraId="74415372" w14:textId="00322118" w:rsidR="006A0026" w:rsidRPr="00777F7D" w:rsidRDefault="006A0026" w:rsidP="00777F7D">
      <w:pPr>
        <w:spacing w:line="360" w:lineRule="auto"/>
        <w:jc w:val="both"/>
        <w:rPr>
          <w:rFonts w:cs="Arial"/>
          <w:lang w:val="en-GB"/>
        </w:rPr>
      </w:pPr>
      <w:r w:rsidRPr="00777F7D">
        <w:rPr>
          <w:rFonts w:cs="Arial"/>
          <w:lang w:val="en-GB"/>
        </w:rPr>
        <w:t xml:space="preserve">However, focusing solely on individual lifestyle choices overlooks the influence of wider </w:t>
      </w:r>
      <w:r w:rsidR="00003CC1">
        <w:rPr>
          <w:rFonts w:cs="Arial"/>
          <w:lang w:val="en-GB"/>
        </w:rPr>
        <w:t>non</w:t>
      </w:r>
      <w:r w:rsidR="006A70D7">
        <w:rPr>
          <w:rFonts w:cs="Arial"/>
          <w:lang w:val="en-GB"/>
        </w:rPr>
        <w:t xml:space="preserve">-medical </w:t>
      </w:r>
      <w:r w:rsidR="00582D37">
        <w:rPr>
          <w:rFonts w:cs="Arial"/>
          <w:lang w:val="en-GB"/>
        </w:rPr>
        <w:t>health drivers</w:t>
      </w:r>
      <w:r w:rsidRPr="00777F7D">
        <w:rPr>
          <w:rFonts w:cs="Arial"/>
          <w:lang w:val="en-GB"/>
        </w:rPr>
        <w:t>. Factors such as income, education and access to healthcare significantly affect exposure to risk factors and the ability to manage them. Individuals from lower socioeconomic backgrounds are more likely to experience higher rates of smoking, poor nutrition and limited access to preventive care (Marmot et al., 2020). Environmental factors, including access to healthy food and safe spaces for physical activity, further influence health behaviours.</w:t>
      </w:r>
    </w:p>
    <w:p w14:paraId="092B2E02" w14:textId="257CD91B" w:rsidR="006A0026" w:rsidRPr="00777F7D" w:rsidRDefault="006A0026" w:rsidP="00777F7D">
      <w:pPr>
        <w:spacing w:line="360" w:lineRule="auto"/>
        <w:jc w:val="both"/>
        <w:rPr>
          <w:rFonts w:cs="Arial"/>
          <w:lang w:val="en-GB"/>
        </w:rPr>
      </w:pPr>
      <w:r w:rsidRPr="00777F7D">
        <w:rPr>
          <w:rFonts w:cs="Arial"/>
          <w:lang w:val="en-GB"/>
        </w:rPr>
        <w:t>Critically, the World Stroke Organisation (2025)   emphasises that public health interventions that focus solely on behaviour change may be insufficient if structural and social inequalities are not addressed. Therefore, reducing stroke incidence requires a comprehensive approach that combines individual-level interventions with broader population-wide policy measures to improve socioeconomic conditions.</w:t>
      </w:r>
    </w:p>
    <w:p w14:paraId="5890C44A" w14:textId="2370C8CF" w:rsidR="006A0026" w:rsidRPr="00777F7D" w:rsidRDefault="006A0026" w:rsidP="00777F7D">
      <w:pPr>
        <w:spacing w:line="360" w:lineRule="auto"/>
        <w:jc w:val="both"/>
        <w:rPr>
          <w:rFonts w:cs="Arial"/>
          <w:lang w:val="en-GB"/>
        </w:rPr>
      </w:pPr>
    </w:p>
    <w:p w14:paraId="00A69D87" w14:textId="4EE9711E" w:rsidR="00070A6D" w:rsidRPr="00777F7D" w:rsidRDefault="009C341A" w:rsidP="00777F7D">
      <w:pPr>
        <w:spacing w:line="360" w:lineRule="auto"/>
        <w:jc w:val="both"/>
        <w:rPr>
          <w:rFonts w:cs="Arial"/>
          <w:lang w:val="en-GB"/>
        </w:rPr>
      </w:pPr>
      <w:r w:rsidRPr="009C341A">
        <w:rPr>
          <w:rFonts w:cs="Arial"/>
          <w:noProof/>
          <w:lang w:val="en-GB" w:eastAsia="en-GB"/>
        </w:rPr>
        <w:drawing>
          <wp:anchor distT="0" distB="0" distL="114300" distR="114300" simplePos="0" relativeHeight="251661314" behindDoc="1" locked="0" layoutInCell="1" allowOverlap="1" wp14:anchorId="3C3E7DBE" wp14:editId="650E04BB">
            <wp:simplePos x="0" y="0"/>
            <wp:positionH relativeFrom="column">
              <wp:posOffset>0</wp:posOffset>
            </wp:positionH>
            <wp:positionV relativeFrom="paragraph">
              <wp:posOffset>0</wp:posOffset>
            </wp:positionV>
            <wp:extent cx="6249272" cy="3934374"/>
            <wp:effectExtent l="19050" t="19050" r="18415" b="28575"/>
            <wp:wrapTight wrapText="bothSides">
              <wp:wrapPolygon edited="0">
                <wp:start x="-66" y="-105"/>
                <wp:lineTo x="-66" y="21652"/>
                <wp:lineTo x="21598" y="21652"/>
                <wp:lineTo x="21598" y="-105"/>
                <wp:lineTo x="-66" y="-105"/>
              </wp:wrapPolygon>
            </wp:wrapTight>
            <wp:docPr id="1523056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056793" name=""/>
                    <pic:cNvPicPr/>
                  </pic:nvPicPr>
                  <pic:blipFill>
                    <a:blip r:embed="rId12"/>
                    <a:stretch>
                      <a:fillRect/>
                    </a:stretch>
                  </pic:blipFill>
                  <pic:spPr>
                    <a:xfrm>
                      <a:off x="0" y="0"/>
                      <a:ext cx="6249272" cy="3934374"/>
                    </a:xfrm>
                    <a:prstGeom prst="rect">
                      <a:avLst/>
                    </a:prstGeom>
                    <a:ln>
                      <a:solidFill>
                        <a:schemeClr val="accent1">
                          <a:alpha val="53000"/>
                        </a:schemeClr>
                      </a:solidFill>
                    </a:ln>
                  </pic:spPr>
                </pic:pic>
              </a:graphicData>
            </a:graphic>
          </wp:anchor>
        </w:drawing>
      </w:r>
    </w:p>
    <w:p w14:paraId="162BC19A" w14:textId="77777777" w:rsidR="003418E2" w:rsidRDefault="006A0026" w:rsidP="00777F7D">
      <w:pPr>
        <w:spacing w:line="360" w:lineRule="auto"/>
        <w:jc w:val="both"/>
        <w:rPr>
          <w:rFonts w:cs="Arial"/>
          <w:b/>
          <w:bCs/>
          <w:lang w:val="en-GB"/>
        </w:rPr>
      </w:pPr>
      <w:r w:rsidRPr="00777F7D">
        <w:rPr>
          <w:rFonts w:cs="Arial"/>
          <w:b/>
          <w:bCs/>
          <w:lang w:val="en-GB"/>
        </w:rPr>
        <w:t xml:space="preserve">Figure 4: </w:t>
      </w:r>
      <w:r w:rsidR="00AE7326">
        <w:rPr>
          <w:rFonts w:cs="Arial"/>
          <w:b/>
          <w:bCs/>
          <w:lang w:val="en-GB"/>
        </w:rPr>
        <w:t>Distribution</w:t>
      </w:r>
      <w:r w:rsidRPr="00777F7D">
        <w:rPr>
          <w:rFonts w:cs="Arial"/>
          <w:b/>
          <w:bCs/>
          <w:lang w:val="en-GB"/>
        </w:rPr>
        <w:t xml:space="preserve"> of Stroke Types </w:t>
      </w:r>
      <w:r w:rsidR="004A2791">
        <w:rPr>
          <w:rFonts w:cs="Arial"/>
          <w:b/>
          <w:bCs/>
          <w:lang w:val="en-GB"/>
        </w:rPr>
        <w:t>(</w:t>
      </w:r>
      <w:r w:rsidR="00974980">
        <w:rPr>
          <w:rFonts w:cs="Arial"/>
          <w:b/>
          <w:bCs/>
          <w:lang w:val="en-GB"/>
        </w:rPr>
        <w:t>Ischemic</w:t>
      </w:r>
      <w:r w:rsidR="004A2791">
        <w:rPr>
          <w:rFonts w:cs="Arial"/>
          <w:b/>
          <w:bCs/>
          <w:lang w:val="en-GB"/>
        </w:rPr>
        <w:t xml:space="preserve"> and </w:t>
      </w:r>
      <w:r w:rsidRPr="00777F7D">
        <w:rPr>
          <w:rFonts w:cs="Arial"/>
          <w:b/>
          <w:bCs/>
          <w:lang w:val="en-GB"/>
        </w:rPr>
        <w:t xml:space="preserve">Haemorrhagic </w:t>
      </w:r>
      <w:r w:rsidR="00A96B0A">
        <w:rPr>
          <w:rFonts w:cs="Arial"/>
          <w:b/>
          <w:bCs/>
          <w:lang w:val="en-GB"/>
        </w:rPr>
        <w:t>Stroke</w:t>
      </w:r>
      <w:r w:rsidR="004A2791">
        <w:rPr>
          <w:rFonts w:cs="Arial"/>
          <w:b/>
          <w:bCs/>
          <w:lang w:val="en-GB"/>
        </w:rPr>
        <w:t>)</w:t>
      </w:r>
      <w:r w:rsidR="00974980">
        <w:rPr>
          <w:rFonts w:cs="Arial"/>
          <w:b/>
          <w:bCs/>
          <w:lang w:val="en-GB"/>
        </w:rPr>
        <w:t>.</w:t>
      </w:r>
      <w:r w:rsidRPr="00777F7D">
        <w:rPr>
          <w:rFonts w:cs="Arial"/>
          <w:b/>
          <w:bCs/>
          <w:lang w:val="en-GB"/>
        </w:rPr>
        <w:t xml:space="preserve"> </w:t>
      </w:r>
    </w:p>
    <w:p w14:paraId="376D8E98" w14:textId="7DB6FB4C" w:rsidR="00070A6D" w:rsidRPr="001F1681" w:rsidRDefault="003418E2" w:rsidP="00777F7D">
      <w:pPr>
        <w:spacing w:line="360" w:lineRule="auto"/>
        <w:jc w:val="both"/>
        <w:rPr>
          <w:rFonts w:cs="Arial"/>
          <w:lang w:val="en-GB"/>
        </w:rPr>
      </w:pPr>
      <w:r>
        <w:rPr>
          <w:rFonts w:cs="Arial"/>
          <w:b/>
          <w:bCs/>
          <w:lang w:val="en-GB"/>
        </w:rPr>
        <w:t>(</w:t>
      </w:r>
      <w:r w:rsidR="006A0026" w:rsidRPr="001F1681">
        <w:rPr>
          <w:rFonts w:cs="Arial"/>
          <w:lang w:val="en-GB"/>
        </w:rPr>
        <w:t xml:space="preserve">Source: </w:t>
      </w:r>
      <w:r w:rsidR="00BE0DBD" w:rsidRPr="001F1681">
        <w:rPr>
          <w:rFonts w:cs="Arial"/>
          <w:lang w:val="en-GB"/>
        </w:rPr>
        <w:t>Adapted from</w:t>
      </w:r>
      <w:r w:rsidR="00974980" w:rsidRPr="001F1681">
        <w:rPr>
          <w:rFonts w:cs="Arial"/>
          <w:lang w:val="en-GB"/>
        </w:rPr>
        <w:t xml:space="preserve"> </w:t>
      </w:r>
      <w:r w:rsidR="00101805" w:rsidRPr="001F1681">
        <w:rPr>
          <w:rFonts w:cs="Arial"/>
          <w:lang w:val="en-GB"/>
        </w:rPr>
        <w:t xml:space="preserve">World Health </w:t>
      </w:r>
      <w:r w:rsidR="00621AE4" w:rsidRPr="001F1681">
        <w:rPr>
          <w:rFonts w:cs="Arial"/>
          <w:lang w:val="en-GB"/>
        </w:rPr>
        <w:t>Organisation, 2024; Stroke Association, 2024.</w:t>
      </w:r>
      <w:r>
        <w:rPr>
          <w:rFonts w:cs="Arial"/>
          <w:lang w:val="en-GB"/>
        </w:rPr>
        <w:t>)</w:t>
      </w:r>
    </w:p>
    <w:p w14:paraId="44C72240" w14:textId="0DFCD46A" w:rsidR="006A0026" w:rsidRPr="00777F7D" w:rsidRDefault="006A0026" w:rsidP="00777F7D">
      <w:pPr>
        <w:pStyle w:val="Heading1"/>
        <w:spacing w:line="360" w:lineRule="auto"/>
        <w:jc w:val="both"/>
        <w:rPr>
          <w:rFonts w:ascii="Arial" w:hAnsi="Arial" w:cs="Arial"/>
          <w:sz w:val="22"/>
          <w:szCs w:val="22"/>
          <w:lang w:val="en-GB"/>
        </w:rPr>
      </w:pPr>
      <w:bookmarkStart w:id="4" w:name="_Toc227439878"/>
      <w:r w:rsidRPr="00777F7D">
        <w:rPr>
          <w:rFonts w:ascii="Arial" w:hAnsi="Arial" w:cs="Arial"/>
          <w:sz w:val="22"/>
          <w:szCs w:val="22"/>
          <w:lang w:val="en-GB"/>
        </w:rPr>
        <w:t>Public Health Consequences of Stroke</w:t>
      </w:r>
      <w:bookmarkEnd w:id="4"/>
    </w:p>
    <w:p w14:paraId="7A2BBB4B" w14:textId="77777777" w:rsidR="00777F7D" w:rsidRPr="00777F7D" w:rsidRDefault="00777F7D" w:rsidP="00777F7D">
      <w:pPr>
        <w:spacing w:line="360" w:lineRule="auto"/>
        <w:jc w:val="both"/>
        <w:rPr>
          <w:rFonts w:cs="Arial"/>
          <w:lang w:val="en-GB"/>
        </w:rPr>
      </w:pPr>
    </w:p>
    <w:p w14:paraId="2679C326" w14:textId="3D50A71A" w:rsidR="006A0026" w:rsidRPr="00777F7D" w:rsidRDefault="006A0026" w:rsidP="00777F7D">
      <w:pPr>
        <w:spacing w:line="360" w:lineRule="auto"/>
        <w:jc w:val="both"/>
        <w:rPr>
          <w:rFonts w:cs="Arial"/>
          <w:lang w:val="en-GB"/>
        </w:rPr>
      </w:pPr>
      <w:r w:rsidRPr="00777F7D">
        <w:rPr>
          <w:rFonts w:cs="Arial"/>
          <w:lang w:val="en-GB"/>
        </w:rPr>
        <w:t>Stroke has significant short- and long-term consequences for individuals, communities and healthcare systems. In the short term, stroke can cause severe neurological impairments, including paralysis, speech difficulties and cognitive dysfunction, often requiring immediate hospitalisation. Although advances in treatment have improved survival rates, this has resulted in more individuals living with long-term disabilities (Feigin et al., 202</w:t>
      </w:r>
      <w:r w:rsidR="00085380">
        <w:rPr>
          <w:rFonts w:cs="Arial"/>
          <w:lang w:val="en-GB"/>
        </w:rPr>
        <w:t>5</w:t>
      </w:r>
      <w:r w:rsidRPr="00777F7D">
        <w:rPr>
          <w:rFonts w:cs="Arial"/>
          <w:lang w:val="en-GB"/>
        </w:rPr>
        <w:t>).</w:t>
      </w:r>
    </w:p>
    <w:p w14:paraId="284050BD" w14:textId="5252557F" w:rsidR="006A0026" w:rsidRPr="00777F7D" w:rsidRDefault="00582D37" w:rsidP="00777F7D">
      <w:pPr>
        <w:spacing w:line="360" w:lineRule="auto"/>
        <w:jc w:val="both"/>
        <w:rPr>
          <w:rFonts w:cs="Arial"/>
          <w:lang w:val="en-GB"/>
        </w:rPr>
      </w:pPr>
      <w:r>
        <w:rPr>
          <w:rFonts w:cs="Arial"/>
          <w:lang w:val="en-GB"/>
        </w:rPr>
        <w:t xml:space="preserve">Ongoing </w:t>
      </w:r>
      <w:r w:rsidR="006A0026" w:rsidRPr="00777F7D">
        <w:rPr>
          <w:rFonts w:cs="Arial"/>
          <w:lang w:val="en-GB"/>
        </w:rPr>
        <w:t>consequences include reduced mobility, chronic health conditions and psychological effects such as depression and anxiety. These outcomes can significantly reduce quality of life and increase dependence on caregivers (Hackett and Pickles, 2014). Many stroke survivors require ongoing rehabilitation and support, placing emotional and financial strain on families.</w:t>
      </w:r>
    </w:p>
    <w:p w14:paraId="46662486" w14:textId="77777777" w:rsidR="006A0026" w:rsidRPr="00777F7D" w:rsidRDefault="006A0026" w:rsidP="00777F7D">
      <w:pPr>
        <w:spacing w:line="360" w:lineRule="auto"/>
        <w:jc w:val="both"/>
        <w:rPr>
          <w:rFonts w:cs="Arial"/>
          <w:lang w:val="en-GB"/>
        </w:rPr>
      </w:pPr>
      <w:r w:rsidRPr="00777F7D">
        <w:rPr>
          <w:rFonts w:cs="Arial"/>
          <w:lang w:val="en-GB"/>
        </w:rPr>
        <w:t>At a societal level, stroke contributes to reduced workforce participation and productivity. This has wider economic implications, particularly when individuals are unable to return to work. In the UK, stroke places a substantial financial burden on the NHS and social care services (Stroke Association, 2024).</w:t>
      </w:r>
    </w:p>
    <w:p w14:paraId="6240305C" w14:textId="220E1D0D" w:rsidR="006A0026" w:rsidRPr="00777F7D" w:rsidRDefault="006A0026" w:rsidP="00777F7D">
      <w:pPr>
        <w:spacing w:line="360" w:lineRule="auto"/>
        <w:jc w:val="both"/>
        <w:rPr>
          <w:rFonts w:cs="Arial"/>
          <w:lang w:val="en-GB"/>
        </w:rPr>
      </w:pPr>
      <w:r w:rsidRPr="00777F7D">
        <w:rPr>
          <w:rFonts w:cs="Arial"/>
          <w:lang w:val="en-GB"/>
        </w:rPr>
        <w:t>Healthcare systems face increasing pressure due to ageing populations and improved survival rates. This increases demand for acute care, rehabilitation services and long-term support. Without effective prevention strategies, the burden of stroke is likely to continue rising, highlighting the importance of sustainable healthcare planning (World Stroke Organisation, 2025).</w:t>
      </w:r>
    </w:p>
    <w:p w14:paraId="1864ED68" w14:textId="127D4322" w:rsidR="00777F7D" w:rsidRPr="00777F7D" w:rsidRDefault="006A0026" w:rsidP="00777F7D">
      <w:pPr>
        <w:pStyle w:val="Heading1"/>
        <w:spacing w:line="360" w:lineRule="auto"/>
        <w:jc w:val="both"/>
        <w:rPr>
          <w:rFonts w:ascii="Arial" w:hAnsi="Arial" w:cs="Arial"/>
          <w:sz w:val="22"/>
          <w:szCs w:val="22"/>
          <w:lang w:val="en-GB"/>
        </w:rPr>
      </w:pPr>
      <w:bookmarkStart w:id="5" w:name="_Toc227439879"/>
      <w:r w:rsidRPr="00777F7D">
        <w:rPr>
          <w:rFonts w:ascii="Arial" w:hAnsi="Arial" w:cs="Arial"/>
          <w:sz w:val="22"/>
          <w:szCs w:val="22"/>
          <w:lang w:val="en-GB"/>
        </w:rPr>
        <w:t>Strategies to Support Health and Well-being</w:t>
      </w:r>
      <w:bookmarkEnd w:id="5"/>
    </w:p>
    <w:p w14:paraId="4315FD1F" w14:textId="7F5FB74A" w:rsidR="006A0026" w:rsidRPr="00777F7D" w:rsidRDefault="006A0026" w:rsidP="00777F7D">
      <w:pPr>
        <w:spacing w:line="360" w:lineRule="auto"/>
        <w:jc w:val="both"/>
        <w:rPr>
          <w:rFonts w:cs="Arial"/>
          <w:lang w:val="en-GB"/>
        </w:rPr>
      </w:pPr>
      <w:r w:rsidRPr="00777F7D">
        <w:rPr>
          <w:rFonts w:cs="Arial"/>
          <w:lang w:val="en-GB"/>
        </w:rPr>
        <w:t xml:space="preserve">Supporting individuals affected by stroke requires a multidisciplinary and holistic approach. Rehabilitation is a key component of recovery, involving physiotherapy, occupational therapy and speech and language therapy. Evidence indicates that early and appropriately intensive rehabilitation significantly improves functional outcomes, independence, and activities of daily living (Langhorne et al., 2017; Wei et al., 2024). However, access to these services is not always equitable, leading to disparities associated with socioeconomic status, geography and broader healthcare factors, </w:t>
      </w:r>
      <w:r w:rsidR="008C049F">
        <w:rPr>
          <w:rFonts w:cs="Arial"/>
          <w:lang w:val="en-GB"/>
        </w:rPr>
        <w:t>resulting</w:t>
      </w:r>
      <w:r w:rsidRPr="00777F7D">
        <w:rPr>
          <w:rFonts w:cs="Arial"/>
          <w:lang w:val="en-GB"/>
        </w:rPr>
        <w:t xml:space="preserve"> in unequal recovery (Chavez et al., 2024).</w:t>
      </w:r>
    </w:p>
    <w:p w14:paraId="3D9C5572" w14:textId="097CB925" w:rsidR="006A0026" w:rsidRPr="00777F7D" w:rsidRDefault="006A0026" w:rsidP="00777F7D">
      <w:pPr>
        <w:spacing w:line="360" w:lineRule="auto"/>
        <w:jc w:val="both"/>
        <w:rPr>
          <w:rFonts w:cs="Arial"/>
          <w:lang w:val="en-GB"/>
        </w:rPr>
      </w:pPr>
      <w:r w:rsidRPr="00777F7D">
        <w:rPr>
          <w:rFonts w:cs="Arial"/>
          <w:lang w:val="en-GB"/>
        </w:rPr>
        <w:t>Community-based integrated support plays an important role in promoting long-term well-being. Services provided by organisations such as the Stroke Association offer emotional support, education and practical assistance to help individuals adjust to life after stroke. Such services are particularly important in addressing the psychological and social consequences of the condition (NICE, 2023; NHS England, 2022).</w:t>
      </w:r>
    </w:p>
    <w:p w14:paraId="3186BF52" w14:textId="04F17BA7" w:rsidR="006A0026" w:rsidRPr="00777F7D" w:rsidRDefault="006A0026" w:rsidP="00777F7D">
      <w:pPr>
        <w:spacing w:line="360" w:lineRule="auto"/>
        <w:jc w:val="both"/>
        <w:rPr>
          <w:rFonts w:cs="Arial"/>
          <w:lang w:val="en-GB"/>
        </w:rPr>
      </w:pPr>
      <w:r w:rsidRPr="00777F7D">
        <w:rPr>
          <w:rFonts w:cs="Arial"/>
          <w:lang w:val="en-GB"/>
        </w:rPr>
        <w:t>Preventive strategies are essential in reducing the risk of recurrent stroke. These include lifestyle changes such as improved diet, increased physical activity and smoking cessation, alongside medical management of conditions such as hypertension and diabetes (O’Donnell et al., 2016</w:t>
      </w:r>
      <w:r w:rsidR="007D5F90">
        <w:rPr>
          <w:rFonts w:cs="Arial"/>
          <w:lang w:val="en-GB"/>
        </w:rPr>
        <w:t>; Bushnell et al., 202</w:t>
      </w:r>
      <w:r w:rsidR="003C2E7F">
        <w:rPr>
          <w:rFonts w:cs="Arial"/>
          <w:lang w:val="en-GB"/>
        </w:rPr>
        <w:t>4</w:t>
      </w:r>
      <w:r w:rsidRPr="00777F7D">
        <w:rPr>
          <w:rFonts w:cs="Arial"/>
          <w:lang w:val="en-GB"/>
        </w:rPr>
        <w:t>). However, maintaining these changes can be challenging without ongoing support.</w:t>
      </w:r>
    </w:p>
    <w:p w14:paraId="19667C84" w14:textId="36D9C479" w:rsidR="006A0026" w:rsidRPr="00777F7D" w:rsidRDefault="006A0026" w:rsidP="00777F7D">
      <w:pPr>
        <w:spacing w:line="360" w:lineRule="auto"/>
        <w:jc w:val="both"/>
        <w:rPr>
          <w:rFonts w:cs="Arial"/>
          <w:lang w:val="en-GB"/>
        </w:rPr>
      </w:pPr>
      <w:r w:rsidRPr="00777F7D">
        <w:rPr>
          <w:rFonts w:cs="Arial"/>
          <w:lang w:val="en-GB"/>
        </w:rPr>
        <w:t>Public health campaigns continue to raise awareness of stroke symptoms and encourage early intervention. While these campaigns have been effective, their impact varies across different population groups (</w:t>
      </w:r>
      <w:r w:rsidR="00717EA0">
        <w:rPr>
          <w:rFonts w:cs="Arial"/>
          <w:lang w:val="en-GB"/>
        </w:rPr>
        <w:t>Bray</w:t>
      </w:r>
      <w:r w:rsidR="00C20D6D">
        <w:rPr>
          <w:rFonts w:cs="Arial"/>
          <w:lang w:val="en-GB"/>
        </w:rPr>
        <w:t xml:space="preserve"> </w:t>
      </w:r>
      <w:r w:rsidRPr="00777F7D">
        <w:rPr>
          <w:rFonts w:cs="Arial"/>
          <w:lang w:val="en-GB"/>
        </w:rPr>
        <w:t>et al., 2018). Therefore, targeted culturally appropriate interventions are needed to ensure wider reach and effectiveness.</w:t>
      </w:r>
    </w:p>
    <w:p w14:paraId="68B6470B" w14:textId="2D6E7F82" w:rsidR="006A0026" w:rsidRPr="00777F7D" w:rsidRDefault="006A0026" w:rsidP="00777F7D">
      <w:pPr>
        <w:spacing w:line="360" w:lineRule="auto"/>
        <w:jc w:val="both"/>
        <w:rPr>
          <w:rFonts w:cs="Arial"/>
          <w:lang w:val="en-GB"/>
        </w:rPr>
      </w:pPr>
      <w:r w:rsidRPr="00777F7D">
        <w:rPr>
          <w:rFonts w:cs="Arial"/>
          <w:lang w:val="en-GB"/>
        </w:rPr>
        <w:t xml:space="preserve">To improve outcomes, strategies must address </w:t>
      </w:r>
      <w:r w:rsidR="00F00890">
        <w:rPr>
          <w:rFonts w:cs="Arial"/>
          <w:lang w:val="en-GB"/>
        </w:rPr>
        <w:t>upst</w:t>
      </w:r>
      <w:r w:rsidR="00D6668E">
        <w:rPr>
          <w:rFonts w:cs="Arial"/>
          <w:lang w:val="en-GB"/>
        </w:rPr>
        <w:t xml:space="preserve">ream </w:t>
      </w:r>
      <w:r w:rsidR="00E32082">
        <w:rPr>
          <w:rFonts w:cs="Arial"/>
          <w:lang w:val="en-GB"/>
        </w:rPr>
        <w:t>impediments</w:t>
      </w:r>
      <w:r w:rsidR="00D6668E">
        <w:rPr>
          <w:rFonts w:cs="Arial"/>
          <w:lang w:val="en-GB"/>
        </w:rPr>
        <w:t>,</w:t>
      </w:r>
      <w:r w:rsidRPr="00777F7D">
        <w:rPr>
          <w:rFonts w:cs="Arial"/>
          <w:lang w:val="en-GB"/>
        </w:rPr>
        <w:t xml:space="preserve"> </w:t>
      </w:r>
      <w:r w:rsidR="00D6668E">
        <w:rPr>
          <w:rFonts w:cs="Arial"/>
          <w:lang w:val="en-GB"/>
        </w:rPr>
        <w:t>including</w:t>
      </w:r>
      <w:r w:rsidRPr="00777F7D">
        <w:rPr>
          <w:rFonts w:cs="Arial"/>
          <w:lang w:val="en-GB"/>
        </w:rPr>
        <w:t xml:space="preserve"> socioeconomic inequality and access to healthcare</w:t>
      </w:r>
      <w:r w:rsidR="00012E91">
        <w:rPr>
          <w:rFonts w:cs="Arial"/>
          <w:lang w:val="en-GB"/>
        </w:rPr>
        <w:t>,</w:t>
      </w:r>
      <w:r w:rsidR="00D6668E">
        <w:rPr>
          <w:rFonts w:cs="Arial"/>
          <w:lang w:val="en-GB"/>
        </w:rPr>
        <w:t xml:space="preserve"> reflecting the s</w:t>
      </w:r>
      <w:r w:rsidR="00012E91">
        <w:rPr>
          <w:rFonts w:cs="Arial"/>
          <w:lang w:val="en-GB"/>
        </w:rPr>
        <w:t xml:space="preserve">ocial </w:t>
      </w:r>
      <w:r w:rsidR="00123E6B">
        <w:rPr>
          <w:rFonts w:cs="Arial"/>
          <w:lang w:val="en-GB"/>
        </w:rPr>
        <w:t>driver</w:t>
      </w:r>
      <w:r w:rsidR="00013788">
        <w:rPr>
          <w:rFonts w:cs="Arial"/>
          <w:lang w:val="en-GB"/>
        </w:rPr>
        <w:t>s</w:t>
      </w:r>
      <w:r w:rsidR="00012E91">
        <w:rPr>
          <w:rFonts w:cs="Arial"/>
          <w:lang w:val="en-GB"/>
        </w:rPr>
        <w:t xml:space="preserve"> of health</w:t>
      </w:r>
      <w:r w:rsidR="006D1825">
        <w:rPr>
          <w:rFonts w:cs="Arial"/>
          <w:lang w:val="en-GB"/>
        </w:rPr>
        <w:t xml:space="preserve"> (Da</w:t>
      </w:r>
      <w:r w:rsidR="008018C1">
        <w:rPr>
          <w:rFonts w:cs="Arial"/>
          <w:lang w:val="en-GB"/>
        </w:rPr>
        <w:t>hlgren and Whitehead, 1991; Ma</w:t>
      </w:r>
      <w:r w:rsidR="008D4ECD">
        <w:rPr>
          <w:rFonts w:cs="Arial"/>
          <w:lang w:val="en-GB"/>
        </w:rPr>
        <w:t>rmot et al., 2020)</w:t>
      </w:r>
      <w:r w:rsidRPr="00777F7D">
        <w:rPr>
          <w:rFonts w:cs="Arial"/>
          <w:lang w:val="en-GB"/>
        </w:rPr>
        <w:t xml:space="preserve">. A more </w:t>
      </w:r>
      <w:r w:rsidR="00DF4756">
        <w:rPr>
          <w:rFonts w:cs="Arial"/>
          <w:lang w:val="en-GB"/>
        </w:rPr>
        <w:t xml:space="preserve">equity-focused </w:t>
      </w:r>
      <w:r w:rsidRPr="00777F7D">
        <w:rPr>
          <w:rFonts w:cs="Arial"/>
          <w:lang w:val="en-GB"/>
        </w:rPr>
        <w:t>approach</w:t>
      </w:r>
      <w:r w:rsidR="00E5209A">
        <w:rPr>
          <w:rFonts w:cs="Arial"/>
          <w:lang w:val="en-GB"/>
        </w:rPr>
        <w:t xml:space="preserve"> con</w:t>
      </w:r>
      <w:r w:rsidR="004E7621">
        <w:rPr>
          <w:rFonts w:cs="Arial"/>
          <w:lang w:val="en-GB"/>
        </w:rPr>
        <w:t>sistent with proportionate universalism</w:t>
      </w:r>
      <w:r w:rsidRPr="00777F7D">
        <w:rPr>
          <w:rFonts w:cs="Arial"/>
          <w:lang w:val="en-GB"/>
        </w:rPr>
        <w:t xml:space="preserve"> is essential to ensure</w:t>
      </w:r>
      <w:r w:rsidR="00C7458D">
        <w:rPr>
          <w:rFonts w:cs="Arial"/>
          <w:lang w:val="en-GB"/>
        </w:rPr>
        <w:t xml:space="preserve"> that</w:t>
      </w:r>
      <w:r w:rsidRPr="00777F7D">
        <w:rPr>
          <w:rFonts w:cs="Arial"/>
          <w:lang w:val="en-GB"/>
        </w:rPr>
        <w:t xml:space="preserve"> individuals benefit from available support</w:t>
      </w:r>
      <w:r w:rsidR="00F2108F">
        <w:rPr>
          <w:rFonts w:cs="Arial"/>
          <w:lang w:val="en-GB"/>
        </w:rPr>
        <w:t xml:space="preserve"> </w:t>
      </w:r>
      <w:r w:rsidR="00933F75">
        <w:rPr>
          <w:rFonts w:cs="Arial"/>
          <w:lang w:val="en-GB"/>
        </w:rPr>
        <w:t>(</w:t>
      </w:r>
      <w:r w:rsidR="00F2108F">
        <w:rPr>
          <w:rFonts w:cs="Arial"/>
          <w:lang w:val="en-GB"/>
        </w:rPr>
        <w:t>Ma</w:t>
      </w:r>
      <w:r w:rsidR="00933F75">
        <w:rPr>
          <w:rFonts w:cs="Arial"/>
          <w:lang w:val="en-GB"/>
        </w:rPr>
        <w:t>rmot et al., 2020)</w:t>
      </w:r>
      <w:r w:rsidR="000B0004">
        <w:rPr>
          <w:rFonts w:cs="Arial"/>
          <w:lang w:val="en-GB"/>
        </w:rPr>
        <w:t>.</w:t>
      </w:r>
    </w:p>
    <w:p w14:paraId="33D0595F" w14:textId="77777777" w:rsidR="006A0026" w:rsidRPr="00777F7D" w:rsidRDefault="006A0026" w:rsidP="00777F7D">
      <w:pPr>
        <w:pStyle w:val="Heading1"/>
        <w:spacing w:line="360" w:lineRule="auto"/>
        <w:jc w:val="both"/>
        <w:rPr>
          <w:rFonts w:ascii="Arial" w:hAnsi="Arial" w:cs="Arial"/>
          <w:sz w:val="22"/>
          <w:szCs w:val="22"/>
          <w:lang w:val="en-GB"/>
        </w:rPr>
      </w:pPr>
      <w:bookmarkStart w:id="6" w:name="_Toc227439880"/>
      <w:r w:rsidRPr="00777F7D">
        <w:rPr>
          <w:rFonts w:ascii="Arial" w:hAnsi="Arial" w:cs="Arial"/>
          <w:sz w:val="22"/>
          <w:szCs w:val="22"/>
          <w:lang w:val="en-GB"/>
        </w:rPr>
        <w:t>Conclusion</w:t>
      </w:r>
      <w:bookmarkEnd w:id="6"/>
    </w:p>
    <w:p w14:paraId="5B016C53" w14:textId="7ED065D1" w:rsidR="006A0026" w:rsidRPr="00777F7D" w:rsidRDefault="006A0026" w:rsidP="00777F7D">
      <w:pPr>
        <w:spacing w:line="360" w:lineRule="auto"/>
        <w:jc w:val="both"/>
        <w:rPr>
          <w:rFonts w:cs="Arial"/>
          <w:lang w:val="en-GB"/>
        </w:rPr>
      </w:pPr>
      <w:r w:rsidRPr="00777F7D">
        <w:rPr>
          <w:rFonts w:cs="Arial"/>
          <w:lang w:val="en-GB"/>
        </w:rPr>
        <w:t>In conclusion, stroke remains a major public health issue with a significant impact on individuals and healthcare systems. This report has critically examined how stroke is measured</w:t>
      </w:r>
      <w:r w:rsidR="00514233">
        <w:rPr>
          <w:rFonts w:cs="Arial"/>
          <w:lang w:val="en-GB"/>
        </w:rPr>
        <w:t>,</w:t>
      </w:r>
      <w:r w:rsidRPr="00777F7D">
        <w:rPr>
          <w:rFonts w:cs="Arial"/>
          <w:lang w:val="en-GB"/>
        </w:rPr>
        <w:t xml:space="preserve"> monitored</w:t>
      </w:r>
      <w:r w:rsidR="00514233">
        <w:rPr>
          <w:rFonts w:cs="Arial"/>
          <w:lang w:val="en-GB"/>
        </w:rPr>
        <w:t xml:space="preserve"> and controlled</w:t>
      </w:r>
      <w:r w:rsidRPr="00777F7D">
        <w:rPr>
          <w:rFonts w:cs="Arial"/>
          <w:lang w:val="en-GB"/>
        </w:rPr>
        <w:t>, highlighting both strengths and limitations of current approaches. The impact of modifiable and non-modifiable risk factors has been explored, alongside the influence of broader social determinants on health outcomes. The report has also demonstrated the substantial consequences of stroke and the pressure it places on healthcare services.</w:t>
      </w:r>
    </w:p>
    <w:p w14:paraId="60A58BAF" w14:textId="319343A7" w:rsidR="006A0026" w:rsidRPr="00777F7D" w:rsidRDefault="006A0026" w:rsidP="00777F7D">
      <w:pPr>
        <w:spacing w:line="360" w:lineRule="auto"/>
        <w:jc w:val="both"/>
        <w:rPr>
          <w:rFonts w:cs="Arial"/>
          <w:lang w:val="en-GB"/>
        </w:rPr>
      </w:pPr>
      <w:r w:rsidRPr="00777F7D">
        <w:rPr>
          <w:rFonts w:cs="Arial"/>
          <w:lang w:val="en-GB"/>
        </w:rPr>
        <w:t xml:space="preserve">To reduce the burden of stroke, public health strategies must prioritise prevention, early intervention and equitable access to care. It is recommended that greater emphasis be placed on reducing health inequalities, improving access to screening and increasing investment in rehabilitation and </w:t>
      </w:r>
      <w:r w:rsidR="003E3733">
        <w:rPr>
          <w:rFonts w:cs="Arial"/>
          <w:lang w:val="en-GB"/>
        </w:rPr>
        <w:t>integrated</w:t>
      </w:r>
      <w:r w:rsidR="000E5070">
        <w:rPr>
          <w:rFonts w:cs="Arial"/>
          <w:lang w:val="en-GB"/>
        </w:rPr>
        <w:t xml:space="preserve"> </w:t>
      </w:r>
      <w:r w:rsidRPr="00777F7D">
        <w:rPr>
          <w:rFonts w:cs="Arial"/>
          <w:lang w:val="en-GB"/>
        </w:rPr>
        <w:t xml:space="preserve">community support services. A comprehensive and </w:t>
      </w:r>
      <w:r w:rsidR="00B92E4D">
        <w:rPr>
          <w:rFonts w:cs="Arial"/>
          <w:lang w:val="en-GB"/>
        </w:rPr>
        <w:t>synthesised</w:t>
      </w:r>
      <w:r w:rsidRPr="00777F7D">
        <w:rPr>
          <w:rFonts w:cs="Arial"/>
          <w:lang w:val="en-GB"/>
        </w:rPr>
        <w:t xml:space="preserve"> approach will be essential in improving outcomes and reducing the overall impact of stroke on society.</w:t>
      </w:r>
    </w:p>
    <w:p w14:paraId="49ECA91E" w14:textId="67CCF749" w:rsidR="009D5C83" w:rsidRDefault="009D5C83">
      <w:pPr>
        <w:rPr>
          <w:rFonts w:cs="Arial"/>
          <w:lang w:val="en-GB"/>
        </w:rPr>
      </w:pPr>
      <w:r>
        <w:rPr>
          <w:rFonts w:cs="Arial"/>
          <w:lang w:val="en-GB"/>
        </w:rPr>
        <w:br w:type="page"/>
      </w:r>
    </w:p>
    <w:p w14:paraId="3D378DAD" w14:textId="77777777" w:rsidR="006A0026" w:rsidRPr="00777F7D" w:rsidRDefault="006A0026" w:rsidP="00777F7D">
      <w:pPr>
        <w:spacing w:line="360" w:lineRule="auto"/>
        <w:jc w:val="both"/>
        <w:rPr>
          <w:rFonts w:cs="Arial"/>
          <w:lang w:val="en-GB"/>
        </w:rPr>
      </w:pPr>
    </w:p>
    <w:p w14:paraId="6C8C5101" w14:textId="0C4D583E" w:rsidR="00777F7D" w:rsidRPr="003C30DF" w:rsidRDefault="006A0026" w:rsidP="00777F7D">
      <w:pPr>
        <w:pStyle w:val="Heading1"/>
        <w:spacing w:line="360" w:lineRule="auto"/>
        <w:jc w:val="both"/>
        <w:rPr>
          <w:rFonts w:ascii="Arial" w:hAnsi="Arial" w:cs="Arial"/>
          <w:i/>
          <w:iCs/>
          <w:sz w:val="22"/>
          <w:szCs w:val="22"/>
          <w:lang w:val="en-GB"/>
        </w:rPr>
      </w:pPr>
      <w:bookmarkStart w:id="7" w:name="_Toc227439881"/>
      <w:r w:rsidRPr="003C30DF">
        <w:rPr>
          <w:rFonts w:ascii="Arial" w:hAnsi="Arial" w:cs="Arial"/>
          <w:i/>
          <w:iCs/>
          <w:sz w:val="22"/>
          <w:szCs w:val="22"/>
          <w:lang w:val="en-GB"/>
        </w:rPr>
        <w:t>References</w:t>
      </w:r>
      <w:bookmarkEnd w:id="7"/>
    </w:p>
    <w:p w14:paraId="4F9C217F" w14:textId="3D7055AA" w:rsidR="009477FC" w:rsidRDefault="006A0026" w:rsidP="00777F7D">
      <w:pPr>
        <w:spacing w:line="360" w:lineRule="auto"/>
        <w:jc w:val="both"/>
        <w:rPr>
          <w:rFonts w:cs="Arial"/>
          <w:i/>
          <w:iCs/>
          <w:lang w:val="en-GB"/>
        </w:rPr>
      </w:pPr>
      <w:r w:rsidRPr="003C30DF">
        <w:rPr>
          <w:rFonts w:cs="Arial"/>
          <w:i/>
          <w:iCs/>
          <w:lang w:val="en-GB"/>
        </w:rPr>
        <w:t xml:space="preserve">Bonita, R., Beaglehole, R. and </w:t>
      </w:r>
      <w:proofErr w:type="spellStart"/>
      <w:r w:rsidRPr="003C30DF">
        <w:rPr>
          <w:rFonts w:cs="Arial"/>
          <w:i/>
          <w:iCs/>
          <w:lang w:val="en-GB"/>
        </w:rPr>
        <w:t>Kjellström</w:t>
      </w:r>
      <w:proofErr w:type="spellEnd"/>
      <w:r w:rsidRPr="003C30DF">
        <w:rPr>
          <w:rFonts w:cs="Arial"/>
          <w:i/>
          <w:iCs/>
          <w:lang w:val="en-GB"/>
        </w:rPr>
        <w:t>, T. (2020)</w:t>
      </w:r>
      <w:r w:rsidR="009D2960" w:rsidRPr="003C30DF">
        <w:rPr>
          <w:rFonts w:cs="Arial"/>
          <w:i/>
          <w:iCs/>
          <w:lang w:val="en-GB"/>
        </w:rPr>
        <w:t>.</w:t>
      </w:r>
      <w:r w:rsidRPr="003C30DF">
        <w:rPr>
          <w:rFonts w:cs="Arial"/>
          <w:i/>
          <w:iCs/>
          <w:lang w:val="en-GB"/>
        </w:rPr>
        <w:t xml:space="preserve"> Basic epidemiology. </w:t>
      </w:r>
      <w:r w:rsidR="0019388F" w:rsidRPr="003C30DF">
        <w:rPr>
          <w:rFonts w:cs="Arial"/>
          <w:i/>
          <w:iCs/>
          <w:lang w:val="en-GB"/>
        </w:rPr>
        <w:t>2</w:t>
      </w:r>
      <w:r w:rsidR="0019388F" w:rsidRPr="003C30DF">
        <w:rPr>
          <w:rFonts w:cs="Arial"/>
          <w:i/>
          <w:iCs/>
          <w:vertAlign w:val="superscript"/>
          <w:lang w:val="en-GB"/>
        </w:rPr>
        <w:t>nd</w:t>
      </w:r>
      <w:r w:rsidR="0019388F" w:rsidRPr="003C30DF">
        <w:rPr>
          <w:rFonts w:cs="Arial"/>
          <w:i/>
          <w:iCs/>
          <w:lang w:val="en-GB"/>
        </w:rPr>
        <w:t xml:space="preserve"> </w:t>
      </w:r>
      <w:r w:rsidR="009F0224" w:rsidRPr="003C30DF">
        <w:rPr>
          <w:rFonts w:cs="Arial"/>
          <w:i/>
          <w:iCs/>
          <w:lang w:val="en-GB"/>
        </w:rPr>
        <w:t>edition. Geneva</w:t>
      </w:r>
      <w:r w:rsidRPr="003C30DF">
        <w:rPr>
          <w:rFonts w:cs="Arial"/>
          <w:i/>
          <w:iCs/>
          <w:lang w:val="en-GB"/>
        </w:rPr>
        <w:t>: W</w:t>
      </w:r>
      <w:r w:rsidR="00AA56DD" w:rsidRPr="003C30DF">
        <w:rPr>
          <w:rFonts w:cs="Arial"/>
          <w:i/>
          <w:iCs/>
          <w:lang w:val="en-GB"/>
        </w:rPr>
        <w:t>orld Health Organisation</w:t>
      </w:r>
      <w:r w:rsidRPr="003C30DF">
        <w:rPr>
          <w:rFonts w:cs="Arial"/>
          <w:i/>
          <w:iCs/>
          <w:lang w:val="en-GB"/>
        </w:rPr>
        <w:t xml:space="preserve">. </w:t>
      </w:r>
    </w:p>
    <w:p w14:paraId="2D81817F" w14:textId="14759257" w:rsidR="00CA413C" w:rsidRDefault="000D7AC9" w:rsidP="00777F7D">
      <w:pPr>
        <w:spacing w:line="360" w:lineRule="auto"/>
        <w:jc w:val="both"/>
        <w:rPr>
          <w:rFonts w:cs="Arial"/>
          <w:i/>
          <w:iCs/>
          <w:lang w:val="en-GB"/>
        </w:rPr>
      </w:pPr>
      <w:r>
        <w:rPr>
          <w:rFonts w:cs="Arial"/>
          <w:i/>
          <w:iCs/>
          <w:lang w:val="en-GB"/>
        </w:rPr>
        <w:t>Bray</w:t>
      </w:r>
      <w:r w:rsidR="00D01EEA">
        <w:rPr>
          <w:rFonts w:cs="Arial"/>
          <w:i/>
          <w:iCs/>
          <w:lang w:val="en-GB"/>
        </w:rPr>
        <w:t xml:space="preserve">, B.D., </w:t>
      </w:r>
      <w:proofErr w:type="spellStart"/>
      <w:r w:rsidR="00D01EEA">
        <w:rPr>
          <w:rFonts w:cs="Arial"/>
          <w:i/>
          <w:iCs/>
          <w:lang w:val="en-GB"/>
        </w:rPr>
        <w:t>Ayis</w:t>
      </w:r>
      <w:proofErr w:type="spellEnd"/>
      <w:r w:rsidR="00D01EEA">
        <w:rPr>
          <w:rFonts w:cs="Arial"/>
          <w:i/>
          <w:iCs/>
          <w:lang w:val="en-GB"/>
        </w:rPr>
        <w:t xml:space="preserve">, S., Campbell, </w:t>
      </w:r>
      <w:r w:rsidR="00C342AA">
        <w:rPr>
          <w:rFonts w:cs="Arial"/>
          <w:i/>
          <w:iCs/>
          <w:lang w:val="en-GB"/>
        </w:rPr>
        <w:t>J., Hoffman, A., Roughton</w:t>
      </w:r>
      <w:r w:rsidR="009E35C6">
        <w:rPr>
          <w:rFonts w:cs="Arial"/>
          <w:i/>
          <w:iCs/>
          <w:lang w:val="en-GB"/>
        </w:rPr>
        <w:t>, M., Tyrell, P.J., Wolfe, C</w:t>
      </w:r>
      <w:r w:rsidR="00B01ADA">
        <w:rPr>
          <w:rFonts w:cs="Arial"/>
          <w:i/>
          <w:iCs/>
          <w:lang w:val="en-GB"/>
        </w:rPr>
        <w:t>.D.A</w:t>
      </w:r>
      <w:r w:rsidR="003A76B5">
        <w:rPr>
          <w:rFonts w:cs="Arial"/>
          <w:i/>
          <w:iCs/>
          <w:lang w:val="en-GB"/>
        </w:rPr>
        <w:t>.</w:t>
      </w:r>
      <w:r w:rsidR="0055795A">
        <w:rPr>
          <w:rFonts w:cs="Arial"/>
          <w:i/>
          <w:iCs/>
          <w:lang w:val="en-GB"/>
        </w:rPr>
        <w:t>, and Rudd</w:t>
      </w:r>
      <w:r w:rsidR="00380BE6">
        <w:rPr>
          <w:rFonts w:cs="Arial"/>
          <w:i/>
          <w:iCs/>
          <w:lang w:val="en-GB"/>
        </w:rPr>
        <w:t xml:space="preserve">, </w:t>
      </w:r>
      <w:r w:rsidR="0055795A">
        <w:rPr>
          <w:rFonts w:cs="Arial"/>
          <w:i/>
          <w:iCs/>
          <w:lang w:val="en-GB"/>
        </w:rPr>
        <w:t>A.G. (</w:t>
      </w:r>
      <w:r w:rsidR="00380BE6">
        <w:rPr>
          <w:rFonts w:cs="Arial"/>
          <w:i/>
          <w:iCs/>
          <w:lang w:val="en-GB"/>
        </w:rPr>
        <w:t>2018</w:t>
      </w:r>
      <w:r w:rsidR="00A650B2">
        <w:rPr>
          <w:rFonts w:cs="Arial"/>
          <w:i/>
          <w:iCs/>
          <w:lang w:val="en-GB"/>
        </w:rPr>
        <w:t>)’</w:t>
      </w:r>
      <w:r w:rsidR="0055795A">
        <w:rPr>
          <w:rFonts w:cs="Arial"/>
          <w:i/>
          <w:iCs/>
          <w:lang w:val="en-GB"/>
        </w:rPr>
        <w:t xml:space="preserve"> </w:t>
      </w:r>
      <w:r w:rsidR="00A650B2">
        <w:rPr>
          <w:rFonts w:cs="Arial"/>
          <w:i/>
          <w:iCs/>
          <w:lang w:val="en-GB"/>
        </w:rPr>
        <w:t>Association</w:t>
      </w:r>
      <w:r w:rsidR="0055795A">
        <w:rPr>
          <w:rFonts w:cs="Arial"/>
          <w:i/>
          <w:iCs/>
          <w:lang w:val="en-GB"/>
        </w:rPr>
        <w:t xml:space="preserve">s </w:t>
      </w:r>
      <w:r w:rsidR="0054508A">
        <w:rPr>
          <w:rFonts w:cs="Arial"/>
          <w:i/>
          <w:iCs/>
          <w:lang w:val="en-GB"/>
        </w:rPr>
        <w:t xml:space="preserve">between </w:t>
      </w:r>
      <w:r w:rsidR="00E671F7">
        <w:rPr>
          <w:rFonts w:cs="Arial"/>
          <w:i/>
          <w:iCs/>
          <w:lang w:val="en-GB"/>
        </w:rPr>
        <w:t>the organisation</w:t>
      </w:r>
      <w:r w:rsidR="0093470B">
        <w:rPr>
          <w:rFonts w:cs="Arial"/>
          <w:i/>
          <w:iCs/>
          <w:lang w:val="en-GB"/>
        </w:rPr>
        <w:t xml:space="preserve"> of </w:t>
      </w:r>
      <w:r w:rsidR="00E21055">
        <w:rPr>
          <w:rFonts w:cs="Arial"/>
          <w:i/>
          <w:iCs/>
          <w:lang w:val="en-GB"/>
        </w:rPr>
        <w:t>stroke services</w:t>
      </w:r>
      <w:r w:rsidR="00982BDD">
        <w:rPr>
          <w:rFonts w:cs="Arial"/>
          <w:i/>
          <w:iCs/>
          <w:lang w:val="en-GB"/>
        </w:rPr>
        <w:t>, process of care,</w:t>
      </w:r>
      <w:r w:rsidR="003E12EB">
        <w:rPr>
          <w:rFonts w:cs="Arial"/>
          <w:i/>
          <w:iCs/>
          <w:lang w:val="en-GB"/>
        </w:rPr>
        <w:t xml:space="preserve"> and mortality in England’, BMJ Open</w:t>
      </w:r>
      <w:r w:rsidR="007E7031">
        <w:rPr>
          <w:rFonts w:cs="Arial"/>
          <w:i/>
          <w:iCs/>
          <w:lang w:val="en-GB"/>
        </w:rPr>
        <w:t>, 8(e019827)</w:t>
      </w:r>
      <w:r w:rsidR="00BB6B8F">
        <w:rPr>
          <w:rFonts w:cs="Arial"/>
          <w:i/>
          <w:iCs/>
          <w:lang w:val="en-GB"/>
        </w:rPr>
        <w:t xml:space="preserve">. Available at: </w:t>
      </w:r>
      <w:hyperlink r:id="rId13" w:history="1">
        <w:r w:rsidR="002A1F19" w:rsidRPr="00D5387C">
          <w:rPr>
            <w:rStyle w:val="Hyperlink"/>
            <w:rFonts w:cs="Arial"/>
            <w:i/>
            <w:iCs/>
            <w:lang w:val="en-GB"/>
          </w:rPr>
          <w:t>https://doi.org/10.1136/bmjopen-2017-019827</w:t>
        </w:r>
      </w:hyperlink>
      <w:r w:rsidR="002A1F19">
        <w:rPr>
          <w:rFonts w:cs="Arial"/>
          <w:i/>
          <w:iCs/>
          <w:lang w:val="en-GB"/>
        </w:rPr>
        <w:t xml:space="preserve"> </w:t>
      </w:r>
      <w:r w:rsidR="00275CF6">
        <w:rPr>
          <w:rFonts w:cs="Arial"/>
          <w:i/>
          <w:iCs/>
          <w:lang w:val="en-GB"/>
        </w:rPr>
        <w:t>(</w:t>
      </w:r>
      <w:r w:rsidR="002A1F19">
        <w:rPr>
          <w:rFonts w:cs="Arial"/>
          <w:i/>
          <w:iCs/>
          <w:lang w:val="en-GB"/>
        </w:rPr>
        <w:t>Accessed: 15 April 2026).</w:t>
      </w:r>
    </w:p>
    <w:p w14:paraId="7D7F4B46" w14:textId="77777777" w:rsidR="00D12E22" w:rsidRDefault="00596D30" w:rsidP="00596D30">
      <w:pPr>
        <w:spacing w:line="360" w:lineRule="auto"/>
        <w:jc w:val="both"/>
        <w:rPr>
          <w:rFonts w:cs="Arial"/>
          <w:i/>
          <w:iCs/>
          <w:lang w:val="en-GB"/>
        </w:rPr>
      </w:pPr>
      <w:r w:rsidRPr="00596D30">
        <w:rPr>
          <w:rFonts w:cs="Arial"/>
          <w:i/>
          <w:iCs/>
          <w:lang w:val="en-GB"/>
        </w:rPr>
        <w:t xml:space="preserve">Bushnell, C., Kernan, W.N., Sharrief, A.Z., Chaturvedi, S., Cole, J.W., Cornwell, W.K., Cosby-Gaither, C., Doyle, S., Goldstein, L.B., Lennon, O., Levine, D.A., Love, M., Miller, E., Nguyen-Huynh, M., Rasmussen-Winkler, J., Rexrode, K.M., Rosendale, N., Sarma, S., </w:t>
      </w:r>
      <w:proofErr w:type="spellStart"/>
      <w:r w:rsidRPr="00596D30">
        <w:rPr>
          <w:rFonts w:cs="Arial"/>
          <w:i/>
          <w:iCs/>
          <w:lang w:val="en-GB"/>
        </w:rPr>
        <w:t>Shimbo</w:t>
      </w:r>
      <w:proofErr w:type="spellEnd"/>
      <w:r w:rsidRPr="00596D30">
        <w:rPr>
          <w:rFonts w:cs="Arial"/>
          <w:i/>
          <w:iCs/>
          <w:lang w:val="en-GB"/>
        </w:rPr>
        <w:t xml:space="preserve">, D. and Simpkins, A.N. (2024). 2024 Guideline for the Primary Prevention of Stroke: A Guideline </w:t>
      </w:r>
      <w:r w:rsidR="004C5DFF" w:rsidRPr="00596D30">
        <w:rPr>
          <w:rFonts w:cs="Arial"/>
          <w:i/>
          <w:iCs/>
          <w:lang w:val="en-GB"/>
        </w:rPr>
        <w:t>from</w:t>
      </w:r>
      <w:r w:rsidRPr="00596D30">
        <w:rPr>
          <w:rFonts w:cs="Arial"/>
          <w:i/>
          <w:iCs/>
          <w:lang w:val="en-GB"/>
        </w:rPr>
        <w:t xml:space="preserve"> </w:t>
      </w:r>
    </w:p>
    <w:p w14:paraId="2C8D9BA8" w14:textId="005F1C98" w:rsidR="00596D30" w:rsidRDefault="00596D30" w:rsidP="00596D30">
      <w:pPr>
        <w:spacing w:line="360" w:lineRule="auto"/>
        <w:jc w:val="both"/>
        <w:rPr>
          <w:rFonts w:cs="Arial"/>
          <w:i/>
          <w:iCs/>
          <w:lang w:val="en-GB"/>
        </w:rPr>
      </w:pPr>
      <w:r w:rsidRPr="00596D30">
        <w:rPr>
          <w:rFonts w:cs="Arial"/>
          <w:i/>
          <w:iCs/>
          <w:lang w:val="en-GB"/>
        </w:rPr>
        <w:t xml:space="preserve">the American Heart Association/American Stroke Association. </w:t>
      </w:r>
      <w:r w:rsidR="00454E53" w:rsidRPr="00596D30">
        <w:rPr>
          <w:rFonts w:cs="Arial"/>
          <w:i/>
          <w:iCs/>
          <w:lang w:val="en-GB"/>
        </w:rPr>
        <w:t>Stroke, 55</w:t>
      </w:r>
      <w:r w:rsidRPr="00596D30">
        <w:rPr>
          <w:rFonts w:cs="Arial"/>
          <w:i/>
          <w:iCs/>
          <w:lang w:val="en-GB"/>
        </w:rPr>
        <w:t>(12</w:t>
      </w:r>
      <w:r w:rsidR="00890075" w:rsidRPr="00596D30">
        <w:rPr>
          <w:rFonts w:cs="Arial"/>
          <w:i/>
          <w:iCs/>
          <w:lang w:val="en-GB"/>
        </w:rPr>
        <w:t>).</w:t>
      </w:r>
      <w:r w:rsidR="00890075">
        <w:rPr>
          <w:rFonts w:cs="Arial"/>
          <w:i/>
          <w:iCs/>
          <w:lang w:val="en-GB"/>
        </w:rPr>
        <w:t xml:space="preserve"> Available</w:t>
      </w:r>
      <w:r w:rsidR="00350B7D">
        <w:rPr>
          <w:rFonts w:cs="Arial"/>
          <w:i/>
          <w:iCs/>
          <w:lang w:val="en-GB"/>
        </w:rPr>
        <w:t xml:space="preserve"> at</w:t>
      </w:r>
      <w:r w:rsidR="009E76EC">
        <w:rPr>
          <w:rFonts w:cs="Arial"/>
          <w:i/>
          <w:iCs/>
          <w:lang w:val="en-GB"/>
        </w:rPr>
        <w:t>:</w:t>
      </w:r>
      <w:r w:rsidR="00F871A6">
        <w:rPr>
          <w:rFonts w:cs="Arial"/>
          <w:i/>
          <w:iCs/>
          <w:lang w:val="en-GB"/>
        </w:rPr>
        <w:t xml:space="preserve"> </w:t>
      </w:r>
      <w:hyperlink r:id="rId14" w:history="1">
        <w:r w:rsidR="00F871A6" w:rsidRPr="00D5387C">
          <w:rPr>
            <w:rStyle w:val="Hyperlink"/>
            <w:rFonts w:cs="Arial"/>
            <w:i/>
            <w:iCs/>
            <w:lang w:val="en-GB"/>
          </w:rPr>
          <w:t>https://doi.org/10.1161/str.0000000000000475</w:t>
        </w:r>
      </w:hyperlink>
      <w:r w:rsidRPr="00596D30">
        <w:rPr>
          <w:rFonts w:cs="Arial"/>
          <w:i/>
          <w:iCs/>
          <w:lang w:val="en-GB"/>
        </w:rPr>
        <w:t>.</w:t>
      </w:r>
      <w:r w:rsidR="009E76EC">
        <w:rPr>
          <w:rFonts w:cs="Arial"/>
          <w:i/>
          <w:iCs/>
          <w:lang w:val="en-GB"/>
        </w:rPr>
        <w:t xml:space="preserve"> (Accessed 20 April 2026).</w:t>
      </w:r>
    </w:p>
    <w:p w14:paraId="082B5C08" w14:textId="7E821342" w:rsidR="002A1ABE" w:rsidRPr="002A1ABE" w:rsidRDefault="002A1ABE" w:rsidP="002A1ABE">
      <w:pPr>
        <w:spacing w:line="360" w:lineRule="auto"/>
        <w:jc w:val="both"/>
        <w:rPr>
          <w:rFonts w:cs="Arial"/>
          <w:bCs/>
          <w:i/>
          <w:iCs/>
          <w:lang w:val="en-GB"/>
        </w:rPr>
      </w:pPr>
      <w:r w:rsidRPr="002A1ABE">
        <w:rPr>
          <w:rFonts w:cs="Arial"/>
          <w:bCs/>
          <w:i/>
          <w:iCs/>
          <w:lang w:val="en-GB"/>
        </w:rPr>
        <w:t xml:space="preserve">Chavez, A.A., Simmonds, K.P., Venkatachalam, A.M. and </w:t>
      </w:r>
      <w:proofErr w:type="spellStart"/>
      <w:r w:rsidRPr="002A1ABE">
        <w:rPr>
          <w:rFonts w:cs="Arial"/>
          <w:bCs/>
          <w:i/>
          <w:iCs/>
          <w:lang w:val="en-GB"/>
        </w:rPr>
        <w:t>Ifejika</w:t>
      </w:r>
      <w:proofErr w:type="spellEnd"/>
      <w:r w:rsidRPr="002A1ABE">
        <w:rPr>
          <w:rFonts w:cs="Arial"/>
          <w:bCs/>
          <w:i/>
          <w:iCs/>
          <w:lang w:val="en-GB"/>
        </w:rPr>
        <w:t xml:space="preserve">, N.L. (2023). Health Care Disparities in Stroke Rehabilitation. Physical </w:t>
      </w:r>
      <w:proofErr w:type="spellStart"/>
      <w:proofErr w:type="gramStart"/>
      <w:r w:rsidRPr="002A1ABE">
        <w:rPr>
          <w:rFonts w:cs="Arial"/>
          <w:bCs/>
          <w:i/>
          <w:iCs/>
          <w:lang w:val="en-GB"/>
        </w:rPr>
        <w:t>Me</w:t>
      </w:r>
      <w:r w:rsidR="00350B7D">
        <w:rPr>
          <w:rFonts w:cs="Arial"/>
          <w:bCs/>
          <w:i/>
          <w:iCs/>
          <w:lang w:val="en-GB"/>
        </w:rPr>
        <w:t>:</w:t>
      </w:r>
      <w:r w:rsidRPr="002A1ABE">
        <w:rPr>
          <w:rFonts w:cs="Arial"/>
          <w:bCs/>
          <w:i/>
          <w:iCs/>
          <w:lang w:val="en-GB"/>
        </w:rPr>
        <w:t>dicine</w:t>
      </w:r>
      <w:proofErr w:type="spellEnd"/>
      <w:proofErr w:type="gramEnd"/>
      <w:r w:rsidRPr="002A1ABE">
        <w:rPr>
          <w:rFonts w:cs="Arial"/>
          <w:bCs/>
          <w:i/>
          <w:iCs/>
          <w:lang w:val="en-GB"/>
        </w:rPr>
        <w:t xml:space="preserve"> and Rehabilitation Clinics of North America</w:t>
      </w:r>
      <w:r w:rsidR="00ED7245">
        <w:rPr>
          <w:rFonts w:cs="Arial"/>
          <w:bCs/>
          <w:i/>
          <w:iCs/>
          <w:lang w:val="en-GB"/>
        </w:rPr>
        <w:t>, 35(2),</w:t>
      </w:r>
      <w:r w:rsidR="0099787F">
        <w:rPr>
          <w:rFonts w:cs="Arial"/>
          <w:bCs/>
          <w:i/>
          <w:iCs/>
          <w:lang w:val="en-GB"/>
        </w:rPr>
        <w:t xml:space="preserve"> pp.293</w:t>
      </w:r>
      <w:r w:rsidR="006F36A5">
        <w:rPr>
          <w:rFonts w:cs="Arial"/>
          <w:bCs/>
          <w:i/>
          <w:iCs/>
          <w:lang w:val="en-GB"/>
        </w:rPr>
        <w:t>-303</w:t>
      </w:r>
      <w:r w:rsidR="00F61540">
        <w:rPr>
          <w:rFonts w:cs="Arial"/>
          <w:bCs/>
          <w:i/>
          <w:iCs/>
          <w:lang w:val="en-GB"/>
        </w:rPr>
        <w:t>.</w:t>
      </w:r>
      <w:r w:rsidR="00350B7D">
        <w:rPr>
          <w:rFonts w:cs="Arial"/>
          <w:bCs/>
          <w:i/>
          <w:iCs/>
          <w:lang w:val="en-GB"/>
        </w:rPr>
        <w:t xml:space="preserve"> Available at: </w:t>
      </w:r>
      <w:r w:rsidR="00F61540">
        <w:rPr>
          <w:rFonts w:cs="Arial"/>
          <w:bCs/>
          <w:i/>
          <w:iCs/>
          <w:lang w:val="en-GB"/>
        </w:rPr>
        <w:t xml:space="preserve"> </w:t>
      </w:r>
      <w:hyperlink r:id="rId15" w:history="1">
        <w:r w:rsidR="002A705F" w:rsidRPr="00D5387C">
          <w:rPr>
            <w:rStyle w:val="Hyperlink"/>
            <w:rFonts w:cs="Arial"/>
            <w:bCs/>
            <w:i/>
            <w:iCs/>
            <w:lang w:val="en-GB"/>
          </w:rPr>
          <w:t>https://doi.org/10.1016/j.pmr.2023.06.030</w:t>
        </w:r>
      </w:hyperlink>
      <w:r w:rsidRPr="002A1ABE">
        <w:rPr>
          <w:rFonts w:cs="Arial"/>
          <w:bCs/>
          <w:i/>
          <w:iCs/>
          <w:lang w:val="en-GB"/>
        </w:rPr>
        <w:t>.</w:t>
      </w:r>
      <w:r w:rsidR="00895A9A">
        <w:rPr>
          <w:rFonts w:cs="Arial"/>
          <w:bCs/>
          <w:i/>
          <w:iCs/>
          <w:lang w:val="en-GB"/>
        </w:rPr>
        <w:t xml:space="preserve"> </w:t>
      </w:r>
      <w:r w:rsidR="0096501C">
        <w:rPr>
          <w:rFonts w:cs="Arial"/>
          <w:bCs/>
          <w:i/>
          <w:iCs/>
          <w:lang w:val="en-GB"/>
        </w:rPr>
        <w:t>(</w:t>
      </w:r>
      <w:r w:rsidR="000D721D">
        <w:rPr>
          <w:rFonts w:cs="Arial"/>
          <w:bCs/>
          <w:i/>
          <w:iCs/>
          <w:lang w:val="en-GB"/>
        </w:rPr>
        <w:t xml:space="preserve">Accessed: 15 April 2026). </w:t>
      </w:r>
    </w:p>
    <w:p w14:paraId="231C247E" w14:textId="516C0D04" w:rsidR="00B5315D" w:rsidRDefault="00B5315D" w:rsidP="00777F7D">
      <w:pPr>
        <w:spacing w:line="360" w:lineRule="auto"/>
        <w:jc w:val="both"/>
        <w:rPr>
          <w:rFonts w:cs="Arial"/>
          <w:i/>
          <w:iCs/>
          <w:lang w:val="en-GB"/>
        </w:rPr>
      </w:pPr>
      <w:r w:rsidRPr="003C30DF">
        <w:rPr>
          <w:rFonts w:cs="Arial"/>
          <w:bCs/>
          <w:i/>
          <w:iCs/>
          <w:lang w:val="en-GB"/>
        </w:rPr>
        <w:t>Dahlgren, G. and Whitehead, M. (1991)</w:t>
      </w:r>
      <w:r w:rsidR="00711108" w:rsidRPr="003C30DF">
        <w:rPr>
          <w:rFonts w:cs="Arial"/>
          <w:bCs/>
          <w:i/>
          <w:iCs/>
          <w:lang w:val="en-GB"/>
        </w:rPr>
        <w:t>.</w:t>
      </w:r>
      <w:r w:rsidRPr="003C30DF">
        <w:rPr>
          <w:rFonts w:cs="Arial"/>
          <w:i/>
          <w:iCs/>
          <w:lang w:val="en-GB"/>
        </w:rPr>
        <w:t xml:space="preserve"> Policies and strategies to promote social equity in health. Stockholm: Institute for Futures Studies.</w:t>
      </w:r>
    </w:p>
    <w:p w14:paraId="128A4CF3" w14:textId="5E01411A" w:rsidR="00255396" w:rsidRPr="006672DC" w:rsidRDefault="006672DC" w:rsidP="006672DC">
      <w:pPr>
        <w:spacing w:line="360" w:lineRule="auto"/>
        <w:jc w:val="both"/>
        <w:rPr>
          <w:rFonts w:cs="Arial"/>
          <w:i/>
          <w:iCs/>
          <w:lang w:val="en-GB"/>
        </w:rPr>
      </w:pPr>
      <w:r w:rsidRPr="006672DC">
        <w:rPr>
          <w:rFonts w:cs="Arial"/>
          <w:i/>
          <w:iCs/>
          <w:lang w:val="en-GB"/>
        </w:rPr>
        <w:t xml:space="preserve">Feigin, V. et al. (2021) ‘Global, regional, and national burden of stroke and its risk factors, 1990–2019: A systematic analysis for the global burden of disease study 2019’, The Lancet Neurology, 20(10), pp. 795–820. doi:10.1016/s1474-4422(21)00252-0. </w:t>
      </w:r>
    </w:p>
    <w:p w14:paraId="08DC3A39" w14:textId="45413877" w:rsidR="00FE3D27" w:rsidRDefault="006A0026" w:rsidP="00777F7D">
      <w:pPr>
        <w:spacing w:line="360" w:lineRule="auto"/>
        <w:jc w:val="both"/>
        <w:rPr>
          <w:rFonts w:cs="Arial"/>
          <w:i/>
          <w:iCs/>
          <w:lang w:val="en-GB"/>
        </w:rPr>
      </w:pPr>
      <w:r w:rsidRPr="003C30DF">
        <w:rPr>
          <w:rFonts w:cs="Arial"/>
          <w:i/>
          <w:iCs/>
          <w:lang w:val="en-GB"/>
        </w:rPr>
        <w:t>Feigin,</w:t>
      </w:r>
      <w:r w:rsidR="00C2476A">
        <w:rPr>
          <w:rFonts w:cs="Arial"/>
          <w:i/>
          <w:iCs/>
          <w:lang w:val="en-GB"/>
        </w:rPr>
        <w:t xml:space="preserve"> </w:t>
      </w:r>
      <w:r w:rsidRPr="003C30DF">
        <w:rPr>
          <w:rFonts w:cs="Arial"/>
          <w:i/>
          <w:iCs/>
          <w:lang w:val="en-GB"/>
        </w:rPr>
        <w:t>V.L.</w:t>
      </w:r>
      <w:r w:rsidR="00590430">
        <w:rPr>
          <w:rFonts w:cs="Arial"/>
          <w:i/>
          <w:iCs/>
          <w:lang w:val="en-GB"/>
        </w:rPr>
        <w:t>, Brain</w:t>
      </w:r>
      <w:r w:rsidR="00FC3A86">
        <w:rPr>
          <w:rFonts w:cs="Arial"/>
          <w:i/>
          <w:iCs/>
          <w:lang w:val="en-GB"/>
        </w:rPr>
        <w:t>in, M.</w:t>
      </w:r>
      <w:r w:rsidR="004605D2">
        <w:rPr>
          <w:rFonts w:cs="Arial"/>
          <w:i/>
          <w:iCs/>
          <w:lang w:val="en-GB"/>
        </w:rPr>
        <w:t xml:space="preserve">, </w:t>
      </w:r>
      <w:proofErr w:type="spellStart"/>
      <w:r w:rsidR="001C50D0">
        <w:rPr>
          <w:rFonts w:cs="Arial"/>
          <w:i/>
          <w:iCs/>
          <w:lang w:val="en-GB"/>
        </w:rPr>
        <w:t>Norrving</w:t>
      </w:r>
      <w:proofErr w:type="spellEnd"/>
      <w:r w:rsidR="001C50D0">
        <w:rPr>
          <w:rFonts w:cs="Arial"/>
          <w:i/>
          <w:iCs/>
          <w:lang w:val="en-GB"/>
        </w:rPr>
        <w:t>, B.</w:t>
      </w:r>
      <w:r w:rsidR="00B64CA2">
        <w:rPr>
          <w:rFonts w:cs="Arial"/>
          <w:i/>
          <w:iCs/>
          <w:lang w:val="en-GB"/>
        </w:rPr>
        <w:t>, Martins, S.O.</w:t>
      </w:r>
      <w:r w:rsidR="004562E7">
        <w:rPr>
          <w:rFonts w:cs="Arial"/>
          <w:i/>
          <w:iCs/>
          <w:lang w:val="en-GB"/>
        </w:rPr>
        <w:t xml:space="preserve">, Pandian, </w:t>
      </w:r>
      <w:r w:rsidR="002E4F66">
        <w:rPr>
          <w:rFonts w:cs="Arial"/>
          <w:i/>
          <w:iCs/>
          <w:lang w:val="en-GB"/>
        </w:rPr>
        <w:t xml:space="preserve">J., Lindsay, </w:t>
      </w:r>
      <w:r w:rsidR="00E02C8A">
        <w:rPr>
          <w:rFonts w:cs="Arial"/>
          <w:i/>
          <w:iCs/>
          <w:lang w:val="en-GB"/>
        </w:rPr>
        <w:t xml:space="preserve">P., </w:t>
      </w:r>
      <w:proofErr w:type="spellStart"/>
      <w:r w:rsidR="008D7334">
        <w:rPr>
          <w:rFonts w:cs="Arial"/>
          <w:i/>
          <w:iCs/>
          <w:lang w:val="en-GB"/>
        </w:rPr>
        <w:t>Grupper</w:t>
      </w:r>
      <w:proofErr w:type="spellEnd"/>
      <w:r w:rsidR="008D7334">
        <w:rPr>
          <w:rFonts w:cs="Arial"/>
          <w:i/>
          <w:iCs/>
          <w:lang w:val="en-GB"/>
        </w:rPr>
        <w:t>, M.</w:t>
      </w:r>
      <w:r w:rsidR="00604C01">
        <w:rPr>
          <w:rFonts w:cs="Arial"/>
          <w:i/>
          <w:iCs/>
          <w:lang w:val="en-GB"/>
        </w:rPr>
        <w:t>F.,</w:t>
      </w:r>
      <w:r w:rsidR="00F37A73">
        <w:rPr>
          <w:rFonts w:cs="Arial"/>
          <w:i/>
          <w:iCs/>
          <w:lang w:val="en-GB"/>
        </w:rPr>
        <w:t xml:space="preserve"> and</w:t>
      </w:r>
      <w:r w:rsidR="00F81C67">
        <w:rPr>
          <w:rFonts w:cs="Arial"/>
          <w:i/>
          <w:iCs/>
          <w:lang w:val="en-GB"/>
        </w:rPr>
        <w:t xml:space="preserve"> </w:t>
      </w:r>
      <w:proofErr w:type="spellStart"/>
      <w:r w:rsidR="00F81C67">
        <w:rPr>
          <w:rFonts w:cs="Arial"/>
          <w:i/>
          <w:iCs/>
          <w:lang w:val="en-GB"/>
        </w:rPr>
        <w:t>Rautalin</w:t>
      </w:r>
      <w:proofErr w:type="spellEnd"/>
      <w:r w:rsidR="0025245A">
        <w:rPr>
          <w:rFonts w:cs="Arial"/>
          <w:i/>
          <w:iCs/>
          <w:lang w:val="en-GB"/>
        </w:rPr>
        <w:t xml:space="preserve"> </w:t>
      </w:r>
      <w:r w:rsidR="003F34CF">
        <w:rPr>
          <w:rFonts w:cs="Arial"/>
          <w:i/>
          <w:iCs/>
          <w:lang w:val="en-GB"/>
        </w:rPr>
        <w:t xml:space="preserve">(2025) </w:t>
      </w:r>
      <w:r w:rsidR="000D50D2">
        <w:rPr>
          <w:rFonts w:cs="Arial"/>
          <w:i/>
          <w:iCs/>
          <w:lang w:val="en-GB"/>
        </w:rPr>
        <w:t xml:space="preserve">World </w:t>
      </w:r>
      <w:r w:rsidR="002A29B1">
        <w:rPr>
          <w:rFonts w:cs="Arial"/>
          <w:i/>
          <w:iCs/>
          <w:lang w:val="en-GB"/>
        </w:rPr>
        <w:t>Stroke Organisation</w:t>
      </w:r>
      <w:r w:rsidR="007A3AA5">
        <w:rPr>
          <w:rFonts w:cs="Arial"/>
          <w:i/>
          <w:iCs/>
          <w:lang w:val="en-GB"/>
        </w:rPr>
        <w:t xml:space="preserve">: </w:t>
      </w:r>
      <w:r w:rsidR="005916D3">
        <w:rPr>
          <w:rFonts w:cs="Arial"/>
          <w:i/>
          <w:iCs/>
          <w:lang w:val="en-GB"/>
        </w:rPr>
        <w:t>Global</w:t>
      </w:r>
      <w:r w:rsidR="007A3AA5">
        <w:rPr>
          <w:rFonts w:cs="Arial"/>
          <w:i/>
          <w:iCs/>
          <w:lang w:val="en-GB"/>
        </w:rPr>
        <w:t xml:space="preserve"> Stroke</w:t>
      </w:r>
      <w:r w:rsidR="005916D3">
        <w:rPr>
          <w:rFonts w:cs="Arial"/>
          <w:i/>
          <w:iCs/>
          <w:lang w:val="en-GB"/>
        </w:rPr>
        <w:t xml:space="preserve"> Fact</w:t>
      </w:r>
      <w:r w:rsidR="000A6074">
        <w:rPr>
          <w:rFonts w:cs="Arial"/>
          <w:i/>
          <w:iCs/>
          <w:lang w:val="en-GB"/>
        </w:rPr>
        <w:t xml:space="preserve"> Sheet 2025</w:t>
      </w:r>
      <w:r w:rsidR="00685BA5">
        <w:rPr>
          <w:rFonts w:cs="Arial"/>
          <w:i/>
          <w:iCs/>
          <w:lang w:val="en-GB"/>
        </w:rPr>
        <w:t>.</w:t>
      </w:r>
      <w:r w:rsidR="003D4AB6">
        <w:rPr>
          <w:rFonts w:cs="Arial"/>
          <w:i/>
          <w:iCs/>
          <w:lang w:val="en-GB"/>
        </w:rPr>
        <w:t xml:space="preserve"> </w:t>
      </w:r>
      <w:r w:rsidR="0010524C">
        <w:rPr>
          <w:rFonts w:cs="Arial"/>
          <w:i/>
          <w:iCs/>
          <w:lang w:val="en-GB"/>
        </w:rPr>
        <w:t>20, (</w:t>
      </w:r>
      <w:r w:rsidR="007F2DBF">
        <w:rPr>
          <w:rFonts w:cs="Arial"/>
          <w:i/>
          <w:iCs/>
          <w:lang w:val="en-GB"/>
        </w:rPr>
        <w:t>2).</w:t>
      </w:r>
      <w:r w:rsidR="0010524C">
        <w:rPr>
          <w:rFonts w:cs="Arial"/>
          <w:i/>
          <w:iCs/>
          <w:lang w:val="en-GB"/>
        </w:rPr>
        <w:t xml:space="preserve"> http</w:t>
      </w:r>
      <w:r w:rsidR="00043A34">
        <w:rPr>
          <w:rFonts w:cs="Arial"/>
          <w:i/>
          <w:iCs/>
          <w:lang w:val="en-GB"/>
        </w:rPr>
        <w:t>s: //doi.org/10.11</w:t>
      </w:r>
      <w:r w:rsidR="00315726">
        <w:rPr>
          <w:rFonts w:cs="Arial"/>
          <w:i/>
          <w:iCs/>
          <w:lang w:val="en-GB"/>
        </w:rPr>
        <w:t>77/174749302413</w:t>
      </w:r>
      <w:r w:rsidR="00256EB0">
        <w:rPr>
          <w:rFonts w:cs="Arial"/>
          <w:i/>
          <w:iCs/>
          <w:lang w:val="en-GB"/>
        </w:rPr>
        <w:t>08142</w:t>
      </w:r>
    </w:p>
    <w:p w14:paraId="7C63F17F" w14:textId="42628FD7" w:rsidR="00DB5631" w:rsidRDefault="00DB5631" w:rsidP="00DB5631">
      <w:pPr>
        <w:spacing w:line="360" w:lineRule="auto"/>
        <w:jc w:val="both"/>
        <w:rPr>
          <w:rFonts w:cs="Arial"/>
          <w:i/>
          <w:iCs/>
          <w:lang w:val="en-GB"/>
        </w:rPr>
      </w:pPr>
      <w:r w:rsidRPr="00DB5631">
        <w:rPr>
          <w:rFonts w:cs="Arial"/>
          <w:i/>
          <w:iCs/>
          <w:lang w:val="en-GB"/>
        </w:rPr>
        <w:t xml:space="preserve">Ferrari, A.J., Santomauro, D.F., Aali, A., Abate, Y.H., </w:t>
      </w:r>
      <w:proofErr w:type="spellStart"/>
      <w:r w:rsidRPr="00DB5631">
        <w:rPr>
          <w:rFonts w:cs="Arial"/>
          <w:i/>
          <w:iCs/>
          <w:lang w:val="en-GB"/>
        </w:rPr>
        <w:t>Abbafati</w:t>
      </w:r>
      <w:proofErr w:type="spellEnd"/>
      <w:r w:rsidRPr="00DB5631">
        <w:rPr>
          <w:rFonts w:cs="Arial"/>
          <w:i/>
          <w:iCs/>
          <w:lang w:val="en-GB"/>
        </w:rPr>
        <w:t xml:space="preserve">, C., </w:t>
      </w:r>
      <w:proofErr w:type="spellStart"/>
      <w:r w:rsidRPr="00DB5631">
        <w:rPr>
          <w:rFonts w:cs="Arial"/>
          <w:i/>
          <w:iCs/>
          <w:lang w:val="en-GB"/>
        </w:rPr>
        <w:t>Abbastabar</w:t>
      </w:r>
      <w:proofErr w:type="spellEnd"/>
      <w:r w:rsidRPr="00DB5631">
        <w:rPr>
          <w:rFonts w:cs="Arial"/>
          <w:i/>
          <w:iCs/>
          <w:lang w:val="en-GB"/>
        </w:rPr>
        <w:t xml:space="preserve">, H., Abd ElHafeez, S., </w:t>
      </w:r>
      <w:proofErr w:type="spellStart"/>
      <w:r w:rsidRPr="00DB5631">
        <w:rPr>
          <w:rFonts w:cs="Arial"/>
          <w:i/>
          <w:iCs/>
          <w:lang w:val="en-GB"/>
        </w:rPr>
        <w:t>Abdelmasseh</w:t>
      </w:r>
      <w:proofErr w:type="spellEnd"/>
      <w:r w:rsidRPr="00DB5631">
        <w:rPr>
          <w:rFonts w:cs="Arial"/>
          <w:i/>
          <w:iCs/>
          <w:lang w:val="en-GB"/>
        </w:rPr>
        <w:t xml:space="preserve">, M., Abd-Elsaam, S., Abdollahi, A., Abdullahi, A., Abegaz, K.H., </w:t>
      </w:r>
      <w:proofErr w:type="spellStart"/>
      <w:r w:rsidRPr="00DB5631">
        <w:rPr>
          <w:rFonts w:cs="Arial"/>
          <w:i/>
          <w:iCs/>
          <w:lang w:val="en-GB"/>
        </w:rPr>
        <w:t>Abeldaño</w:t>
      </w:r>
      <w:proofErr w:type="spellEnd"/>
      <w:r w:rsidRPr="00DB5631">
        <w:rPr>
          <w:rFonts w:cs="Arial"/>
          <w:i/>
          <w:iCs/>
          <w:lang w:val="en-GB"/>
        </w:rPr>
        <w:t xml:space="preserve"> Zuñiga, R.A., Aboagye, R.G., Abolhassani, H., Abreu, L.G., </w:t>
      </w:r>
      <w:proofErr w:type="spellStart"/>
      <w:r w:rsidRPr="00DB5631">
        <w:rPr>
          <w:rFonts w:cs="Arial"/>
          <w:i/>
          <w:iCs/>
          <w:lang w:val="en-GB"/>
        </w:rPr>
        <w:t>Abualruz</w:t>
      </w:r>
      <w:proofErr w:type="spellEnd"/>
      <w:r w:rsidRPr="00DB5631">
        <w:rPr>
          <w:rFonts w:cs="Arial"/>
          <w:i/>
          <w:iCs/>
          <w:lang w:val="en-GB"/>
        </w:rPr>
        <w:t>, H., Abu-</w:t>
      </w:r>
      <w:proofErr w:type="spellStart"/>
      <w:r w:rsidRPr="00DB5631">
        <w:rPr>
          <w:rFonts w:cs="Arial"/>
          <w:i/>
          <w:iCs/>
          <w:lang w:val="en-GB"/>
        </w:rPr>
        <w:t>Gharbieh</w:t>
      </w:r>
      <w:proofErr w:type="spellEnd"/>
      <w:r w:rsidRPr="00DB5631">
        <w:rPr>
          <w:rFonts w:cs="Arial"/>
          <w:i/>
          <w:iCs/>
          <w:lang w:val="en-GB"/>
        </w:rPr>
        <w:t>, E., Abu-</w:t>
      </w:r>
      <w:proofErr w:type="spellStart"/>
      <w:r w:rsidRPr="00DB5631">
        <w:rPr>
          <w:rFonts w:cs="Arial"/>
          <w:i/>
          <w:iCs/>
          <w:lang w:val="en-GB"/>
        </w:rPr>
        <w:t>Rmeileh</w:t>
      </w:r>
      <w:proofErr w:type="spellEnd"/>
      <w:r w:rsidRPr="00DB5631">
        <w:rPr>
          <w:rFonts w:cs="Arial"/>
          <w:i/>
          <w:iCs/>
          <w:lang w:val="en-GB"/>
        </w:rPr>
        <w:t>, N.M. and Ackerman, I.N. (2024). Global incidence, prevalence, years lived with disability (YLDs), disability-adjusted life-years (DALYs), and healthy life expectancy (HALE) for 371 diseases and injuries in 204 countries and territories and 811 subnational locations, 1990–2021: a systematic analysis for the Global Burden of Disease Study 2021. Lancet, 403(10440).</w:t>
      </w:r>
      <w:r w:rsidR="00596F7F">
        <w:rPr>
          <w:rFonts w:cs="Arial"/>
          <w:i/>
          <w:iCs/>
          <w:lang w:val="en-GB"/>
        </w:rPr>
        <w:t xml:space="preserve"> Available at:</w:t>
      </w:r>
      <w:r w:rsidRPr="00DB5631">
        <w:rPr>
          <w:rFonts w:cs="Arial"/>
          <w:i/>
          <w:iCs/>
          <w:lang w:val="en-GB"/>
        </w:rPr>
        <w:t xml:space="preserve"> </w:t>
      </w:r>
      <w:r w:rsidR="004D0916" w:rsidRPr="00DB5631">
        <w:rPr>
          <w:rFonts w:cs="Arial"/>
          <w:i/>
          <w:iCs/>
          <w:lang w:val="en-GB"/>
        </w:rPr>
        <w:t xml:space="preserve"> </w:t>
      </w:r>
      <w:hyperlink r:id="rId16" w:history="1">
        <w:r w:rsidR="004D0916" w:rsidRPr="00D5387C">
          <w:rPr>
            <w:rStyle w:val="Hyperlink"/>
            <w:rFonts w:cs="Arial"/>
            <w:i/>
            <w:iCs/>
            <w:lang w:val="en-GB"/>
          </w:rPr>
          <w:t>https</w:t>
        </w:r>
        <w:r w:rsidR="004D0916" w:rsidRPr="00DB5631">
          <w:rPr>
            <w:rStyle w:val="Hyperlink"/>
            <w:rFonts w:cs="Arial"/>
            <w:i/>
            <w:iCs/>
            <w:lang w:val="en-GB"/>
          </w:rPr>
          <w:t>://doi.org/10.1016/S0140-6736(24)00757-8</w:t>
        </w:r>
      </w:hyperlink>
      <w:r w:rsidR="00050CEC">
        <w:rPr>
          <w:rFonts w:cs="Arial"/>
          <w:i/>
          <w:iCs/>
          <w:lang w:val="en-GB"/>
        </w:rPr>
        <w:t xml:space="preserve"> (Accessed 20 April 2026).</w:t>
      </w:r>
    </w:p>
    <w:p w14:paraId="2F9D9655" w14:textId="146F3590" w:rsidR="00E147AC" w:rsidRDefault="00692F6B" w:rsidP="00DB5631">
      <w:pPr>
        <w:spacing w:line="360" w:lineRule="auto"/>
        <w:jc w:val="both"/>
        <w:rPr>
          <w:rFonts w:cs="Arial"/>
          <w:i/>
          <w:iCs/>
          <w:lang w:val="en-GB"/>
        </w:rPr>
      </w:pPr>
      <w:r>
        <w:rPr>
          <w:rFonts w:cs="Arial"/>
          <w:i/>
          <w:iCs/>
          <w:lang w:val="en-GB"/>
        </w:rPr>
        <w:t>GBD2021</w:t>
      </w:r>
      <w:r w:rsidR="00CA7386">
        <w:rPr>
          <w:rFonts w:cs="Arial"/>
          <w:i/>
          <w:iCs/>
          <w:lang w:val="en-GB"/>
        </w:rPr>
        <w:t xml:space="preserve">, </w:t>
      </w:r>
      <w:r w:rsidR="006632CB">
        <w:rPr>
          <w:rFonts w:cs="Arial"/>
          <w:i/>
          <w:iCs/>
          <w:lang w:val="en-GB"/>
        </w:rPr>
        <w:t>Stroke</w:t>
      </w:r>
      <w:r w:rsidR="00CA7386">
        <w:rPr>
          <w:rFonts w:cs="Arial"/>
          <w:i/>
          <w:iCs/>
          <w:lang w:val="en-GB"/>
        </w:rPr>
        <w:t xml:space="preserve"> Risk Factor Collaborator</w:t>
      </w:r>
      <w:r w:rsidR="007C24C7">
        <w:rPr>
          <w:rFonts w:cs="Arial"/>
          <w:i/>
          <w:iCs/>
          <w:lang w:val="en-GB"/>
        </w:rPr>
        <w:t>s (2024).</w:t>
      </w:r>
      <w:r w:rsidR="009E2214">
        <w:rPr>
          <w:rFonts w:cs="Arial"/>
          <w:i/>
          <w:iCs/>
          <w:lang w:val="en-GB"/>
        </w:rPr>
        <w:t xml:space="preserve">’Global, </w:t>
      </w:r>
      <w:r w:rsidR="003E7F5F">
        <w:rPr>
          <w:rFonts w:cs="Arial"/>
          <w:i/>
          <w:iCs/>
          <w:lang w:val="en-GB"/>
        </w:rPr>
        <w:t>regional, and</w:t>
      </w:r>
      <w:r w:rsidR="009E2214">
        <w:rPr>
          <w:rFonts w:cs="Arial"/>
          <w:i/>
          <w:iCs/>
          <w:lang w:val="en-GB"/>
        </w:rPr>
        <w:t xml:space="preserve"> national burden</w:t>
      </w:r>
      <w:r w:rsidR="003E7F5F">
        <w:rPr>
          <w:rFonts w:cs="Arial"/>
          <w:i/>
          <w:iCs/>
          <w:lang w:val="en-GB"/>
        </w:rPr>
        <w:t xml:space="preserve"> of stroke</w:t>
      </w:r>
      <w:r w:rsidR="00B11C76">
        <w:rPr>
          <w:rFonts w:cs="Arial"/>
          <w:i/>
          <w:iCs/>
          <w:lang w:val="en-GB"/>
        </w:rPr>
        <w:t xml:space="preserve"> and its risk factors, </w:t>
      </w:r>
      <w:r w:rsidR="003455CF">
        <w:rPr>
          <w:rFonts w:cs="Arial"/>
          <w:i/>
          <w:iCs/>
          <w:lang w:val="en-GB"/>
        </w:rPr>
        <w:t>1990-2021:</w:t>
      </w:r>
      <w:r w:rsidR="00526A6E">
        <w:rPr>
          <w:rFonts w:cs="Arial"/>
          <w:i/>
          <w:iCs/>
          <w:lang w:val="en-GB"/>
        </w:rPr>
        <w:t xml:space="preserve"> </w:t>
      </w:r>
      <w:r w:rsidR="00EE44D5">
        <w:rPr>
          <w:rFonts w:cs="Arial"/>
          <w:i/>
          <w:iCs/>
          <w:lang w:val="en-GB"/>
        </w:rPr>
        <w:t xml:space="preserve">a systematic </w:t>
      </w:r>
      <w:r w:rsidR="00D703A4">
        <w:rPr>
          <w:rFonts w:cs="Arial"/>
          <w:i/>
          <w:iCs/>
          <w:lang w:val="en-GB"/>
        </w:rPr>
        <w:t>analysis for the Global Burden</w:t>
      </w:r>
      <w:r w:rsidR="00950A46">
        <w:rPr>
          <w:rFonts w:cs="Arial"/>
          <w:i/>
          <w:iCs/>
          <w:lang w:val="en-GB"/>
        </w:rPr>
        <w:t xml:space="preserve"> of Diseases Study 2021</w:t>
      </w:r>
      <w:r w:rsidR="00072E19">
        <w:rPr>
          <w:rFonts w:cs="Arial"/>
          <w:i/>
          <w:iCs/>
          <w:lang w:val="en-GB"/>
        </w:rPr>
        <w:t>’,</w:t>
      </w:r>
      <w:r w:rsidR="00C36E12">
        <w:rPr>
          <w:rFonts w:cs="Arial"/>
          <w:i/>
          <w:iCs/>
          <w:lang w:val="en-GB"/>
        </w:rPr>
        <w:t xml:space="preserve"> The Lancet</w:t>
      </w:r>
      <w:r w:rsidR="00003AA5">
        <w:rPr>
          <w:rFonts w:cs="Arial"/>
          <w:i/>
          <w:iCs/>
          <w:lang w:val="en-GB"/>
        </w:rPr>
        <w:t xml:space="preserve"> Neurology, 23(10)</w:t>
      </w:r>
      <w:r w:rsidR="00063E6E">
        <w:rPr>
          <w:rFonts w:cs="Arial"/>
          <w:i/>
          <w:iCs/>
          <w:lang w:val="en-GB"/>
        </w:rPr>
        <w:t>, pp. 973=1003</w:t>
      </w:r>
      <w:r w:rsidR="0056561A">
        <w:rPr>
          <w:rFonts w:cs="Arial"/>
          <w:i/>
          <w:iCs/>
          <w:lang w:val="en-GB"/>
        </w:rPr>
        <w:t xml:space="preserve">. </w:t>
      </w:r>
      <w:proofErr w:type="spellStart"/>
      <w:r w:rsidR="006844AE">
        <w:rPr>
          <w:rFonts w:cs="Arial"/>
          <w:i/>
          <w:iCs/>
          <w:lang w:val="en-GB"/>
        </w:rPr>
        <w:t>d</w:t>
      </w:r>
      <w:r w:rsidR="0056561A">
        <w:rPr>
          <w:rFonts w:cs="Arial"/>
          <w:i/>
          <w:iCs/>
          <w:lang w:val="en-GB"/>
        </w:rPr>
        <w:t>oi</w:t>
      </w:r>
      <w:proofErr w:type="spellEnd"/>
      <w:r w:rsidR="00F00588">
        <w:rPr>
          <w:rFonts w:cs="Arial"/>
          <w:i/>
          <w:iCs/>
          <w:lang w:val="en-GB"/>
        </w:rPr>
        <w:t>: 10.1016/S14</w:t>
      </w:r>
      <w:r w:rsidR="0005696F">
        <w:rPr>
          <w:rFonts w:cs="Arial"/>
          <w:i/>
          <w:iCs/>
          <w:lang w:val="en-GB"/>
        </w:rPr>
        <w:t>74-4422(24)00369-7</w:t>
      </w:r>
      <w:r w:rsidR="006632CB">
        <w:rPr>
          <w:rFonts w:cs="Arial"/>
          <w:i/>
          <w:iCs/>
          <w:lang w:val="en-GB"/>
        </w:rPr>
        <w:t>.</w:t>
      </w:r>
      <w:r w:rsidR="0056561A">
        <w:rPr>
          <w:rFonts w:cs="Arial"/>
          <w:i/>
          <w:iCs/>
          <w:lang w:val="en-GB"/>
        </w:rPr>
        <w:t>:</w:t>
      </w:r>
    </w:p>
    <w:p w14:paraId="21B2C3D6" w14:textId="31E24B35" w:rsidR="006A0026" w:rsidRPr="003C30DF" w:rsidRDefault="006A0026" w:rsidP="00777F7D">
      <w:pPr>
        <w:spacing w:line="360" w:lineRule="auto"/>
        <w:jc w:val="both"/>
        <w:rPr>
          <w:rFonts w:cs="Arial"/>
          <w:i/>
          <w:iCs/>
          <w:lang w:val="en-GB"/>
        </w:rPr>
      </w:pPr>
      <w:r w:rsidRPr="003C30DF">
        <w:rPr>
          <w:rFonts w:cs="Arial"/>
          <w:i/>
          <w:iCs/>
          <w:lang w:val="en-GB"/>
        </w:rPr>
        <w:t>Hackett, M.L. and Pickles, K. (2014)</w:t>
      </w:r>
      <w:r w:rsidR="00711108" w:rsidRPr="003C30DF">
        <w:rPr>
          <w:rFonts w:cs="Arial"/>
          <w:i/>
          <w:iCs/>
          <w:lang w:val="en-GB"/>
        </w:rPr>
        <w:t xml:space="preserve">. </w:t>
      </w:r>
      <w:r w:rsidRPr="003C30DF">
        <w:rPr>
          <w:rFonts w:cs="Arial"/>
          <w:i/>
          <w:iCs/>
          <w:lang w:val="en-GB"/>
        </w:rPr>
        <w:t>‘Part I: frequency of depression after stroke: an updated systematic review and meta-analysis of observational studies’, International Journal of Stroke, 9(8), pp. 1017–1025.</w:t>
      </w:r>
    </w:p>
    <w:p w14:paraId="4A35CBE2" w14:textId="31B81B7B" w:rsidR="005C1DD9" w:rsidRPr="003C30DF" w:rsidRDefault="006A0026" w:rsidP="005C1DD9">
      <w:pPr>
        <w:spacing w:line="360" w:lineRule="auto"/>
        <w:jc w:val="both"/>
        <w:rPr>
          <w:rFonts w:cs="Arial"/>
          <w:i/>
          <w:iCs/>
          <w:lang w:val="en-GB"/>
        </w:rPr>
      </w:pPr>
      <w:r w:rsidRPr="003C30DF">
        <w:rPr>
          <w:rFonts w:cs="Arial"/>
          <w:i/>
          <w:iCs/>
          <w:lang w:val="en-GB"/>
        </w:rPr>
        <w:t xml:space="preserve">Langhorne, P., Bernhardt, J. and </w:t>
      </w:r>
      <w:proofErr w:type="spellStart"/>
      <w:r w:rsidRPr="003C30DF">
        <w:rPr>
          <w:rFonts w:cs="Arial"/>
          <w:i/>
          <w:iCs/>
          <w:lang w:val="en-GB"/>
        </w:rPr>
        <w:t>Kwakkel</w:t>
      </w:r>
      <w:proofErr w:type="spellEnd"/>
      <w:r w:rsidRPr="003C30DF">
        <w:rPr>
          <w:rFonts w:cs="Arial"/>
          <w:i/>
          <w:iCs/>
          <w:lang w:val="en-GB"/>
        </w:rPr>
        <w:t>, G. (2017)</w:t>
      </w:r>
      <w:r w:rsidR="00826FDE" w:rsidRPr="003C30DF">
        <w:rPr>
          <w:rFonts w:cs="Arial"/>
          <w:i/>
          <w:iCs/>
          <w:lang w:val="en-GB"/>
        </w:rPr>
        <w:t>.</w:t>
      </w:r>
      <w:r w:rsidRPr="003C30DF">
        <w:rPr>
          <w:rFonts w:cs="Arial"/>
          <w:i/>
          <w:iCs/>
          <w:lang w:val="en-GB"/>
        </w:rPr>
        <w:t xml:space="preserve"> ‘Stroke rehabilitation’, The Lancet, 389(10078), pp. 1693–1702.</w:t>
      </w:r>
    </w:p>
    <w:p w14:paraId="27FA89CA" w14:textId="42D4B017" w:rsidR="006A0026" w:rsidRDefault="006A0026" w:rsidP="00777F7D">
      <w:pPr>
        <w:spacing w:line="360" w:lineRule="auto"/>
        <w:jc w:val="both"/>
        <w:rPr>
          <w:rFonts w:cs="Arial"/>
          <w:i/>
          <w:iCs/>
          <w:lang w:val="en-GB"/>
        </w:rPr>
      </w:pPr>
      <w:r w:rsidRPr="003C30DF">
        <w:rPr>
          <w:rFonts w:cs="Arial"/>
          <w:i/>
          <w:iCs/>
          <w:lang w:val="en-GB"/>
        </w:rPr>
        <w:t>Marmot, M. et al. (2020)</w:t>
      </w:r>
      <w:r w:rsidR="000053BE" w:rsidRPr="003C30DF">
        <w:rPr>
          <w:rFonts w:cs="Arial"/>
          <w:i/>
          <w:iCs/>
          <w:lang w:val="en-GB"/>
        </w:rPr>
        <w:t>.</w:t>
      </w:r>
      <w:r w:rsidRPr="003C30DF">
        <w:rPr>
          <w:rFonts w:cs="Arial"/>
          <w:i/>
          <w:iCs/>
          <w:lang w:val="en-GB"/>
        </w:rPr>
        <w:t xml:space="preserve"> Health equity in England: The Marmot Review 10 years on. London: Institute of Health Equity.</w:t>
      </w:r>
    </w:p>
    <w:p w14:paraId="0397A26A" w14:textId="07EB66D1" w:rsidR="007477D4" w:rsidRDefault="007477D4" w:rsidP="007477D4">
      <w:pPr>
        <w:spacing w:line="360" w:lineRule="auto"/>
        <w:jc w:val="both"/>
        <w:rPr>
          <w:rFonts w:cs="Arial"/>
          <w:i/>
          <w:iCs/>
          <w:lang w:val="en-GB"/>
        </w:rPr>
      </w:pPr>
      <w:r w:rsidRPr="007477D4">
        <w:rPr>
          <w:rFonts w:cs="Arial"/>
          <w:i/>
          <w:iCs/>
          <w:lang w:val="en-GB"/>
        </w:rPr>
        <w:t>Murray, C.J.L. (2022). The Global Burden of Disease Study at 30 years. Nature Medicine, [online] 28(10), pp.2019–2026.</w:t>
      </w:r>
      <w:r w:rsidR="0096501C">
        <w:rPr>
          <w:rFonts w:cs="Arial"/>
          <w:i/>
          <w:iCs/>
          <w:lang w:val="en-GB"/>
        </w:rPr>
        <w:t xml:space="preserve"> Available at:</w:t>
      </w:r>
      <w:r w:rsidR="009321FD">
        <w:rPr>
          <w:rFonts w:cs="Arial"/>
          <w:i/>
          <w:iCs/>
          <w:lang w:val="en-GB"/>
        </w:rPr>
        <w:t xml:space="preserve"> </w:t>
      </w:r>
      <w:r w:rsidR="004D0916" w:rsidRPr="007477D4">
        <w:rPr>
          <w:rFonts w:cs="Arial"/>
          <w:i/>
          <w:iCs/>
          <w:lang w:val="en-GB"/>
        </w:rPr>
        <w:t xml:space="preserve"> </w:t>
      </w:r>
      <w:hyperlink r:id="rId17" w:history="1">
        <w:r w:rsidR="004D0916" w:rsidRPr="00D5387C">
          <w:rPr>
            <w:rStyle w:val="Hyperlink"/>
            <w:rFonts w:cs="Arial"/>
            <w:i/>
            <w:iCs/>
            <w:lang w:val="en-GB"/>
          </w:rPr>
          <w:t>https</w:t>
        </w:r>
        <w:r w:rsidR="004D0916" w:rsidRPr="007477D4">
          <w:rPr>
            <w:rStyle w:val="Hyperlink"/>
            <w:rFonts w:cs="Arial"/>
            <w:i/>
            <w:iCs/>
            <w:lang w:val="en-GB"/>
          </w:rPr>
          <w:t>://doi.org/10.1038/s41591-022-01990-1</w:t>
        </w:r>
      </w:hyperlink>
      <w:r w:rsidRPr="007477D4">
        <w:rPr>
          <w:rFonts w:cs="Arial"/>
          <w:i/>
          <w:iCs/>
          <w:lang w:val="en-GB"/>
        </w:rPr>
        <w:t>.</w:t>
      </w:r>
      <w:r w:rsidR="00B85195">
        <w:rPr>
          <w:rFonts w:cs="Arial"/>
          <w:i/>
          <w:iCs/>
          <w:lang w:val="en-GB"/>
        </w:rPr>
        <w:t xml:space="preserve"> </w:t>
      </w:r>
      <w:r w:rsidR="0096501C">
        <w:rPr>
          <w:rFonts w:cs="Arial"/>
          <w:i/>
          <w:iCs/>
          <w:lang w:val="en-GB"/>
        </w:rPr>
        <w:t>(Accessed</w:t>
      </w:r>
      <w:r w:rsidR="00236D15">
        <w:rPr>
          <w:rFonts w:cs="Arial"/>
          <w:i/>
          <w:iCs/>
          <w:lang w:val="en-GB"/>
        </w:rPr>
        <w:t xml:space="preserve">: </w:t>
      </w:r>
      <w:r w:rsidR="0096501C">
        <w:rPr>
          <w:rFonts w:cs="Arial"/>
          <w:i/>
          <w:iCs/>
          <w:lang w:val="en-GB"/>
        </w:rPr>
        <w:t xml:space="preserve">16 April 2026). </w:t>
      </w:r>
    </w:p>
    <w:p w14:paraId="3D4CAC85" w14:textId="5DDB583B" w:rsidR="00177649" w:rsidRPr="003C30DF" w:rsidRDefault="00177649" w:rsidP="00777F7D">
      <w:pPr>
        <w:spacing w:line="360" w:lineRule="auto"/>
        <w:jc w:val="both"/>
        <w:rPr>
          <w:rFonts w:cs="Arial"/>
          <w:i/>
          <w:iCs/>
          <w:lang w:val="en-GB"/>
        </w:rPr>
      </w:pPr>
      <w:r w:rsidRPr="003C30DF">
        <w:rPr>
          <w:rFonts w:cs="Arial"/>
          <w:bCs/>
          <w:i/>
          <w:iCs/>
          <w:lang w:val="en-GB"/>
        </w:rPr>
        <w:t>NHS England (2022)</w:t>
      </w:r>
      <w:r w:rsidR="000053BE" w:rsidRPr="003C30DF">
        <w:rPr>
          <w:rFonts w:cs="Arial"/>
          <w:bCs/>
          <w:i/>
          <w:iCs/>
          <w:lang w:val="en-GB"/>
        </w:rPr>
        <w:t>.</w:t>
      </w:r>
      <w:r w:rsidRPr="003C30DF">
        <w:rPr>
          <w:rFonts w:cs="Arial"/>
          <w:i/>
          <w:iCs/>
          <w:lang w:val="en-GB"/>
        </w:rPr>
        <w:t xml:space="preserve"> National service model for an integrated community stroke service. London: NHS England. Available at: </w:t>
      </w:r>
      <w:hyperlink r:id="rId18" w:history="1">
        <w:r w:rsidRPr="003C30DF">
          <w:rPr>
            <w:rStyle w:val="Hyperlink"/>
            <w:rFonts w:cs="Arial"/>
            <w:i/>
            <w:iCs/>
            <w:lang w:val="en-GB"/>
          </w:rPr>
          <w:t>https://www.england.nhs.uk/wp-content/uploads/2022/02/stroke-integrated-community-service-february-2022.pdf</w:t>
        </w:r>
      </w:hyperlink>
      <w:r w:rsidRPr="003C30DF">
        <w:rPr>
          <w:rFonts w:cs="Arial"/>
          <w:i/>
          <w:iCs/>
          <w:lang w:val="en-GB"/>
        </w:rPr>
        <w:t xml:space="preserve">  (Accessed: 15 April 2026). </w:t>
      </w:r>
    </w:p>
    <w:p w14:paraId="034F61CE" w14:textId="7D5CE353" w:rsidR="0047414E" w:rsidRPr="003C30DF" w:rsidRDefault="005E5821" w:rsidP="00777F7D">
      <w:pPr>
        <w:spacing w:line="360" w:lineRule="auto"/>
        <w:jc w:val="both"/>
        <w:rPr>
          <w:rFonts w:cs="Arial"/>
          <w:i/>
          <w:iCs/>
          <w:lang w:val="en-GB"/>
        </w:rPr>
      </w:pPr>
      <w:r w:rsidRPr="003C30DF">
        <w:rPr>
          <w:rFonts w:cs="Arial"/>
          <w:i/>
          <w:iCs/>
          <w:lang w:val="en-GB"/>
        </w:rPr>
        <w:t>N</w:t>
      </w:r>
      <w:r w:rsidR="00994144" w:rsidRPr="003C30DF">
        <w:rPr>
          <w:rFonts w:cs="Arial"/>
          <w:i/>
          <w:iCs/>
          <w:lang w:val="en-GB"/>
        </w:rPr>
        <w:t>HS</w:t>
      </w:r>
      <w:r w:rsidR="00640554" w:rsidRPr="003C30DF">
        <w:rPr>
          <w:rFonts w:cs="Arial"/>
          <w:i/>
          <w:iCs/>
          <w:lang w:val="en-GB"/>
        </w:rPr>
        <w:t xml:space="preserve"> (2024). Stroke. Av</w:t>
      </w:r>
      <w:r w:rsidR="0033596F" w:rsidRPr="003C30DF">
        <w:rPr>
          <w:rFonts w:cs="Arial"/>
          <w:i/>
          <w:iCs/>
          <w:lang w:val="en-GB"/>
        </w:rPr>
        <w:t xml:space="preserve">ailable at: </w:t>
      </w:r>
      <w:hyperlink r:id="rId19" w:history="1">
        <w:r w:rsidR="00861422" w:rsidRPr="003C30DF">
          <w:rPr>
            <w:rStyle w:val="Hyperlink"/>
            <w:rFonts w:cs="Arial"/>
            <w:i/>
            <w:iCs/>
            <w:lang w:val="en-GB"/>
          </w:rPr>
          <w:t>https://www.nhs.uk/conditions/stroke/</w:t>
        </w:r>
      </w:hyperlink>
      <w:r w:rsidR="00861422" w:rsidRPr="003C30DF">
        <w:rPr>
          <w:rFonts w:cs="Arial"/>
          <w:i/>
          <w:iCs/>
          <w:lang w:val="en-GB"/>
        </w:rPr>
        <w:t xml:space="preserve"> </w:t>
      </w:r>
      <w:r w:rsidR="006852D9" w:rsidRPr="003C30DF">
        <w:rPr>
          <w:rFonts w:cs="Arial"/>
          <w:i/>
          <w:iCs/>
          <w:lang w:val="en-GB"/>
        </w:rPr>
        <w:t xml:space="preserve"> (</w:t>
      </w:r>
      <w:r w:rsidR="004838CF" w:rsidRPr="003C30DF">
        <w:rPr>
          <w:rFonts w:cs="Arial"/>
          <w:i/>
          <w:iCs/>
          <w:lang w:val="en-GB"/>
        </w:rPr>
        <w:t>Accessed</w:t>
      </w:r>
      <w:r w:rsidR="00E76301" w:rsidRPr="003C30DF">
        <w:rPr>
          <w:rFonts w:cs="Arial"/>
          <w:i/>
          <w:iCs/>
          <w:lang w:val="en-GB"/>
        </w:rPr>
        <w:t>:</w:t>
      </w:r>
      <w:r w:rsidR="004838CF" w:rsidRPr="003C30DF">
        <w:rPr>
          <w:rFonts w:cs="Arial"/>
          <w:i/>
          <w:iCs/>
          <w:lang w:val="en-GB"/>
        </w:rPr>
        <w:t xml:space="preserve"> 14</w:t>
      </w:r>
      <w:r w:rsidR="003F07F0" w:rsidRPr="003C30DF">
        <w:rPr>
          <w:rFonts w:cs="Arial"/>
          <w:i/>
          <w:iCs/>
          <w:lang w:val="en-GB"/>
        </w:rPr>
        <w:t xml:space="preserve"> </w:t>
      </w:r>
      <w:r w:rsidR="004838CF" w:rsidRPr="003C30DF">
        <w:rPr>
          <w:rFonts w:cs="Arial"/>
          <w:i/>
          <w:iCs/>
          <w:lang w:val="en-GB"/>
        </w:rPr>
        <w:t>April 2026</w:t>
      </w:r>
      <w:r w:rsidR="00E95C8D" w:rsidRPr="003C30DF">
        <w:rPr>
          <w:rFonts w:cs="Arial"/>
          <w:i/>
          <w:iCs/>
          <w:lang w:val="en-GB"/>
        </w:rPr>
        <w:t>)</w:t>
      </w:r>
      <w:r w:rsidR="004838CF" w:rsidRPr="003C30DF">
        <w:rPr>
          <w:rFonts w:cs="Arial"/>
          <w:i/>
          <w:iCs/>
          <w:lang w:val="en-GB"/>
        </w:rPr>
        <w:t>.</w:t>
      </w:r>
    </w:p>
    <w:p w14:paraId="2597034E" w14:textId="71B7FD61" w:rsidR="00A43796" w:rsidRPr="003C30DF" w:rsidRDefault="00A43796" w:rsidP="00777F7D">
      <w:pPr>
        <w:spacing w:line="360" w:lineRule="auto"/>
        <w:jc w:val="both"/>
        <w:rPr>
          <w:rFonts w:cs="Arial"/>
          <w:i/>
          <w:iCs/>
          <w:lang w:val="en-GB"/>
        </w:rPr>
      </w:pPr>
      <w:r w:rsidRPr="003C30DF">
        <w:rPr>
          <w:rFonts w:cs="Arial"/>
          <w:bCs/>
          <w:i/>
          <w:iCs/>
          <w:lang w:val="en-GB"/>
        </w:rPr>
        <w:t>N</w:t>
      </w:r>
      <w:r w:rsidR="007472E3" w:rsidRPr="003C30DF">
        <w:rPr>
          <w:rFonts w:cs="Arial"/>
          <w:bCs/>
          <w:i/>
          <w:iCs/>
          <w:lang w:val="en-GB"/>
        </w:rPr>
        <w:t>ICE</w:t>
      </w:r>
      <w:r w:rsidR="005346B2" w:rsidRPr="003C30DF">
        <w:rPr>
          <w:rFonts w:cs="Arial"/>
          <w:bCs/>
          <w:i/>
          <w:iCs/>
          <w:lang w:val="en-GB"/>
        </w:rPr>
        <w:t xml:space="preserve"> </w:t>
      </w:r>
      <w:r w:rsidRPr="003C30DF">
        <w:rPr>
          <w:rFonts w:cs="Arial"/>
          <w:bCs/>
          <w:i/>
          <w:iCs/>
          <w:lang w:val="en-GB"/>
        </w:rPr>
        <w:t>(2023)</w:t>
      </w:r>
      <w:r w:rsidR="00826FDE" w:rsidRPr="003C30DF">
        <w:rPr>
          <w:rFonts w:cs="Arial"/>
          <w:bCs/>
          <w:i/>
          <w:iCs/>
          <w:lang w:val="en-GB"/>
        </w:rPr>
        <w:t>.</w:t>
      </w:r>
      <w:r w:rsidRPr="003C30DF">
        <w:rPr>
          <w:rFonts w:cs="Arial"/>
          <w:i/>
          <w:iCs/>
          <w:lang w:val="en-GB"/>
        </w:rPr>
        <w:t xml:space="preserve"> Stroke rehabilitation in adults (NICE guideline NG236). London: NICE. Available at: </w:t>
      </w:r>
      <w:hyperlink r:id="rId20" w:history="1">
        <w:r w:rsidRPr="003C30DF">
          <w:rPr>
            <w:rStyle w:val="Hyperlink"/>
            <w:rFonts w:cs="Arial"/>
            <w:i/>
            <w:iCs/>
            <w:lang w:val="en-GB"/>
          </w:rPr>
          <w:t>https://www.nice.org.uk/guidance/ng236</w:t>
        </w:r>
      </w:hyperlink>
      <w:r w:rsidRPr="003C30DF">
        <w:rPr>
          <w:rFonts w:cs="Arial"/>
          <w:i/>
          <w:iCs/>
          <w:lang w:val="en-GB"/>
        </w:rPr>
        <w:t xml:space="preserve">  (Accessed: 15 April 2026). </w:t>
      </w:r>
    </w:p>
    <w:p w14:paraId="5184E379" w14:textId="46F890A1" w:rsidR="006A0026" w:rsidRDefault="006A0026" w:rsidP="00777F7D">
      <w:pPr>
        <w:spacing w:line="360" w:lineRule="auto"/>
        <w:jc w:val="both"/>
        <w:rPr>
          <w:rFonts w:cs="Arial"/>
          <w:i/>
          <w:iCs/>
          <w:lang w:val="en-GB"/>
        </w:rPr>
      </w:pPr>
      <w:r w:rsidRPr="003C30DF">
        <w:rPr>
          <w:rFonts w:cs="Arial"/>
          <w:i/>
          <w:iCs/>
          <w:lang w:val="en-GB"/>
        </w:rPr>
        <w:t>O’Donnell, M.J. et al. (2016)</w:t>
      </w:r>
      <w:r w:rsidR="00060227" w:rsidRPr="003C30DF">
        <w:rPr>
          <w:rFonts w:cs="Arial"/>
          <w:i/>
          <w:iCs/>
          <w:lang w:val="en-GB"/>
        </w:rPr>
        <w:t>.</w:t>
      </w:r>
      <w:r w:rsidRPr="003C30DF">
        <w:rPr>
          <w:rFonts w:cs="Arial"/>
          <w:i/>
          <w:iCs/>
          <w:lang w:val="en-GB"/>
        </w:rPr>
        <w:t xml:space="preserve"> ‘Risk factors for stroke’, The Lancet, 388(10046), pp. 761–775.</w:t>
      </w:r>
    </w:p>
    <w:p w14:paraId="2007A18A" w14:textId="71F49171" w:rsidR="008929B9" w:rsidRDefault="008929B9" w:rsidP="008929B9">
      <w:pPr>
        <w:spacing w:line="240" w:lineRule="auto"/>
        <w:rPr>
          <w:i/>
          <w:iCs/>
        </w:rPr>
      </w:pPr>
      <w:r>
        <w:rPr>
          <w:i/>
          <w:iCs/>
        </w:rPr>
        <w:t>O</w:t>
      </w:r>
      <w:r w:rsidR="00E06235">
        <w:rPr>
          <w:i/>
          <w:iCs/>
        </w:rPr>
        <w:t xml:space="preserve">ffice </w:t>
      </w:r>
      <w:r w:rsidR="00FA1074">
        <w:rPr>
          <w:i/>
          <w:iCs/>
        </w:rPr>
        <w:t>for</w:t>
      </w:r>
      <w:r w:rsidR="00B03F21">
        <w:rPr>
          <w:i/>
          <w:iCs/>
        </w:rPr>
        <w:t xml:space="preserve"> National </w:t>
      </w:r>
      <w:r>
        <w:rPr>
          <w:i/>
          <w:iCs/>
        </w:rPr>
        <w:t>S</w:t>
      </w:r>
      <w:r w:rsidR="00B03F21">
        <w:rPr>
          <w:i/>
          <w:iCs/>
        </w:rPr>
        <w:t>tatistics</w:t>
      </w:r>
      <w:r>
        <w:rPr>
          <w:i/>
          <w:iCs/>
        </w:rPr>
        <w:t xml:space="preserve"> (2023). Deaths registered in England and Wales: 2022 (cause of death data). London: ONS. Available at: </w:t>
      </w:r>
      <w:hyperlink r:id="rId21" w:history="1">
        <w:r w:rsidRPr="00D5387C">
          <w:rPr>
            <w:rStyle w:val="Hyperlink"/>
            <w:i/>
            <w:iCs/>
          </w:rPr>
          <w:t>https://www.ons.gov.uk/peoplepopulationandcommunity/birthsdeathsandmarriages/deaths/bulletins/deathsregistrationsummarytables/2022</w:t>
        </w:r>
      </w:hyperlink>
    </w:p>
    <w:p w14:paraId="5FCCFD7A" w14:textId="77777777" w:rsidR="008929B9" w:rsidRDefault="008929B9" w:rsidP="008929B9">
      <w:pPr>
        <w:spacing w:line="240" w:lineRule="auto"/>
      </w:pPr>
      <w:r>
        <w:rPr>
          <w:i/>
          <w:iCs/>
        </w:rPr>
        <w:t xml:space="preserve"> (Accessed: 15 April 2026). </w:t>
      </w:r>
    </w:p>
    <w:p w14:paraId="39F67D06" w14:textId="795B4041" w:rsidR="00EB6BB5" w:rsidRPr="008929B9" w:rsidRDefault="002B3920">
      <w:pPr>
        <w:spacing w:line="360" w:lineRule="auto"/>
        <w:jc w:val="both"/>
        <w:rPr>
          <w:i/>
          <w:iCs/>
          <w:lang w:val="en-GB"/>
        </w:rPr>
      </w:pPr>
      <w:r>
        <w:rPr>
          <w:i/>
          <w:iCs/>
          <w:lang w:val="en-GB"/>
        </w:rPr>
        <w:t xml:space="preserve">Office for </w:t>
      </w:r>
      <w:r w:rsidR="008929B9" w:rsidRPr="008929B9">
        <w:rPr>
          <w:i/>
          <w:iCs/>
          <w:lang w:val="en-GB"/>
        </w:rPr>
        <w:t>N</w:t>
      </w:r>
      <w:r>
        <w:rPr>
          <w:i/>
          <w:iCs/>
          <w:lang w:val="en-GB"/>
        </w:rPr>
        <w:t xml:space="preserve">ational </w:t>
      </w:r>
      <w:r w:rsidR="008929B9" w:rsidRPr="008929B9">
        <w:rPr>
          <w:i/>
          <w:iCs/>
          <w:lang w:val="en-GB"/>
        </w:rPr>
        <w:t>S</w:t>
      </w:r>
      <w:r>
        <w:rPr>
          <w:i/>
          <w:iCs/>
          <w:lang w:val="en-GB"/>
        </w:rPr>
        <w:t>tatistics</w:t>
      </w:r>
      <w:r w:rsidR="008929B9">
        <w:rPr>
          <w:i/>
          <w:iCs/>
          <w:lang w:val="en-GB"/>
        </w:rPr>
        <w:t xml:space="preserve"> </w:t>
      </w:r>
      <w:r w:rsidR="008929B9" w:rsidRPr="008929B9">
        <w:rPr>
          <w:i/>
          <w:iCs/>
          <w:lang w:val="en-GB"/>
        </w:rPr>
        <w:t xml:space="preserve">(2024) Estimates of the population for the UK, England and Wales, Scotland and Northern Ireland - Office for National Statistics, Office for National Statistics. Available at: </w:t>
      </w:r>
      <w:hyperlink r:id="rId22" w:history="1">
        <w:r w:rsidR="008929B9" w:rsidRPr="008929B9">
          <w:rPr>
            <w:rStyle w:val="Hyperlink"/>
            <w:i/>
            <w:iCs/>
            <w:lang w:val="en-GB"/>
          </w:rPr>
          <w:t>https://www.ons.gov.uk/peoplepopulationandcommunity/populationandmigration/populationestimates/datasets/populationestimatesforukenglandandwalesscotlandandnorthernireland</w:t>
        </w:r>
      </w:hyperlink>
      <w:r w:rsidR="00FE5628">
        <w:rPr>
          <w:i/>
          <w:iCs/>
          <w:lang w:val="en-GB"/>
        </w:rPr>
        <w:t xml:space="preserve"> (</w:t>
      </w:r>
      <w:r w:rsidR="008929B9">
        <w:rPr>
          <w:i/>
          <w:iCs/>
          <w:lang w:val="en-GB"/>
        </w:rPr>
        <w:t xml:space="preserve"> </w:t>
      </w:r>
      <w:r w:rsidR="00884183">
        <w:rPr>
          <w:i/>
          <w:iCs/>
        </w:rPr>
        <w:t>Accessed: 15 April 2026).</w:t>
      </w:r>
      <w:r w:rsidR="00D95218" w:rsidRPr="00D95218">
        <w:t xml:space="preserve"> </w:t>
      </w:r>
    </w:p>
    <w:p w14:paraId="31B2C3D7" w14:textId="0D4102B6" w:rsidR="006A0026" w:rsidRPr="003C30DF" w:rsidRDefault="006A0026" w:rsidP="00777F7D">
      <w:pPr>
        <w:spacing w:line="360" w:lineRule="auto"/>
        <w:jc w:val="both"/>
        <w:rPr>
          <w:rFonts w:cs="Arial"/>
          <w:i/>
          <w:iCs/>
          <w:lang w:val="en-GB"/>
        </w:rPr>
      </w:pPr>
      <w:r w:rsidRPr="003C30DF">
        <w:rPr>
          <w:rFonts w:cs="Arial"/>
          <w:i/>
          <w:iCs/>
          <w:lang w:val="en-GB"/>
        </w:rPr>
        <w:t>Our World in Data (2024)</w:t>
      </w:r>
      <w:r w:rsidR="002E1897" w:rsidRPr="003C30DF">
        <w:rPr>
          <w:rFonts w:cs="Arial"/>
          <w:i/>
          <w:iCs/>
          <w:lang w:val="en-GB"/>
        </w:rPr>
        <w:t>.</w:t>
      </w:r>
      <w:r w:rsidRPr="003C30DF">
        <w:rPr>
          <w:rFonts w:cs="Arial"/>
          <w:i/>
          <w:iCs/>
          <w:lang w:val="en-GB"/>
        </w:rPr>
        <w:t xml:space="preserve"> Death rate from stroke, 2021. Data source: World Health Organisation. Available at: </w:t>
      </w:r>
      <w:hyperlink r:id="rId23" w:history="1">
        <w:r w:rsidR="00802AD6" w:rsidRPr="003C30DF">
          <w:rPr>
            <w:rStyle w:val="Hyperlink"/>
            <w:rFonts w:cs="Arial"/>
            <w:i/>
            <w:iCs/>
            <w:lang w:val="en-GB"/>
          </w:rPr>
          <w:t>https://ourworldindata.org/cardiovascular-diseases</w:t>
        </w:r>
      </w:hyperlink>
      <w:r w:rsidR="00802AD6" w:rsidRPr="003C30DF">
        <w:rPr>
          <w:rFonts w:cs="Arial"/>
          <w:i/>
          <w:iCs/>
          <w:lang w:val="en-GB"/>
        </w:rPr>
        <w:t xml:space="preserve"> </w:t>
      </w:r>
      <w:r w:rsidRPr="003C30DF">
        <w:rPr>
          <w:rFonts w:cs="Arial"/>
          <w:i/>
          <w:iCs/>
          <w:lang w:val="en-GB"/>
        </w:rPr>
        <w:t>(Accessed: 15 April 2026).</w:t>
      </w:r>
    </w:p>
    <w:p w14:paraId="62A00A6E" w14:textId="6F59E170" w:rsidR="00AB6190" w:rsidRPr="003C30DF" w:rsidRDefault="00AB6190">
      <w:pPr>
        <w:spacing w:line="360" w:lineRule="auto"/>
        <w:jc w:val="both"/>
        <w:rPr>
          <w:i/>
          <w:iCs/>
          <w:kern w:val="2"/>
          <w:lang w:val="en-GB" w:eastAsia="en-GB"/>
          <w14:ligatures w14:val="standardContextual"/>
        </w:rPr>
      </w:pPr>
      <w:r w:rsidRPr="00AB6190">
        <w:rPr>
          <w:i/>
          <w:iCs/>
          <w:kern w:val="2"/>
          <w:lang w:val="en-GB" w:eastAsia="en-GB"/>
          <w14:ligatures w14:val="standardContextual"/>
        </w:rPr>
        <w:t>SSNAP (</w:t>
      </w:r>
      <w:r w:rsidR="00C70E96">
        <w:rPr>
          <w:i/>
          <w:iCs/>
          <w:kern w:val="2"/>
          <w:lang w:val="en-GB" w:eastAsia="en-GB"/>
          <w14:ligatures w14:val="standardContextual"/>
        </w:rPr>
        <w:t xml:space="preserve">2021) Sentinel Stroke National Audit Programme. </w:t>
      </w:r>
      <w:r w:rsidRPr="00AB6190">
        <w:rPr>
          <w:i/>
          <w:iCs/>
          <w:kern w:val="2"/>
          <w:lang w:val="en-GB" w:eastAsia="en-GB"/>
          <w14:ligatures w14:val="standardContextual"/>
        </w:rPr>
        <w:t xml:space="preserve">Available at: </w:t>
      </w:r>
      <w:hyperlink r:id="rId24" w:history="1">
        <w:r w:rsidR="00FA0C8D" w:rsidRPr="00D5387C">
          <w:rPr>
            <w:rStyle w:val="Hyperlink"/>
            <w:i/>
            <w:iCs/>
            <w:kern w:val="2"/>
            <w:lang w:val="en-GB" w:eastAsia="en-GB"/>
            <w14:ligatures w14:val="standardContextual"/>
          </w:rPr>
          <w:t>https://www.strokeaudit.org/</w:t>
        </w:r>
      </w:hyperlink>
      <w:r w:rsidRPr="00AB6190">
        <w:rPr>
          <w:i/>
          <w:iCs/>
          <w:kern w:val="2"/>
          <w:lang w:val="en-GB" w:eastAsia="en-GB"/>
          <w14:ligatures w14:val="standardContextual"/>
        </w:rPr>
        <w:t>.</w:t>
      </w:r>
      <w:r w:rsidR="00FA0C8D">
        <w:rPr>
          <w:i/>
          <w:iCs/>
          <w:kern w:val="2"/>
          <w:lang w:val="en-GB" w:eastAsia="en-GB"/>
          <w14:ligatures w14:val="standardContextual"/>
        </w:rPr>
        <w:t xml:space="preserve"> (Accessed: </w:t>
      </w:r>
      <w:r w:rsidR="000E5615">
        <w:rPr>
          <w:i/>
          <w:iCs/>
          <w:kern w:val="2"/>
          <w:lang w:val="en-GB" w:eastAsia="en-GB"/>
          <w14:ligatures w14:val="standardContextual"/>
        </w:rPr>
        <w:t>20</w:t>
      </w:r>
      <w:r w:rsidR="00FA0C8D">
        <w:rPr>
          <w:i/>
          <w:iCs/>
          <w:kern w:val="2"/>
          <w:lang w:val="en-GB" w:eastAsia="en-GB"/>
          <w14:ligatures w14:val="standardContextual"/>
        </w:rPr>
        <w:t xml:space="preserve"> April 2026)</w:t>
      </w:r>
      <w:r w:rsidR="005331D3">
        <w:rPr>
          <w:i/>
          <w:iCs/>
          <w:kern w:val="2"/>
          <w:lang w:val="en-GB" w:eastAsia="en-GB"/>
          <w14:ligatures w14:val="standardContextual"/>
        </w:rPr>
        <w:t>.</w:t>
      </w:r>
    </w:p>
    <w:p w14:paraId="7BC1BD96" w14:textId="68A8DA7A" w:rsidR="008A344B" w:rsidRPr="008A344B" w:rsidRDefault="00884183">
      <w:pPr>
        <w:spacing w:line="360" w:lineRule="auto"/>
        <w:jc w:val="both"/>
        <w:rPr>
          <w:i/>
          <w:iCs/>
        </w:rPr>
      </w:pPr>
      <w:r>
        <w:rPr>
          <w:i/>
          <w:iCs/>
        </w:rPr>
        <w:t xml:space="preserve">Stroke Association (2024). UK stroke statistics. Available at: </w:t>
      </w:r>
      <w:hyperlink r:id="rId25" w:history="1">
        <w:r w:rsidR="00D670F3" w:rsidRPr="00D5387C">
          <w:rPr>
            <w:rStyle w:val="Hyperlink"/>
            <w:i/>
            <w:iCs/>
          </w:rPr>
          <w:t>https://www.stroke.org.uk/stroke/statistics</w:t>
        </w:r>
      </w:hyperlink>
      <w:r w:rsidR="00D670F3">
        <w:rPr>
          <w:i/>
          <w:iCs/>
        </w:rPr>
        <w:t xml:space="preserve"> </w:t>
      </w:r>
      <w:r>
        <w:rPr>
          <w:i/>
          <w:iCs/>
        </w:rPr>
        <w:t xml:space="preserve"> (Accessed: 15 April 2026).</w:t>
      </w:r>
    </w:p>
    <w:p w14:paraId="5BE1E61A" w14:textId="25E1BA1E" w:rsidR="007733AC" w:rsidRPr="003C30DF" w:rsidRDefault="00FF18D4" w:rsidP="00777F7D">
      <w:pPr>
        <w:spacing w:line="360" w:lineRule="auto"/>
        <w:jc w:val="both"/>
        <w:rPr>
          <w:rFonts w:cs="Arial"/>
          <w:i/>
          <w:iCs/>
        </w:rPr>
      </w:pPr>
      <w:r w:rsidRPr="003C30DF">
        <w:rPr>
          <w:rFonts w:cs="Arial"/>
          <w:i/>
          <w:iCs/>
        </w:rPr>
        <w:t>Warlow</w:t>
      </w:r>
      <w:r w:rsidR="0082375C" w:rsidRPr="003C30DF">
        <w:rPr>
          <w:rFonts w:cs="Arial"/>
          <w:i/>
          <w:iCs/>
        </w:rPr>
        <w:t>, C.,</w:t>
      </w:r>
      <w:r w:rsidR="00492985" w:rsidRPr="003C30DF">
        <w:rPr>
          <w:rFonts w:cs="Arial"/>
          <w:i/>
          <w:iCs/>
        </w:rPr>
        <w:t xml:space="preserve"> van Gijn</w:t>
      </w:r>
      <w:r w:rsidR="00D22AB1" w:rsidRPr="003C30DF">
        <w:rPr>
          <w:rFonts w:cs="Arial"/>
          <w:i/>
          <w:iCs/>
        </w:rPr>
        <w:t>, J., Dennis, M.,</w:t>
      </w:r>
      <w:r w:rsidR="00965E09" w:rsidRPr="003C30DF">
        <w:rPr>
          <w:rFonts w:cs="Arial"/>
          <w:i/>
          <w:iCs/>
        </w:rPr>
        <w:t xml:space="preserve"> Wardlaw</w:t>
      </w:r>
      <w:r w:rsidR="004E7390" w:rsidRPr="003C30DF">
        <w:rPr>
          <w:rFonts w:cs="Arial"/>
          <w:i/>
          <w:iCs/>
        </w:rPr>
        <w:t xml:space="preserve">, J., Bamford, J., </w:t>
      </w:r>
      <w:r w:rsidR="00492985" w:rsidRPr="003C30DF">
        <w:rPr>
          <w:rFonts w:cs="Arial"/>
          <w:i/>
          <w:iCs/>
        </w:rPr>
        <w:t>Hankey, G., San</w:t>
      </w:r>
      <w:r w:rsidR="00942CAC" w:rsidRPr="003C30DF">
        <w:rPr>
          <w:rFonts w:cs="Arial"/>
          <w:i/>
          <w:iCs/>
        </w:rPr>
        <w:t xml:space="preserve">dercock, P., Pinkel, G., </w:t>
      </w:r>
      <w:r w:rsidR="00483ED3" w:rsidRPr="003C30DF">
        <w:rPr>
          <w:rFonts w:cs="Arial"/>
          <w:i/>
          <w:iCs/>
        </w:rPr>
        <w:t xml:space="preserve">Langhorne, P., Sudlow, </w:t>
      </w:r>
      <w:r w:rsidR="005232EB" w:rsidRPr="003C30DF">
        <w:rPr>
          <w:rFonts w:cs="Arial"/>
          <w:i/>
          <w:iCs/>
        </w:rPr>
        <w:t xml:space="preserve">C. and Rothwell, </w:t>
      </w:r>
      <w:r w:rsidR="00F62D71" w:rsidRPr="003C30DF">
        <w:rPr>
          <w:rFonts w:cs="Arial"/>
          <w:i/>
          <w:iCs/>
        </w:rPr>
        <w:t>P. (</w:t>
      </w:r>
      <w:r w:rsidR="00897222" w:rsidRPr="003C30DF">
        <w:rPr>
          <w:rFonts w:cs="Arial"/>
          <w:i/>
          <w:iCs/>
        </w:rPr>
        <w:t>2019). Warlow</w:t>
      </w:r>
      <w:r w:rsidR="0027374A" w:rsidRPr="003C30DF">
        <w:rPr>
          <w:rFonts w:cs="Arial"/>
          <w:i/>
          <w:iCs/>
        </w:rPr>
        <w:t>’s Stroke: Practical Management</w:t>
      </w:r>
      <w:r w:rsidR="00DE70C3" w:rsidRPr="003C30DF">
        <w:rPr>
          <w:rFonts w:cs="Arial"/>
          <w:i/>
          <w:iCs/>
        </w:rPr>
        <w:t xml:space="preserve">. </w:t>
      </w:r>
      <w:r w:rsidR="008B6278" w:rsidRPr="003C30DF">
        <w:rPr>
          <w:rFonts w:cs="Arial"/>
          <w:i/>
          <w:iCs/>
        </w:rPr>
        <w:t>4</w:t>
      </w:r>
      <w:r w:rsidR="008B6278" w:rsidRPr="003C30DF">
        <w:rPr>
          <w:rFonts w:cs="Arial"/>
          <w:i/>
          <w:iCs/>
          <w:vertAlign w:val="superscript"/>
        </w:rPr>
        <w:t>th</w:t>
      </w:r>
      <w:r w:rsidR="00DE70C3" w:rsidRPr="003C30DF">
        <w:rPr>
          <w:rFonts w:cs="Arial"/>
          <w:i/>
          <w:iCs/>
        </w:rPr>
        <w:t xml:space="preserve"> </w:t>
      </w:r>
      <w:r w:rsidR="008C7C5E" w:rsidRPr="003C30DF">
        <w:rPr>
          <w:rFonts w:cs="Arial"/>
          <w:i/>
          <w:iCs/>
        </w:rPr>
        <w:t>e</w:t>
      </w:r>
      <w:r w:rsidR="00DE70C3" w:rsidRPr="003C30DF">
        <w:rPr>
          <w:rFonts w:cs="Arial"/>
          <w:i/>
          <w:iCs/>
        </w:rPr>
        <w:t>dition. Hob</w:t>
      </w:r>
      <w:r w:rsidR="00340D28" w:rsidRPr="003C30DF">
        <w:rPr>
          <w:rFonts w:cs="Arial"/>
          <w:i/>
          <w:iCs/>
        </w:rPr>
        <w:t>oken: Wiley-Blackwell</w:t>
      </w:r>
      <w:r w:rsidR="00257773" w:rsidRPr="003C30DF">
        <w:rPr>
          <w:rFonts w:cs="Arial"/>
          <w:i/>
          <w:iCs/>
        </w:rPr>
        <w:t>.</w:t>
      </w:r>
    </w:p>
    <w:p w14:paraId="2EEEBE78" w14:textId="1D76C165" w:rsidR="00C54260" w:rsidRDefault="00C54260" w:rsidP="00C54260">
      <w:pPr>
        <w:spacing w:line="360" w:lineRule="auto"/>
        <w:jc w:val="both"/>
        <w:rPr>
          <w:rFonts w:cs="Arial"/>
          <w:bCs/>
          <w:i/>
          <w:iCs/>
          <w:lang w:val="en-GB"/>
        </w:rPr>
      </w:pPr>
      <w:r w:rsidRPr="00C54260">
        <w:rPr>
          <w:rFonts w:cs="Arial"/>
          <w:bCs/>
          <w:i/>
          <w:iCs/>
          <w:lang w:val="en-GB"/>
        </w:rPr>
        <w:t xml:space="preserve">Wei, X., Sun, S., Zhang, M. and Zhao, Z. (2024). A systematic review and meta-analysis of clinical efficacy of early and late rehabilitation interventions for ischemic stroke. BMC Neurology, </w:t>
      </w:r>
      <w:r w:rsidR="00B96131" w:rsidRPr="00C54260">
        <w:rPr>
          <w:rFonts w:cs="Arial"/>
          <w:bCs/>
          <w:i/>
          <w:iCs/>
          <w:lang w:val="en-GB"/>
        </w:rPr>
        <w:t>24</w:t>
      </w:r>
      <w:r w:rsidR="00B96131">
        <w:rPr>
          <w:rFonts w:cs="Arial"/>
          <w:bCs/>
          <w:i/>
          <w:iCs/>
          <w:lang w:val="en-GB"/>
        </w:rPr>
        <w:t>, 91</w:t>
      </w:r>
      <w:r w:rsidR="00D56AF7">
        <w:rPr>
          <w:rFonts w:cs="Arial"/>
          <w:bCs/>
          <w:i/>
          <w:iCs/>
          <w:lang w:val="en-GB"/>
        </w:rPr>
        <w:t>.</w:t>
      </w:r>
      <w:r w:rsidR="007C0FB5">
        <w:rPr>
          <w:rFonts w:cs="Arial"/>
          <w:bCs/>
          <w:i/>
          <w:iCs/>
          <w:lang w:val="en-GB"/>
        </w:rPr>
        <w:t xml:space="preserve"> Available at:</w:t>
      </w:r>
      <w:r w:rsidRPr="003C30DF">
        <w:rPr>
          <w:rFonts w:cs="Arial"/>
          <w:bCs/>
          <w:i/>
          <w:iCs/>
          <w:lang w:val="en-GB"/>
        </w:rPr>
        <w:t xml:space="preserve"> </w:t>
      </w:r>
      <w:hyperlink r:id="rId26" w:history="1">
        <w:r w:rsidR="003C30DF" w:rsidRPr="003C30DF">
          <w:rPr>
            <w:rStyle w:val="Hyperlink"/>
            <w:rFonts w:cs="Arial"/>
            <w:bCs/>
            <w:i/>
            <w:iCs/>
            <w:lang w:val="en-GB"/>
          </w:rPr>
          <w:t>https</w:t>
        </w:r>
        <w:r w:rsidR="003C30DF" w:rsidRPr="00C54260">
          <w:rPr>
            <w:rStyle w:val="Hyperlink"/>
            <w:rFonts w:cs="Arial"/>
            <w:bCs/>
            <w:i/>
            <w:iCs/>
            <w:lang w:val="en-GB"/>
          </w:rPr>
          <w:t>://doi.org/10.1186/s12883-024-03565-8</w:t>
        </w:r>
      </w:hyperlink>
      <w:r w:rsidRPr="00C54260">
        <w:rPr>
          <w:rFonts w:cs="Arial"/>
          <w:bCs/>
          <w:i/>
          <w:iCs/>
          <w:lang w:val="en-GB"/>
        </w:rPr>
        <w:t>.</w:t>
      </w:r>
      <w:r w:rsidR="007C0FB5">
        <w:rPr>
          <w:rFonts w:cs="Arial"/>
          <w:bCs/>
          <w:i/>
          <w:iCs/>
          <w:lang w:val="en-GB"/>
        </w:rPr>
        <w:t xml:space="preserve"> (Accessed 15 April 2026). </w:t>
      </w:r>
    </w:p>
    <w:p w14:paraId="4F471073" w14:textId="613A669E" w:rsidR="00884183" w:rsidRPr="00287808" w:rsidRDefault="00884183">
      <w:pPr>
        <w:spacing w:line="360" w:lineRule="auto"/>
        <w:jc w:val="both"/>
        <w:rPr>
          <w:rFonts w:cs="Arial"/>
          <w:bCs/>
          <w:i/>
          <w:iCs/>
          <w:lang w:val="en-GB"/>
        </w:rPr>
      </w:pPr>
      <w:r>
        <w:rPr>
          <w:i/>
          <w:iCs/>
        </w:rPr>
        <w:t xml:space="preserve">World Health </w:t>
      </w:r>
      <w:proofErr w:type="spellStart"/>
      <w:r w:rsidR="008929B9">
        <w:rPr>
          <w:i/>
          <w:iCs/>
        </w:rPr>
        <w:t>Organisation</w:t>
      </w:r>
      <w:proofErr w:type="spellEnd"/>
      <w:r>
        <w:rPr>
          <w:i/>
          <w:iCs/>
        </w:rPr>
        <w:t xml:space="preserve"> (2023). Stroke. Available at: </w:t>
      </w:r>
      <w:hyperlink r:id="rId27" w:history="1">
        <w:r w:rsidR="00200AE9" w:rsidRPr="00D5387C">
          <w:rPr>
            <w:rStyle w:val="Hyperlink"/>
            <w:i/>
            <w:iCs/>
          </w:rPr>
          <w:t>https://www.who.int/news-room/fact-sheets/detail/stroke</w:t>
        </w:r>
      </w:hyperlink>
      <w:r w:rsidR="00200AE9">
        <w:rPr>
          <w:i/>
          <w:iCs/>
        </w:rPr>
        <w:t xml:space="preserve"> </w:t>
      </w:r>
      <w:r>
        <w:rPr>
          <w:i/>
          <w:iCs/>
        </w:rPr>
        <w:t xml:space="preserve"> (Accessed: 15 April 2026).</w:t>
      </w:r>
    </w:p>
    <w:p w14:paraId="200B0B25" w14:textId="187F95D7" w:rsidR="00884183" w:rsidRDefault="00884183">
      <w:pPr>
        <w:spacing w:line="360" w:lineRule="auto"/>
        <w:jc w:val="both"/>
        <w:rPr>
          <w:kern w:val="2"/>
          <w:lang w:val="en-GB" w:eastAsia="en-GB"/>
          <w14:ligatures w14:val="standardContextual"/>
        </w:rPr>
      </w:pPr>
      <w:r>
        <w:rPr>
          <w:i/>
          <w:iCs/>
        </w:rPr>
        <w:t xml:space="preserve">World Health </w:t>
      </w:r>
      <w:proofErr w:type="spellStart"/>
      <w:r w:rsidR="008929B9">
        <w:rPr>
          <w:i/>
          <w:iCs/>
        </w:rPr>
        <w:t>Organisation</w:t>
      </w:r>
      <w:proofErr w:type="spellEnd"/>
      <w:r>
        <w:rPr>
          <w:i/>
          <w:iCs/>
        </w:rPr>
        <w:t xml:space="preserve"> (2024). Global Health Estimates (GHE). Available at: </w:t>
      </w:r>
      <w:hyperlink r:id="rId28" w:history="1">
        <w:r w:rsidR="00200AE9" w:rsidRPr="00D5387C">
          <w:rPr>
            <w:rStyle w:val="Hyperlink"/>
            <w:i/>
            <w:iCs/>
          </w:rPr>
          <w:t>https://www.who.int/data/global-health-estimates</w:t>
        </w:r>
      </w:hyperlink>
      <w:r w:rsidR="00200AE9">
        <w:rPr>
          <w:i/>
          <w:iCs/>
        </w:rPr>
        <w:t xml:space="preserve"> </w:t>
      </w:r>
      <w:r>
        <w:rPr>
          <w:i/>
          <w:iCs/>
        </w:rPr>
        <w:t xml:space="preserve"> (Accessed: 15 April 2026).</w:t>
      </w:r>
    </w:p>
    <w:p w14:paraId="5A3FE21C" w14:textId="3BADFD75" w:rsidR="00390BCB" w:rsidRDefault="00390BCB" w:rsidP="00777F7D">
      <w:pPr>
        <w:spacing w:line="360" w:lineRule="auto"/>
        <w:jc w:val="both"/>
        <w:rPr>
          <w:rFonts w:cs="Arial"/>
          <w:i/>
          <w:iCs/>
          <w:lang w:val="en-GB"/>
        </w:rPr>
      </w:pPr>
      <w:r w:rsidRPr="003C30DF">
        <w:rPr>
          <w:rFonts w:cs="Arial"/>
          <w:bCs/>
          <w:i/>
          <w:iCs/>
          <w:lang w:val="en-GB"/>
        </w:rPr>
        <w:t>World Stroke Organisation (2025).</w:t>
      </w:r>
      <w:r w:rsidRPr="003C30DF">
        <w:rPr>
          <w:rFonts w:cs="Arial"/>
          <w:i/>
          <w:iCs/>
          <w:lang w:val="en-GB"/>
        </w:rPr>
        <w:t xml:space="preserve"> Pragmatic policy interventions to prevent stroke: averting a global health crisis. Geneva: World Stroke Organisation. Available at: </w:t>
      </w:r>
      <w:hyperlink r:id="rId29" w:history="1">
        <w:r w:rsidRPr="003C30DF">
          <w:rPr>
            <w:rStyle w:val="Hyperlink"/>
            <w:rFonts w:cs="Arial"/>
            <w:i/>
            <w:iCs/>
            <w:lang w:val="en-GB"/>
          </w:rPr>
          <w:t>https://www.world-stroke.org/assets/downloads/WSO_Prevention_policy_FINAL_signoff_Jan_2025.pdf</w:t>
        </w:r>
      </w:hyperlink>
      <w:r w:rsidRPr="003C30DF">
        <w:rPr>
          <w:rFonts w:cs="Arial"/>
          <w:i/>
          <w:iCs/>
          <w:lang w:val="en-GB"/>
        </w:rPr>
        <w:t xml:space="preserve">  (Accessed: 16 April 2026).</w:t>
      </w:r>
    </w:p>
    <w:p w14:paraId="6848DFA6" w14:textId="04F7CA3A" w:rsidR="001B01B3" w:rsidRPr="00C45D91" w:rsidRDefault="001B01B3">
      <w:pPr>
        <w:spacing w:line="360" w:lineRule="auto"/>
        <w:jc w:val="both"/>
        <w:rPr>
          <w:i/>
          <w:iCs/>
        </w:rPr>
      </w:pPr>
      <w:proofErr w:type="spellStart"/>
      <w:r>
        <w:rPr>
          <w:i/>
          <w:iCs/>
        </w:rPr>
        <w:t>Zeraatiannejad</w:t>
      </w:r>
      <w:proofErr w:type="spellEnd"/>
      <w:r>
        <w:rPr>
          <w:i/>
          <w:iCs/>
        </w:rPr>
        <w:t xml:space="preserve">, Y., </w:t>
      </w:r>
      <w:proofErr w:type="spellStart"/>
      <w:r>
        <w:rPr>
          <w:i/>
          <w:iCs/>
        </w:rPr>
        <w:t>Asadabadi</w:t>
      </w:r>
      <w:proofErr w:type="spellEnd"/>
      <w:r>
        <w:rPr>
          <w:i/>
          <w:iCs/>
        </w:rPr>
        <w:t xml:space="preserve">, M., Kamran, H. and Shafiee, A. (2024) ‘The role of genetics in stroke risk and outcome’, Clinical and Experimental Hypertension, </w:t>
      </w:r>
      <w:r w:rsidR="00FF0EB0">
        <w:rPr>
          <w:i/>
          <w:iCs/>
        </w:rPr>
        <w:t>15</w:t>
      </w:r>
      <w:r>
        <w:rPr>
          <w:i/>
          <w:iCs/>
        </w:rPr>
        <w:t>(</w:t>
      </w:r>
      <w:r w:rsidR="00A06737">
        <w:rPr>
          <w:i/>
          <w:iCs/>
        </w:rPr>
        <w:t>6</w:t>
      </w:r>
      <w:r>
        <w:rPr>
          <w:i/>
          <w:iCs/>
        </w:rPr>
        <w:t>), p</w:t>
      </w:r>
      <w:r w:rsidR="00A06737">
        <w:rPr>
          <w:i/>
          <w:iCs/>
        </w:rPr>
        <w:t>.</w:t>
      </w:r>
      <w:r>
        <w:rPr>
          <w:i/>
          <w:iCs/>
        </w:rPr>
        <w:t>1-</w:t>
      </w:r>
      <w:r w:rsidR="00A06737">
        <w:rPr>
          <w:i/>
          <w:iCs/>
        </w:rPr>
        <w:t>234.Available at</w:t>
      </w:r>
      <w:r w:rsidR="00C45D91">
        <w:rPr>
          <w:i/>
          <w:iCs/>
        </w:rPr>
        <w:t xml:space="preserve">: </w:t>
      </w:r>
      <w:hyperlink r:id="rId30" w:history="1">
        <w:r w:rsidR="00955784" w:rsidRPr="00D5387C">
          <w:rPr>
            <w:rStyle w:val="Hyperlink"/>
            <w:i/>
            <w:iCs/>
          </w:rPr>
          <w:t>https://doi:10.3390/genes15061234</w:t>
        </w:r>
      </w:hyperlink>
      <w:r w:rsidR="00955784">
        <w:rPr>
          <w:i/>
          <w:iCs/>
          <w:color w:val="000000" w:themeColor="text1"/>
        </w:rPr>
        <w:t xml:space="preserve">. </w:t>
      </w:r>
      <w:r w:rsidRPr="00C45D91">
        <w:rPr>
          <w:i/>
          <w:iCs/>
          <w:color w:val="000000" w:themeColor="text1"/>
        </w:rPr>
        <w:t xml:space="preserve"> </w:t>
      </w:r>
      <w:r w:rsidR="00890075">
        <w:rPr>
          <w:i/>
          <w:iCs/>
        </w:rPr>
        <w:t>(</w:t>
      </w:r>
      <w:r>
        <w:rPr>
          <w:i/>
          <w:iCs/>
        </w:rPr>
        <w:t>Accessed: 2</w:t>
      </w:r>
      <w:r w:rsidR="000A7D44">
        <w:rPr>
          <w:i/>
          <w:iCs/>
        </w:rPr>
        <w:t>0</w:t>
      </w:r>
      <w:r>
        <w:rPr>
          <w:i/>
          <w:iCs/>
        </w:rPr>
        <w:t xml:space="preserve"> April 2026).</w:t>
      </w:r>
    </w:p>
    <w:p w14:paraId="78C04DC3" w14:textId="77777777" w:rsidR="00390BCB" w:rsidRPr="003C30DF" w:rsidRDefault="00390BCB" w:rsidP="00777F7D">
      <w:pPr>
        <w:spacing w:line="360" w:lineRule="auto"/>
        <w:jc w:val="both"/>
        <w:rPr>
          <w:rFonts w:cs="Arial"/>
          <w:i/>
          <w:iCs/>
          <w:lang w:val="en-GB"/>
        </w:rPr>
      </w:pPr>
    </w:p>
    <w:p w14:paraId="6E3D06BC" w14:textId="4A8BB42F" w:rsidR="00CE19B1" w:rsidRPr="003C30DF" w:rsidRDefault="00984961" w:rsidP="00777F7D">
      <w:pPr>
        <w:spacing w:line="360" w:lineRule="auto"/>
        <w:rPr>
          <w:b/>
          <w:bCs/>
          <w:i/>
          <w:iCs/>
        </w:rPr>
      </w:pPr>
      <w:r w:rsidRPr="003C30DF">
        <w:rPr>
          <w:i/>
          <w:iCs/>
        </w:rPr>
        <w:br w:type="page"/>
      </w:r>
    </w:p>
    <w:p w14:paraId="12C76990" w14:textId="77777777" w:rsidR="00CF1DAD" w:rsidRPr="00CF1DAD" w:rsidRDefault="00CF1DAD" w:rsidP="00CF1DAD"/>
    <w:p w14:paraId="5DA95740" w14:textId="77777777" w:rsidR="00CF1DAD" w:rsidRPr="00CF1DAD" w:rsidRDefault="00CF1DAD" w:rsidP="00CF1DAD"/>
    <w:p w14:paraId="3E8F8724" w14:textId="77777777" w:rsidR="00CF1DAD" w:rsidRPr="00CF1DAD" w:rsidRDefault="00CF1DAD" w:rsidP="00CF1DAD"/>
    <w:p w14:paraId="73C834E5" w14:textId="77777777" w:rsidR="00CF1DAD" w:rsidRDefault="00CF1DAD" w:rsidP="00CF1DAD"/>
    <w:p w14:paraId="0212AA73" w14:textId="6D799071" w:rsidR="00CF1DAD" w:rsidRPr="00CF1DAD" w:rsidRDefault="00CF1DAD" w:rsidP="00CF1DAD">
      <w:r>
        <w:t xml:space="preserve"> </w:t>
      </w:r>
    </w:p>
    <w:sectPr w:rsidR="00CF1DAD" w:rsidRPr="00CF1DAD" w:rsidSect="00034616">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6FCFD" w14:textId="77777777" w:rsidR="00756173" w:rsidRDefault="00756173" w:rsidP="006A0026">
      <w:pPr>
        <w:spacing w:after="0" w:line="240" w:lineRule="auto"/>
      </w:pPr>
      <w:r>
        <w:separator/>
      </w:r>
    </w:p>
  </w:endnote>
  <w:endnote w:type="continuationSeparator" w:id="0">
    <w:p w14:paraId="1E40A7B5" w14:textId="77777777" w:rsidR="00756173" w:rsidRDefault="00756173" w:rsidP="006A0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1583493"/>
      <w:docPartObj>
        <w:docPartGallery w:val="Page Numbers (Bottom of Page)"/>
        <w:docPartUnique/>
      </w:docPartObj>
    </w:sdtPr>
    <w:sdtEndPr>
      <w:rPr>
        <w:noProof/>
      </w:rPr>
    </w:sdtEndPr>
    <w:sdtContent>
      <w:p w14:paraId="3B7AA818" w14:textId="785B08C4" w:rsidR="00777F7D" w:rsidRDefault="00777F7D">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48C1E099" w14:textId="77777777" w:rsidR="00777F7D" w:rsidRDefault="00777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F1BD5" w14:textId="77777777" w:rsidR="00756173" w:rsidRDefault="00756173" w:rsidP="006A0026">
      <w:pPr>
        <w:spacing w:after="0" w:line="240" w:lineRule="auto"/>
      </w:pPr>
      <w:r>
        <w:separator/>
      </w:r>
    </w:p>
  </w:footnote>
  <w:footnote w:type="continuationSeparator" w:id="0">
    <w:p w14:paraId="4784FAFE" w14:textId="77777777" w:rsidR="00756173" w:rsidRDefault="00756173" w:rsidP="006A00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8C61CA1"/>
    <w:multiLevelType w:val="multilevel"/>
    <w:tmpl w:val="F45E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E92888"/>
    <w:multiLevelType w:val="multilevel"/>
    <w:tmpl w:val="38DE29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3813186">
    <w:abstractNumId w:val="8"/>
  </w:num>
  <w:num w:numId="2" w16cid:durableId="888690059">
    <w:abstractNumId w:val="6"/>
  </w:num>
  <w:num w:numId="3" w16cid:durableId="946741820">
    <w:abstractNumId w:val="5"/>
  </w:num>
  <w:num w:numId="4" w16cid:durableId="749304487">
    <w:abstractNumId w:val="4"/>
  </w:num>
  <w:num w:numId="5" w16cid:durableId="687759202">
    <w:abstractNumId w:val="7"/>
  </w:num>
  <w:num w:numId="6" w16cid:durableId="2132086405">
    <w:abstractNumId w:val="3"/>
  </w:num>
  <w:num w:numId="7" w16cid:durableId="1924295397">
    <w:abstractNumId w:val="2"/>
  </w:num>
  <w:num w:numId="8" w16cid:durableId="139230910">
    <w:abstractNumId w:val="1"/>
  </w:num>
  <w:num w:numId="9" w16cid:durableId="1394233277">
    <w:abstractNumId w:val="0"/>
  </w:num>
  <w:num w:numId="10" w16cid:durableId="1712801116">
    <w:abstractNumId w:val="9"/>
  </w:num>
  <w:num w:numId="11" w16cid:durableId="5708895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0155"/>
    <w:rsid w:val="00003AA5"/>
    <w:rsid w:val="00003CC1"/>
    <w:rsid w:val="000053BE"/>
    <w:rsid w:val="00012C52"/>
    <w:rsid w:val="00012E91"/>
    <w:rsid w:val="00013788"/>
    <w:rsid w:val="00020176"/>
    <w:rsid w:val="00034616"/>
    <w:rsid w:val="00034C99"/>
    <w:rsid w:val="000367C6"/>
    <w:rsid w:val="00041EFB"/>
    <w:rsid w:val="00043A34"/>
    <w:rsid w:val="00045C2B"/>
    <w:rsid w:val="00046255"/>
    <w:rsid w:val="00050CEC"/>
    <w:rsid w:val="00053648"/>
    <w:rsid w:val="00053C71"/>
    <w:rsid w:val="0005696F"/>
    <w:rsid w:val="00060227"/>
    <w:rsid w:val="0006063C"/>
    <w:rsid w:val="00063E6E"/>
    <w:rsid w:val="00070341"/>
    <w:rsid w:val="000708C7"/>
    <w:rsid w:val="00070A6D"/>
    <w:rsid w:val="00072E19"/>
    <w:rsid w:val="00083A85"/>
    <w:rsid w:val="00085380"/>
    <w:rsid w:val="00086647"/>
    <w:rsid w:val="00087F31"/>
    <w:rsid w:val="00093774"/>
    <w:rsid w:val="000954FA"/>
    <w:rsid w:val="000A40CD"/>
    <w:rsid w:val="000A6074"/>
    <w:rsid w:val="000A7D44"/>
    <w:rsid w:val="000B0004"/>
    <w:rsid w:val="000C40FF"/>
    <w:rsid w:val="000D06C3"/>
    <w:rsid w:val="000D50D2"/>
    <w:rsid w:val="000D6BE4"/>
    <w:rsid w:val="000D721D"/>
    <w:rsid w:val="000D7AC9"/>
    <w:rsid w:val="000E498E"/>
    <w:rsid w:val="000E5070"/>
    <w:rsid w:val="000E5615"/>
    <w:rsid w:val="000F3561"/>
    <w:rsid w:val="000F555C"/>
    <w:rsid w:val="000F6AAD"/>
    <w:rsid w:val="00101805"/>
    <w:rsid w:val="00104254"/>
    <w:rsid w:val="001042FD"/>
    <w:rsid w:val="0010524C"/>
    <w:rsid w:val="00105916"/>
    <w:rsid w:val="00113DF0"/>
    <w:rsid w:val="0011424B"/>
    <w:rsid w:val="001150C5"/>
    <w:rsid w:val="00121B78"/>
    <w:rsid w:val="00123E6B"/>
    <w:rsid w:val="001304F2"/>
    <w:rsid w:val="00136E97"/>
    <w:rsid w:val="0014256F"/>
    <w:rsid w:val="001440A5"/>
    <w:rsid w:val="0015074B"/>
    <w:rsid w:val="00155481"/>
    <w:rsid w:val="00166EB2"/>
    <w:rsid w:val="0017080D"/>
    <w:rsid w:val="001726A7"/>
    <w:rsid w:val="00174217"/>
    <w:rsid w:val="00176F32"/>
    <w:rsid w:val="00177649"/>
    <w:rsid w:val="00181149"/>
    <w:rsid w:val="0019153A"/>
    <w:rsid w:val="0019388F"/>
    <w:rsid w:val="00196ADB"/>
    <w:rsid w:val="001A056D"/>
    <w:rsid w:val="001A2B05"/>
    <w:rsid w:val="001B01B3"/>
    <w:rsid w:val="001C05DD"/>
    <w:rsid w:val="001C4AC0"/>
    <w:rsid w:val="001C50D0"/>
    <w:rsid w:val="001D4BC3"/>
    <w:rsid w:val="001E12A3"/>
    <w:rsid w:val="001E691A"/>
    <w:rsid w:val="001F1681"/>
    <w:rsid w:val="001F20D8"/>
    <w:rsid w:val="001F742F"/>
    <w:rsid w:val="00200ABD"/>
    <w:rsid w:val="00200AE9"/>
    <w:rsid w:val="00205FE3"/>
    <w:rsid w:val="00216E47"/>
    <w:rsid w:val="002312A2"/>
    <w:rsid w:val="00233A0E"/>
    <w:rsid w:val="002354A7"/>
    <w:rsid w:val="00236D15"/>
    <w:rsid w:val="00240AB3"/>
    <w:rsid w:val="00241465"/>
    <w:rsid w:val="0025245A"/>
    <w:rsid w:val="00255396"/>
    <w:rsid w:val="002566F7"/>
    <w:rsid w:val="00256EB0"/>
    <w:rsid w:val="00257773"/>
    <w:rsid w:val="00260AE5"/>
    <w:rsid w:val="00263994"/>
    <w:rsid w:val="0026521D"/>
    <w:rsid w:val="0027374A"/>
    <w:rsid w:val="00275CF6"/>
    <w:rsid w:val="00276EC1"/>
    <w:rsid w:val="00277064"/>
    <w:rsid w:val="0028308F"/>
    <w:rsid w:val="00287808"/>
    <w:rsid w:val="00292333"/>
    <w:rsid w:val="0029523B"/>
    <w:rsid w:val="002955BB"/>
    <w:rsid w:val="0029639D"/>
    <w:rsid w:val="002A0941"/>
    <w:rsid w:val="002A1ABE"/>
    <w:rsid w:val="002A1F19"/>
    <w:rsid w:val="002A29B1"/>
    <w:rsid w:val="002A5830"/>
    <w:rsid w:val="002A705F"/>
    <w:rsid w:val="002B1384"/>
    <w:rsid w:val="002B1D2C"/>
    <w:rsid w:val="002B3920"/>
    <w:rsid w:val="002B40A0"/>
    <w:rsid w:val="002B5C9A"/>
    <w:rsid w:val="002B5F13"/>
    <w:rsid w:val="002C4526"/>
    <w:rsid w:val="002D1F2B"/>
    <w:rsid w:val="002E1897"/>
    <w:rsid w:val="002E4F66"/>
    <w:rsid w:val="002E6383"/>
    <w:rsid w:val="002F168C"/>
    <w:rsid w:val="002F79B8"/>
    <w:rsid w:val="003032BC"/>
    <w:rsid w:val="00315726"/>
    <w:rsid w:val="00320316"/>
    <w:rsid w:val="003252F8"/>
    <w:rsid w:val="003263E9"/>
    <w:rsid w:val="00326F90"/>
    <w:rsid w:val="00327C4C"/>
    <w:rsid w:val="00332B92"/>
    <w:rsid w:val="00332BB9"/>
    <w:rsid w:val="0033596F"/>
    <w:rsid w:val="00335C42"/>
    <w:rsid w:val="00340D28"/>
    <w:rsid w:val="003418E2"/>
    <w:rsid w:val="003455CF"/>
    <w:rsid w:val="00346E94"/>
    <w:rsid w:val="00350B7D"/>
    <w:rsid w:val="0035544E"/>
    <w:rsid w:val="00364932"/>
    <w:rsid w:val="00365017"/>
    <w:rsid w:val="00367F65"/>
    <w:rsid w:val="00372B5C"/>
    <w:rsid w:val="00375FD4"/>
    <w:rsid w:val="00380BE6"/>
    <w:rsid w:val="00390BCB"/>
    <w:rsid w:val="003A5D3F"/>
    <w:rsid w:val="003A6F42"/>
    <w:rsid w:val="003A76B5"/>
    <w:rsid w:val="003C2E7F"/>
    <w:rsid w:val="003C30DF"/>
    <w:rsid w:val="003C40D7"/>
    <w:rsid w:val="003D0AEA"/>
    <w:rsid w:val="003D4AB6"/>
    <w:rsid w:val="003E12EB"/>
    <w:rsid w:val="003E3733"/>
    <w:rsid w:val="003E7DE0"/>
    <w:rsid w:val="003E7F5F"/>
    <w:rsid w:val="003F07F0"/>
    <w:rsid w:val="003F2F36"/>
    <w:rsid w:val="003F34CF"/>
    <w:rsid w:val="003F68AC"/>
    <w:rsid w:val="00401201"/>
    <w:rsid w:val="00401637"/>
    <w:rsid w:val="004113BF"/>
    <w:rsid w:val="004115B2"/>
    <w:rsid w:val="004123BB"/>
    <w:rsid w:val="00415249"/>
    <w:rsid w:val="004233DB"/>
    <w:rsid w:val="00431974"/>
    <w:rsid w:val="00431A27"/>
    <w:rsid w:val="004403A2"/>
    <w:rsid w:val="0044508F"/>
    <w:rsid w:val="00447E25"/>
    <w:rsid w:val="004538C2"/>
    <w:rsid w:val="00454BCF"/>
    <w:rsid w:val="00454E53"/>
    <w:rsid w:val="004562E7"/>
    <w:rsid w:val="004605D2"/>
    <w:rsid w:val="0047414E"/>
    <w:rsid w:val="00477C99"/>
    <w:rsid w:val="00482F8F"/>
    <w:rsid w:val="004831AF"/>
    <w:rsid w:val="004838CF"/>
    <w:rsid w:val="00483ED3"/>
    <w:rsid w:val="004853A3"/>
    <w:rsid w:val="00491977"/>
    <w:rsid w:val="00492985"/>
    <w:rsid w:val="00493634"/>
    <w:rsid w:val="004A2791"/>
    <w:rsid w:val="004A490C"/>
    <w:rsid w:val="004A58FD"/>
    <w:rsid w:val="004A7CCD"/>
    <w:rsid w:val="004B164B"/>
    <w:rsid w:val="004B73F2"/>
    <w:rsid w:val="004C31CB"/>
    <w:rsid w:val="004C5DFF"/>
    <w:rsid w:val="004D0916"/>
    <w:rsid w:val="004D1DF0"/>
    <w:rsid w:val="004D2F70"/>
    <w:rsid w:val="004D3F17"/>
    <w:rsid w:val="004E7390"/>
    <w:rsid w:val="004E7621"/>
    <w:rsid w:val="004F5C45"/>
    <w:rsid w:val="0050112C"/>
    <w:rsid w:val="00510B4F"/>
    <w:rsid w:val="00514233"/>
    <w:rsid w:val="005163BA"/>
    <w:rsid w:val="00517BF9"/>
    <w:rsid w:val="00522442"/>
    <w:rsid w:val="005232EB"/>
    <w:rsid w:val="005234FB"/>
    <w:rsid w:val="00523AD9"/>
    <w:rsid w:val="00525CEB"/>
    <w:rsid w:val="00526A6E"/>
    <w:rsid w:val="005331D3"/>
    <w:rsid w:val="005345BE"/>
    <w:rsid w:val="005346B2"/>
    <w:rsid w:val="0054508A"/>
    <w:rsid w:val="005505BC"/>
    <w:rsid w:val="00555FE8"/>
    <w:rsid w:val="0055795A"/>
    <w:rsid w:val="0056561A"/>
    <w:rsid w:val="00565764"/>
    <w:rsid w:val="005657CE"/>
    <w:rsid w:val="00574CF2"/>
    <w:rsid w:val="00574F26"/>
    <w:rsid w:val="00582D37"/>
    <w:rsid w:val="005863DA"/>
    <w:rsid w:val="00590430"/>
    <w:rsid w:val="005916D3"/>
    <w:rsid w:val="00596D30"/>
    <w:rsid w:val="00596F7F"/>
    <w:rsid w:val="005A6F13"/>
    <w:rsid w:val="005B0D91"/>
    <w:rsid w:val="005B5C61"/>
    <w:rsid w:val="005C1DD9"/>
    <w:rsid w:val="005C3C8E"/>
    <w:rsid w:val="005C57A1"/>
    <w:rsid w:val="005C75DF"/>
    <w:rsid w:val="005D025F"/>
    <w:rsid w:val="005D7B1B"/>
    <w:rsid w:val="005E2037"/>
    <w:rsid w:val="005E34C3"/>
    <w:rsid w:val="005E43B2"/>
    <w:rsid w:val="005E5821"/>
    <w:rsid w:val="005E645B"/>
    <w:rsid w:val="005F235E"/>
    <w:rsid w:val="005F5C5E"/>
    <w:rsid w:val="00604C01"/>
    <w:rsid w:val="006112FC"/>
    <w:rsid w:val="006167EB"/>
    <w:rsid w:val="00621AE4"/>
    <w:rsid w:val="00622AA8"/>
    <w:rsid w:val="00623896"/>
    <w:rsid w:val="00627B33"/>
    <w:rsid w:val="00635240"/>
    <w:rsid w:val="00640554"/>
    <w:rsid w:val="00646755"/>
    <w:rsid w:val="00653486"/>
    <w:rsid w:val="00654E5F"/>
    <w:rsid w:val="00661CE1"/>
    <w:rsid w:val="006632CB"/>
    <w:rsid w:val="0066642A"/>
    <w:rsid w:val="006672DC"/>
    <w:rsid w:val="006806EA"/>
    <w:rsid w:val="00682518"/>
    <w:rsid w:val="006844AE"/>
    <w:rsid w:val="00684CBE"/>
    <w:rsid w:val="006852D9"/>
    <w:rsid w:val="00685BA5"/>
    <w:rsid w:val="00692F6B"/>
    <w:rsid w:val="006949DC"/>
    <w:rsid w:val="00694FC3"/>
    <w:rsid w:val="00697777"/>
    <w:rsid w:val="006A0026"/>
    <w:rsid w:val="006A0E73"/>
    <w:rsid w:val="006A55FE"/>
    <w:rsid w:val="006A5A15"/>
    <w:rsid w:val="006A70D7"/>
    <w:rsid w:val="006B2B95"/>
    <w:rsid w:val="006B4349"/>
    <w:rsid w:val="006B6FC7"/>
    <w:rsid w:val="006C29B1"/>
    <w:rsid w:val="006C4FB2"/>
    <w:rsid w:val="006C51F8"/>
    <w:rsid w:val="006D06DC"/>
    <w:rsid w:val="006D15A1"/>
    <w:rsid w:val="006D1825"/>
    <w:rsid w:val="006D226A"/>
    <w:rsid w:val="006D550C"/>
    <w:rsid w:val="006D76D8"/>
    <w:rsid w:val="006E13F7"/>
    <w:rsid w:val="006E40FB"/>
    <w:rsid w:val="006F36A5"/>
    <w:rsid w:val="007103E4"/>
    <w:rsid w:val="007107E6"/>
    <w:rsid w:val="00710DB3"/>
    <w:rsid w:val="00711108"/>
    <w:rsid w:val="00711D13"/>
    <w:rsid w:val="00717908"/>
    <w:rsid w:val="00717EA0"/>
    <w:rsid w:val="007244C4"/>
    <w:rsid w:val="00732B47"/>
    <w:rsid w:val="00744055"/>
    <w:rsid w:val="00746D28"/>
    <w:rsid w:val="007472E3"/>
    <w:rsid w:val="007477D4"/>
    <w:rsid w:val="00755FC2"/>
    <w:rsid w:val="00756173"/>
    <w:rsid w:val="007626DE"/>
    <w:rsid w:val="00767BA3"/>
    <w:rsid w:val="00772E8F"/>
    <w:rsid w:val="007733AC"/>
    <w:rsid w:val="007752C9"/>
    <w:rsid w:val="00777730"/>
    <w:rsid w:val="00777F7D"/>
    <w:rsid w:val="00794E77"/>
    <w:rsid w:val="007974B4"/>
    <w:rsid w:val="007A3AA5"/>
    <w:rsid w:val="007A418B"/>
    <w:rsid w:val="007A4E94"/>
    <w:rsid w:val="007A6491"/>
    <w:rsid w:val="007A7422"/>
    <w:rsid w:val="007B05FC"/>
    <w:rsid w:val="007B0B71"/>
    <w:rsid w:val="007B27D1"/>
    <w:rsid w:val="007B43E9"/>
    <w:rsid w:val="007B549A"/>
    <w:rsid w:val="007B6A7A"/>
    <w:rsid w:val="007C0E6B"/>
    <w:rsid w:val="007C0FB5"/>
    <w:rsid w:val="007C24C7"/>
    <w:rsid w:val="007C2B4F"/>
    <w:rsid w:val="007D5F90"/>
    <w:rsid w:val="007E2945"/>
    <w:rsid w:val="007E4982"/>
    <w:rsid w:val="007E7031"/>
    <w:rsid w:val="007F03CF"/>
    <w:rsid w:val="007F2DBF"/>
    <w:rsid w:val="007F550C"/>
    <w:rsid w:val="008018C1"/>
    <w:rsid w:val="00802AD6"/>
    <w:rsid w:val="00806C69"/>
    <w:rsid w:val="008072AB"/>
    <w:rsid w:val="008078BD"/>
    <w:rsid w:val="00807F4C"/>
    <w:rsid w:val="008220C4"/>
    <w:rsid w:val="0082375C"/>
    <w:rsid w:val="00823907"/>
    <w:rsid w:val="0082672A"/>
    <w:rsid w:val="008267C3"/>
    <w:rsid w:val="00826FDE"/>
    <w:rsid w:val="008322F6"/>
    <w:rsid w:val="0084095D"/>
    <w:rsid w:val="00843ED6"/>
    <w:rsid w:val="00845D61"/>
    <w:rsid w:val="00851567"/>
    <w:rsid w:val="0085543D"/>
    <w:rsid w:val="00855C79"/>
    <w:rsid w:val="00855F7A"/>
    <w:rsid w:val="008576B0"/>
    <w:rsid w:val="00861422"/>
    <w:rsid w:val="00862535"/>
    <w:rsid w:val="008706F2"/>
    <w:rsid w:val="00873B2C"/>
    <w:rsid w:val="0087591D"/>
    <w:rsid w:val="008821EE"/>
    <w:rsid w:val="00882C25"/>
    <w:rsid w:val="00884183"/>
    <w:rsid w:val="008844B9"/>
    <w:rsid w:val="00890075"/>
    <w:rsid w:val="008929B9"/>
    <w:rsid w:val="00895A9A"/>
    <w:rsid w:val="00897222"/>
    <w:rsid w:val="008A0A0A"/>
    <w:rsid w:val="008A344B"/>
    <w:rsid w:val="008A5CD2"/>
    <w:rsid w:val="008B1433"/>
    <w:rsid w:val="008B1B6C"/>
    <w:rsid w:val="008B2225"/>
    <w:rsid w:val="008B6278"/>
    <w:rsid w:val="008C049F"/>
    <w:rsid w:val="008C1158"/>
    <w:rsid w:val="008C195D"/>
    <w:rsid w:val="008C4D5D"/>
    <w:rsid w:val="008C7C5E"/>
    <w:rsid w:val="008D0597"/>
    <w:rsid w:val="008D4892"/>
    <w:rsid w:val="008D4ECD"/>
    <w:rsid w:val="008D7334"/>
    <w:rsid w:val="008E1454"/>
    <w:rsid w:val="008E759F"/>
    <w:rsid w:val="008E7BF5"/>
    <w:rsid w:val="008E7C8C"/>
    <w:rsid w:val="008F0357"/>
    <w:rsid w:val="009044A6"/>
    <w:rsid w:val="00904BBB"/>
    <w:rsid w:val="00906D70"/>
    <w:rsid w:val="00913E87"/>
    <w:rsid w:val="00914032"/>
    <w:rsid w:val="00915EA5"/>
    <w:rsid w:val="00931866"/>
    <w:rsid w:val="009321FD"/>
    <w:rsid w:val="00932215"/>
    <w:rsid w:val="00933F75"/>
    <w:rsid w:val="0093470B"/>
    <w:rsid w:val="00934EE9"/>
    <w:rsid w:val="009361EF"/>
    <w:rsid w:val="00942890"/>
    <w:rsid w:val="00942CAC"/>
    <w:rsid w:val="009451A3"/>
    <w:rsid w:val="009477FC"/>
    <w:rsid w:val="00950A46"/>
    <w:rsid w:val="00955784"/>
    <w:rsid w:val="00963B62"/>
    <w:rsid w:val="0096501C"/>
    <w:rsid w:val="00965E09"/>
    <w:rsid w:val="009702F2"/>
    <w:rsid w:val="009704DE"/>
    <w:rsid w:val="0097162C"/>
    <w:rsid w:val="00973CCA"/>
    <w:rsid w:val="00974980"/>
    <w:rsid w:val="00976FA1"/>
    <w:rsid w:val="00977FE6"/>
    <w:rsid w:val="00982BDD"/>
    <w:rsid w:val="00984961"/>
    <w:rsid w:val="0099236B"/>
    <w:rsid w:val="00994144"/>
    <w:rsid w:val="0099525A"/>
    <w:rsid w:val="0099787F"/>
    <w:rsid w:val="009A3837"/>
    <w:rsid w:val="009A54BD"/>
    <w:rsid w:val="009A6CA0"/>
    <w:rsid w:val="009B13F0"/>
    <w:rsid w:val="009B6533"/>
    <w:rsid w:val="009C13C4"/>
    <w:rsid w:val="009C341A"/>
    <w:rsid w:val="009C4206"/>
    <w:rsid w:val="009D2960"/>
    <w:rsid w:val="009D2B23"/>
    <w:rsid w:val="009D5C83"/>
    <w:rsid w:val="009D672A"/>
    <w:rsid w:val="009E031C"/>
    <w:rsid w:val="009E2214"/>
    <w:rsid w:val="009E35C6"/>
    <w:rsid w:val="009E49B0"/>
    <w:rsid w:val="009E5763"/>
    <w:rsid w:val="009E76EC"/>
    <w:rsid w:val="009F0224"/>
    <w:rsid w:val="00A04E67"/>
    <w:rsid w:val="00A06737"/>
    <w:rsid w:val="00A10A87"/>
    <w:rsid w:val="00A10DAA"/>
    <w:rsid w:val="00A157CE"/>
    <w:rsid w:val="00A262FA"/>
    <w:rsid w:val="00A27E16"/>
    <w:rsid w:val="00A34D1E"/>
    <w:rsid w:val="00A35AD8"/>
    <w:rsid w:val="00A36393"/>
    <w:rsid w:val="00A43796"/>
    <w:rsid w:val="00A537C6"/>
    <w:rsid w:val="00A54BB1"/>
    <w:rsid w:val="00A650B2"/>
    <w:rsid w:val="00A67732"/>
    <w:rsid w:val="00A7249A"/>
    <w:rsid w:val="00A73016"/>
    <w:rsid w:val="00A82F1A"/>
    <w:rsid w:val="00A861EC"/>
    <w:rsid w:val="00A95030"/>
    <w:rsid w:val="00A96B0A"/>
    <w:rsid w:val="00AA1D8D"/>
    <w:rsid w:val="00AA42B5"/>
    <w:rsid w:val="00AA56DD"/>
    <w:rsid w:val="00AB05BE"/>
    <w:rsid w:val="00AB1889"/>
    <w:rsid w:val="00AB6190"/>
    <w:rsid w:val="00AB77C1"/>
    <w:rsid w:val="00AB78CA"/>
    <w:rsid w:val="00AC7AD8"/>
    <w:rsid w:val="00AE7326"/>
    <w:rsid w:val="00AF0060"/>
    <w:rsid w:val="00AF0713"/>
    <w:rsid w:val="00AF4CBF"/>
    <w:rsid w:val="00AF53DD"/>
    <w:rsid w:val="00B01ADA"/>
    <w:rsid w:val="00B03F21"/>
    <w:rsid w:val="00B055ED"/>
    <w:rsid w:val="00B11C76"/>
    <w:rsid w:val="00B15EAC"/>
    <w:rsid w:val="00B30935"/>
    <w:rsid w:val="00B36383"/>
    <w:rsid w:val="00B42293"/>
    <w:rsid w:val="00B47730"/>
    <w:rsid w:val="00B5315D"/>
    <w:rsid w:val="00B534E7"/>
    <w:rsid w:val="00B5729F"/>
    <w:rsid w:val="00B64CA2"/>
    <w:rsid w:val="00B805F1"/>
    <w:rsid w:val="00B85195"/>
    <w:rsid w:val="00B92E4D"/>
    <w:rsid w:val="00B93C92"/>
    <w:rsid w:val="00B95EA2"/>
    <w:rsid w:val="00B96131"/>
    <w:rsid w:val="00BB1EDA"/>
    <w:rsid w:val="00BB6B8F"/>
    <w:rsid w:val="00BC3BE7"/>
    <w:rsid w:val="00BD0C67"/>
    <w:rsid w:val="00BD5259"/>
    <w:rsid w:val="00BE0DBD"/>
    <w:rsid w:val="00BE18C6"/>
    <w:rsid w:val="00BF444A"/>
    <w:rsid w:val="00BF7F2C"/>
    <w:rsid w:val="00C1471C"/>
    <w:rsid w:val="00C20D6D"/>
    <w:rsid w:val="00C2476A"/>
    <w:rsid w:val="00C342AA"/>
    <w:rsid w:val="00C36E12"/>
    <w:rsid w:val="00C44A4D"/>
    <w:rsid w:val="00C45D91"/>
    <w:rsid w:val="00C52A83"/>
    <w:rsid w:val="00C54260"/>
    <w:rsid w:val="00C65F49"/>
    <w:rsid w:val="00C70E96"/>
    <w:rsid w:val="00C7458D"/>
    <w:rsid w:val="00C80F0B"/>
    <w:rsid w:val="00C85A5D"/>
    <w:rsid w:val="00C9490D"/>
    <w:rsid w:val="00C95E1B"/>
    <w:rsid w:val="00CA1597"/>
    <w:rsid w:val="00CA3805"/>
    <w:rsid w:val="00CA413C"/>
    <w:rsid w:val="00CA7386"/>
    <w:rsid w:val="00CB0664"/>
    <w:rsid w:val="00CB0F20"/>
    <w:rsid w:val="00CB3474"/>
    <w:rsid w:val="00CB5B0C"/>
    <w:rsid w:val="00CB717D"/>
    <w:rsid w:val="00CC0DDB"/>
    <w:rsid w:val="00CC7B5B"/>
    <w:rsid w:val="00CD2F2E"/>
    <w:rsid w:val="00CD461D"/>
    <w:rsid w:val="00CE19B1"/>
    <w:rsid w:val="00CE5D67"/>
    <w:rsid w:val="00CF1DAD"/>
    <w:rsid w:val="00D01EEA"/>
    <w:rsid w:val="00D1120E"/>
    <w:rsid w:val="00D119B5"/>
    <w:rsid w:val="00D12E22"/>
    <w:rsid w:val="00D14E43"/>
    <w:rsid w:val="00D1529B"/>
    <w:rsid w:val="00D16702"/>
    <w:rsid w:val="00D207EA"/>
    <w:rsid w:val="00D22AB1"/>
    <w:rsid w:val="00D236CC"/>
    <w:rsid w:val="00D2378C"/>
    <w:rsid w:val="00D258A1"/>
    <w:rsid w:val="00D308AF"/>
    <w:rsid w:val="00D34B02"/>
    <w:rsid w:val="00D42699"/>
    <w:rsid w:val="00D43E86"/>
    <w:rsid w:val="00D52C4A"/>
    <w:rsid w:val="00D556BD"/>
    <w:rsid w:val="00D56AF7"/>
    <w:rsid w:val="00D57877"/>
    <w:rsid w:val="00D6190E"/>
    <w:rsid w:val="00D6668E"/>
    <w:rsid w:val="00D670F3"/>
    <w:rsid w:val="00D703A4"/>
    <w:rsid w:val="00D86468"/>
    <w:rsid w:val="00D95218"/>
    <w:rsid w:val="00DA1D73"/>
    <w:rsid w:val="00DA688D"/>
    <w:rsid w:val="00DB14B1"/>
    <w:rsid w:val="00DB5631"/>
    <w:rsid w:val="00DB6C8B"/>
    <w:rsid w:val="00DB6E89"/>
    <w:rsid w:val="00DD6136"/>
    <w:rsid w:val="00DD6AA6"/>
    <w:rsid w:val="00DD75E2"/>
    <w:rsid w:val="00DE3152"/>
    <w:rsid w:val="00DE70C3"/>
    <w:rsid w:val="00DF4756"/>
    <w:rsid w:val="00DF5454"/>
    <w:rsid w:val="00E02C8A"/>
    <w:rsid w:val="00E0424C"/>
    <w:rsid w:val="00E06235"/>
    <w:rsid w:val="00E147AC"/>
    <w:rsid w:val="00E14FCC"/>
    <w:rsid w:val="00E178F5"/>
    <w:rsid w:val="00E21055"/>
    <w:rsid w:val="00E240EF"/>
    <w:rsid w:val="00E26F58"/>
    <w:rsid w:val="00E310E0"/>
    <w:rsid w:val="00E31971"/>
    <w:rsid w:val="00E32082"/>
    <w:rsid w:val="00E460A7"/>
    <w:rsid w:val="00E47EBC"/>
    <w:rsid w:val="00E5209A"/>
    <w:rsid w:val="00E603D9"/>
    <w:rsid w:val="00E671F7"/>
    <w:rsid w:val="00E6778E"/>
    <w:rsid w:val="00E75A66"/>
    <w:rsid w:val="00E76301"/>
    <w:rsid w:val="00E7693F"/>
    <w:rsid w:val="00E77D08"/>
    <w:rsid w:val="00E83EB6"/>
    <w:rsid w:val="00E87DDA"/>
    <w:rsid w:val="00E9258D"/>
    <w:rsid w:val="00E95C8D"/>
    <w:rsid w:val="00E97503"/>
    <w:rsid w:val="00EA1663"/>
    <w:rsid w:val="00EA2D8D"/>
    <w:rsid w:val="00EA5E08"/>
    <w:rsid w:val="00EB692F"/>
    <w:rsid w:val="00EB6BB5"/>
    <w:rsid w:val="00EC5DD2"/>
    <w:rsid w:val="00ED7245"/>
    <w:rsid w:val="00ED7E10"/>
    <w:rsid w:val="00EE134F"/>
    <w:rsid w:val="00EE1E76"/>
    <w:rsid w:val="00EE44D5"/>
    <w:rsid w:val="00EE7FC7"/>
    <w:rsid w:val="00EF2CD0"/>
    <w:rsid w:val="00EF7825"/>
    <w:rsid w:val="00F00588"/>
    <w:rsid w:val="00F00890"/>
    <w:rsid w:val="00F01414"/>
    <w:rsid w:val="00F02DA0"/>
    <w:rsid w:val="00F04B92"/>
    <w:rsid w:val="00F2108F"/>
    <w:rsid w:val="00F215F5"/>
    <w:rsid w:val="00F21A65"/>
    <w:rsid w:val="00F3079D"/>
    <w:rsid w:val="00F37A73"/>
    <w:rsid w:val="00F538D0"/>
    <w:rsid w:val="00F5670F"/>
    <w:rsid w:val="00F567C3"/>
    <w:rsid w:val="00F61540"/>
    <w:rsid w:val="00F61C84"/>
    <w:rsid w:val="00F62D71"/>
    <w:rsid w:val="00F6345E"/>
    <w:rsid w:val="00F64DD2"/>
    <w:rsid w:val="00F65DE8"/>
    <w:rsid w:val="00F7026C"/>
    <w:rsid w:val="00F72B72"/>
    <w:rsid w:val="00F81C67"/>
    <w:rsid w:val="00F82A22"/>
    <w:rsid w:val="00F871A6"/>
    <w:rsid w:val="00F914E6"/>
    <w:rsid w:val="00F9248E"/>
    <w:rsid w:val="00FA0C8D"/>
    <w:rsid w:val="00FA1074"/>
    <w:rsid w:val="00FA2244"/>
    <w:rsid w:val="00FB0DDF"/>
    <w:rsid w:val="00FB59DD"/>
    <w:rsid w:val="00FC1B3E"/>
    <w:rsid w:val="00FC212D"/>
    <w:rsid w:val="00FC26F5"/>
    <w:rsid w:val="00FC3A86"/>
    <w:rsid w:val="00FC693F"/>
    <w:rsid w:val="00FC7821"/>
    <w:rsid w:val="00FC7CEF"/>
    <w:rsid w:val="00FE3CA4"/>
    <w:rsid w:val="00FE3D27"/>
    <w:rsid w:val="00FE5628"/>
    <w:rsid w:val="00FF0EB0"/>
    <w:rsid w:val="00FF18D4"/>
    <w:rsid w:val="00FF2CDB"/>
    <w:rsid w:val="00FF34E9"/>
    <w:rsid w:val="00FF68B6"/>
    <w:rsid w:val="1C7FE3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2B40DC"/>
  <w14:defaultImageDpi w14:val="300"/>
  <w15:docId w15:val="{0F20FF48-DD8B-4E91-B551-909295A6A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B805F1"/>
    <w:rPr>
      <w:rFonts w:ascii="Times New Roman" w:hAnsi="Times New Roman" w:cs="Times New Roman"/>
      <w:sz w:val="24"/>
      <w:szCs w:val="24"/>
    </w:rPr>
  </w:style>
  <w:style w:type="character" w:styleId="Hyperlink">
    <w:name w:val="Hyperlink"/>
    <w:basedOn w:val="DefaultParagraphFont"/>
    <w:uiPriority w:val="99"/>
    <w:unhideWhenUsed/>
    <w:rsid w:val="00B805F1"/>
    <w:rPr>
      <w:color w:val="0000FF" w:themeColor="hyperlink"/>
      <w:u w:val="single"/>
    </w:rPr>
  </w:style>
  <w:style w:type="character" w:customStyle="1" w:styleId="UnresolvedMention1">
    <w:name w:val="Unresolved Mention1"/>
    <w:basedOn w:val="DefaultParagraphFont"/>
    <w:uiPriority w:val="99"/>
    <w:semiHidden/>
    <w:unhideWhenUsed/>
    <w:rsid w:val="00B805F1"/>
    <w:rPr>
      <w:color w:val="605E5C"/>
      <w:shd w:val="clear" w:color="auto" w:fill="E1DFDD"/>
    </w:rPr>
  </w:style>
  <w:style w:type="paragraph" w:styleId="TOC1">
    <w:name w:val="toc 1"/>
    <w:basedOn w:val="Normal"/>
    <w:next w:val="Normal"/>
    <w:autoRedefine/>
    <w:uiPriority w:val="39"/>
    <w:unhideWhenUsed/>
    <w:rsid w:val="00777F7D"/>
    <w:pPr>
      <w:spacing w:after="100"/>
    </w:pPr>
  </w:style>
  <w:style w:type="character" w:styleId="UnresolvedMention">
    <w:name w:val="Unresolved Mention"/>
    <w:basedOn w:val="DefaultParagraphFont"/>
    <w:uiPriority w:val="99"/>
    <w:semiHidden/>
    <w:unhideWhenUsed/>
    <w:rsid w:val="00861422"/>
    <w:rPr>
      <w:color w:val="605E5C"/>
      <w:shd w:val="clear" w:color="auto" w:fill="E1DFDD"/>
    </w:rPr>
  </w:style>
  <w:style w:type="paragraph" w:styleId="TOC2">
    <w:name w:val="toc 2"/>
    <w:basedOn w:val="Normal"/>
    <w:next w:val="Normal"/>
    <w:autoRedefine/>
    <w:uiPriority w:val="39"/>
    <w:unhideWhenUsed/>
    <w:rsid w:val="0099236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open-2017-019827" TargetMode="External"/><Relationship Id="rId18" Type="http://schemas.openxmlformats.org/officeDocument/2006/relationships/hyperlink" Target="https://www.england.nhs.uk/wp-content/uploads/2022/02/stroke-integrated-community-service-february-2022.pdf" TargetMode="External"/><Relationship Id="rId26" Type="http://schemas.openxmlformats.org/officeDocument/2006/relationships/hyperlink" Target="https://doi.org/10.1186/s12883-024-03565-8" TargetMode="External"/><Relationship Id="rId3" Type="http://schemas.openxmlformats.org/officeDocument/2006/relationships/styles" Target="styles.xml"/><Relationship Id="rId21" Type="http://schemas.openxmlformats.org/officeDocument/2006/relationships/hyperlink" Target="https://www.ons.gov.uk/peoplepopulationandcommunity/birthsdeathsandmarriages/deaths/bulletins/deathsregistrationsummarytables/202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38/s41591-022-01990-1" TargetMode="External"/><Relationship Id="rId25" Type="http://schemas.openxmlformats.org/officeDocument/2006/relationships/hyperlink" Target="https://www.stroke.org.uk/stroke/statistic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S0140-6736(24)00757-8" TargetMode="External"/><Relationship Id="rId20" Type="http://schemas.openxmlformats.org/officeDocument/2006/relationships/hyperlink" Target="https://www.nice.org.uk/guidance/ng236" TargetMode="External"/><Relationship Id="rId29" Type="http://schemas.openxmlformats.org/officeDocument/2006/relationships/hyperlink" Target="https://www.world-stroke.org/assets/downloads/WSO_Prevention_policy_FINAL_signoff_Jan_2025.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rokeaudit.or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pmr.2023.06.030" TargetMode="External"/><Relationship Id="rId23" Type="http://schemas.openxmlformats.org/officeDocument/2006/relationships/hyperlink" Target="https://ourworldindata.org/cardiovascular-diseases" TargetMode="External"/><Relationship Id="rId28" Type="http://schemas.openxmlformats.org/officeDocument/2006/relationships/hyperlink" Target="https://www.who.int/data/global-health-estimates" TargetMode="External"/><Relationship Id="rId10" Type="http://schemas.openxmlformats.org/officeDocument/2006/relationships/image" Target="media/image3.jpeg"/><Relationship Id="rId19" Type="http://schemas.openxmlformats.org/officeDocument/2006/relationships/hyperlink" Target="https://www.nhs.uk/conditions/strok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61/str.0000000000000475" TargetMode="External"/><Relationship Id="rId22" Type="http://schemas.openxmlformats.org/officeDocument/2006/relationships/hyperlink" Target="https://www.ons.gov.uk/peoplepopulationandcommunity/populationandmigration/populationestimates/datasets/populationestimatesforukenglandandwalesscotlandandnorthernireland" TargetMode="External"/><Relationship Id="rId27" Type="http://schemas.openxmlformats.org/officeDocument/2006/relationships/hyperlink" Target="https://www.who.int/news-room/fact-sheets/detail/stroke" TargetMode="External"/><Relationship Id="rId30" Type="http://schemas.openxmlformats.org/officeDocument/2006/relationships/hyperlink" Target="https://doi:10.3390/genes15061234"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32D60-DC51-48DF-88CE-DE28C401D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Pages>
  <Words>2811</Words>
  <Characters>18384</Characters>
  <Application>Microsoft Office Word</Application>
  <DocSecurity>0</DocSecurity>
  <Lines>360</Lines>
  <Paragraphs>119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21076</CharactersWithSpaces>
  <SharedDoc>false</SharedDoc>
  <HyperlinkBase/>
  <HLinks>
    <vt:vector size="126" baseType="variant">
      <vt:variant>
        <vt:i4>5832788</vt:i4>
      </vt:variant>
      <vt:variant>
        <vt:i4>84</vt:i4>
      </vt:variant>
      <vt:variant>
        <vt:i4>0</vt:i4>
      </vt:variant>
      <vt:variant>
        <vt:i4>5</vt:i4>
      </vt:variant>
      <vt:variant>
        <vt:lpwstr>https://www.world-stroke.org/assets/downloads/WSO_Prevention_policy_FINAL_signoff_Jan_2025.pdf</vt:lpwstr>
      </vt:variant>
      <vt:variant>
        <vt:lpwstr/>
      </vt:variant>
      <vt:variant>
        <vt:i4>5177413</vt:i4>
      </vt:variant>
      <vt:variant>
        <vt:i4>81</vt:i4>
      </vt:variant>
      <vt:variant>
        <vt:i4>0</vt:i4>
      </vt:variant>
      <vt:variant>
        <vt:i4>5</vt:i4>
      </vt:variant>
      <vt:variant>
        <vt:lpwstr>https://www.who.int/</vt:lpwstr>
      </vt:variant>
      <vt:variant>
        <vt:lpwstr/>
      </vt:variant>
      <vt:variant>
        <vt:i4>2949182</vt:i4>
      </vt:variant>
      <vt:variant>
        <vt:i4>78</vt:i4>
      </vt:variant>
      <vt:variant>
        <vt:i4>0</vt:i4>
      </vt:variant>
      <vt:variant>
        <vt:i4>5</vt:i4>
      </vt:variant>
      <vt:variant>
        <vt:lpwstr>https://doi.org/10.1186/s12883-024-03565-8</vt:lpwstr>
      </vt:variant>
      <vt:variant>
        <vt:lpwstr/>
      </vt:variant>
      <vt:variant>
        <vt:i4>6553651</vt:i4>
      </vt:variant>
      <vt:variant>
        <vt:i4>75</vt:i4>
      </vt:variant>
      <vt:variant>
        <vt:i4>0</vt:i4>
      </vt:variant>
      <vt:variant>
        <vt:i4>5</vt:i4>
      </vt:variant>
      <vt:variant>
        <vt:lpwstr>https://www.stroke.org.uk/</vt:lpwstr>
      </vt:variant>
      <vt:variant>
        <vt:lpwstr/>
      </vt:variant>
      <vt:variant>
        <vt:i4>5767255</vt:i4>
      </vt:variant>
      <vt:variant>
        <vt:i4>72</vt:i4>
      </vt:variant>
      <vt:variant>
        <vt:i4>0</vt:i4>
      </vt:variant>
      <vt:variant>
        <vt:i4>5</vt:i4>
      </vt:variant>
      <vt:variant>
        <vt:lpwstr>https://www.gov.uk/government/organisations/public-health-england</vt:lpwstr>
      </vt:variant>
      <vt:variant>
        <vt:lpwstr/>
      </vt:variant>
      <vt:variant>
        <vt:i4>2228280</vt:i4>
      </vt:variant>
      <vt:variant>
        <vt:i4>69</vt:i4>
      </vt:variant>
      <vt:variant>
        <vt:i4>0</vt:i4>
      </vt:variant>
      <vt:variant>
        <vt:i4>5</vt:i4>
      </vt:variant>
      <vt:variant>
        <vt:lpwstr>https://www.ons.gov.uk/</vt:lpwstr>
      </vt:variant>
      <vt:variant>
        <vt:lpwstr/>
      </vt:variant>
      <vt:variant>
        <vt:i4>2228280</vt:i4>
      </vt:variant>
      <vt:variant>
        <vt:i4>66</vt:i4>
      </vt:variant>
      <vt:variant>
        <vt:i4>0</vt:i4>
      </vt:variant>
      <vt:variant>
        <vt:i4>5</vt:i4>
      </vt:variant>
      <vt:variant>
        <vt:lpwstr>https://www.ons.gov.uk/</vt:lpwstr>
      </vt:variant>
      <vt:variant>
        <vt:lpwstr/>
      </vt:variant>
      <vt:variant>
        <vt:i4>2818097</vt:i4>
      </vt:variant>
      <vt:variant>
        <vt:i4>63</vt:i4>
      </vt:variant>
      <vt:variant>
        <vt:i4>0</vt:i4>
      </vt:variant>
      <vt:variant>
        <vt:i4>5</vt:i4>
      </vt:variant>
      <vt:variant>
        <vt:lpwstr>https://ourworldindata.org/cardiovascular-diseases</vt:lpwstr>
      </vt:variant>
      <vt:variant>
        <vt:lpwstr/>
      </vt:variant>
      <vt:variant>
        <vt:i4>6684707</vt:i4>
      </vt:variant>
      <vt:variant>
        <vt:i4>60</vt:i4>
      </vt:variant>
      <vt:variant>
        <vt:i4>0</vt:i4>
      </vt:variant>
      <vt:variant>
        <vt:i4>5</vt:i4>
      </vt:variant>
      <vt:variant>
        <vt:lpwstr>https://www.nice.org.uk/guidance/ng236</vt:lpwstr>
      </vt:variant>
      <vt:variant>
        <vt:lpwstr/>
      </vt:variant>
      <vt:variant>
        <vt:i4>5701646</vt:i4>
      </vt:variant>
      <vt:variant>
        <vt:i4>57</vt:i4>
      </vt:variant>
      <vt:variant>
        <vt:i4>0</vt:i4>
      </vt:variant>
      <vt:variant>
        <vt:i4>5</vt:i4>
      </vt:variant>
      <vt:variant>
        <vt:lpwstr>https://www.nhs.uk/conditions/stroke/</vt:lpwstr>
      </vt:variant>
      <vt:variant>
        <vt:lpwstr/>
      </vt:variant>
      <vt:variant>
        <vt:i4>7209070</vt:i4>
      </vt:variant>
      <vt:variant>
        <vt:i4>54</vt:i4>
      </vt:variant>
      <vt:variant>
        <vt:i4>0</vt:i4>
      </vt:variant>
      <vt:variant>
        <vt:i4>5</vt:i4>
      </vt:variant>
      <vt:variant>
        <vt:lpwstr>https://www.england.nhs.uk/wp-content/uploads/2022/02/stroke-integrated-community-service-february-2022.pdf</vt:lpwstr>
      </vt:variant>
      <vt:variant>
        <vt:lpwstr/>
      </vt:variant>
      <vt:variant>
        <vt:i4>3866671</vt:i4>
      </vt:variant>
      <vt:variant>
        <vt:i4>51</vt:i4>
      </vt:variant>
      <vt:variant>
        <vt:i4>0</vt:i4>
      </vt:variant>
      <vt:variant>
        <vt:i4>5</vt:i4>
      </vt:variant>
      <vt:variant>
        <vt:lpwstr>https://mainehealth.org/services/neurovascular-care/stroke</vt:lpwstr>
      </vt:variant>
      <vt:variant>
        <vt:lpwstr/>
      </vt:variant>
      <vt:variant>
        <vt:i4>5308444</vt:i4>
      </vt:variant>
      <vt:variant>
        <vt:i4>48</vt:i4>
      </vt:variant>
      <vt:variant>
        <vt:i4>0</vt:i4>
      </vt:variant>
      <vt:variant>
        <vt:i4>5</vt:i4>
      </vt:variant>
      <vt:variant>
        <vt:lpwstr>https://doi.org/10.1016/j.pmr.2023.06.030</vt:lpwstr>
      </vt:variant>
      <vt:variant>
        <vt:lpwstr/>
      </vt:variant>
      <vt:variant>
        <vt:i4>6684780</vt:i4>
      </vt:variant>
      <vt:variant>
        <vt:i4>45</vt:i4>
      </vt:variant>
      <vt:variant>
        <vt:i4>0</vt:i4>
      </vt:variant>
      <vt:variant>
        <vt:i4>5</vt:i4>
      </vt:variant>
      <vt:variant>
        <vt:lpwstr>https://doi.org/10.1136/bmjopen-2017-019827</vt:lpwstr>
      </vt:variant>
      <vt:variant>
        <vt:lpwstr/>
      </vt:variant>
      <vt:variant>
        <vt:i4>1048638</vt:i4>
      </vt:variant>
      <vt:variant>
        <vt:i4>38</vt:i4>
      </vt:variant>
      <vt:variant>
        <vt:i4>0</vt:i4>
      </vt:variant>
      <vt:variant>
        <vt:i4>5</vt:i4>
      </vt:variant>
      <vt:variant>
        <vt:lpwstr/>
      </vt:variant>
      <vt:variant>
        <vt:lpwstr>_Toc227439881</vt:lpwstr>
      </vt:variant>
      <vt:variant>
        <vt:i4>1048638</vt:i4>
      </vt:variant>
      <vt:variant>
        <vt:i4>32</vt:i4>
      </vt:variant>
      <vt:variant>
        <vt:i4>0</vt:i4>
      </vt:variant>
      <vt:variant>
        <vt:i4>5</vt:i4>
      </vt:variant>
      <vt:variant>
        <vt:lpwstr/>
      </vt:variant>
      <vt:variant>
        <vt:lpwstr>_Toc227439880</vt:lpwstr>
      </vt:variant>
      <vt:variant>
        <vt:i4>2031678</vt:i4>
      </vt:variant>
      <vt:variant>
        <vt:i4>26</vt:i4>
      </vt:variant>
      <vt:variant>
        <vt:i4>0</vt:i4>
      </vt:variant>
      <vt:variant>
        <vt:i4>5</vt:i4>
      </vt:variant>
      <vt:variant>
        <vt:lpwstr/>
      </vt:variant>
      <vt:variant>
        <vt:lpwstr>_Toc227439879</vt:lpwstr>
      </vt:variant>
      <vt:variant>
        <vt:i4>2031678</vt:i4>
      </vt:variant>
      <vt:variant>
        <vt:i4>20</vt:i4>
      </vt:variant>
      <vt:variant>
        <vt:i4>0</vt:i4>
      </vt:variant>
      <vt:variant>
        <vt:i4>5</vt:i4>
      </vt:variant>
      <vt:variant>
        <vt:lpwstr/>
      </vt:variant>
      <vt:variant>
        <vt:lpwstr>_Toc227439878</vt:lpwstr>
      </vt:variant>
      <vt:variant>
        <vt:i4>2031678</vt:i4>
      </vt:variant>
      <vt:variant>
        <vt:i4>14</vt:i4>
      </vt:variant>
      <vt:variant>
        <vt:i4>0</vt:i4>
      </vt:variant>
      <vt:variant>
        <vt:i4>5</vt:i4>
      </vt:variant>
      <vt:variant>
        <vt:lpwstr/>
      </vt:variant>
      <vt:variant>
        <vt:lpwstr>_Toc227439877</vt:lpwstr>
      </vt:variant>
      <vt:variant>
        <vt:i4>2031678</vt:i4>
      </vt:variant>
      <vt:variant>
        <vt:i4>8</vt:i4>
      </vt:variant>
      <vt:variant>
        <vt:i4>0</vt:i4>
      </vt:variant>
      <vt:variant>
        <vt:i4>5</vt:i4>
      </vt:variant>
      <vt:variant>
        <vt:lpwstr/>
      </vt:variant>
      <vt:variant>
        <vt:lpwstr>_Toc227439876</vt:lpwstr>
      </vt:variant>
      <vt:variant>
        <vt:i4>2031678</vt:i4>
      </vt:variant>
      <vt:variant>
        <vt:i4>2</vt:i4>
      </vt:variant>
      <vt:variant>
        <vt:i4>0</vt:i4>
      </vt:variant>
      <vt:variant>
        <vt:i4>5</vt:i4>
      </vt:variant>
      <vt:variant>
        <vt:lpwstr/>
      </vt:variant>
      <vt:variant>
        <vt:lpwstr>_Toc227439875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gillian gibbs</cp:lastModifiedBy>
  <cp:revision>189</cp:revision>
  <dcterms:created xsi:type="dcterms:W3CDTF">2026-04-20T18:54:00Z</dcterms:created>
  <dcterms:modified xsi:type="dcterms:W3CDTF">2026-04-21T08:56:00Z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dd43342b-9f74-4d02-bc58-2eb3441d2c8a</vt:lpwstr>
  </property>
</Properties>
</file>