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6CBF" w:rsidRPr="00E23D5D" w:rsidRDefault="00B10482" w:rsidP="00B10482">
      <w:pPr>
        <w:jc w:val="center"/>
        <w:rPr>
          <w:rFonts w:cstheme="minorHAnsi"/>
          <w:u w:val="single"/>
        </w:rPr>
      </w:pPr>
      <w:r w:rsidRPr="00E23D5D">
        <w:rPr>
          <w:rFonts w:cstheme="minorHAnsi"/>
          <w:u w:val="single"/>
        </w:rPr>
        <w:t>Object Analysis: El-</w:t>
      </w:r>
      <w:proofErr w:type="spellStart"/>
      <w:r w:rsidRPr="00E23D5D">
        <w:rPr>
          <w:rFonts w:cstheme="minorHAnsi"/>
          <w:u w:val="single"/>
        </w:rPr>
        <w:t>Moghraqa</w:t>
      </w:r>
      <w:proofErr w:type="spellEnd"/>
      <w:r w:rsidRPr="00E23D5D">
        <w:rPr>
          <w:rFonts w:cstheme="minorHAnsi"/>
          <w:u w:val="single"/>
        </w:rPr>
        <w:t xml:space="preserve"> Funerary Cone</w:t>
      </w:r>
    </w:p>
    <w:p w:rsidR="00B10482" w:rsidRPr="00E23D5D" w:rsidRDefault="00B10482">
      <w:pPr>
        <w:rPr>
          <w:rFonts w:cstheme="minorHAnsi"/>
          <w:noProof/>
          <w:lang w:eastAsia="en-GB"/>
        </w:rPr>
      </w:pPr>
    </w:p>
    <w:p w:rsidR="00B10482" w:rsidRPr="00E23D5D" w:rsidRDefault="00B10482">
      <w:pPr>
        <w:rPr>
          <w:rFonts w:cstheme="minorHAnsi"/>
          <w:u w:val="single"/>
        </w:rPr>
      </w:pPr>
      <w:r w:rsidRPr="00E23D5D">
        <w:rPr>
          <w:rFonts w:cstheme="minorHAnsi"/>
          <w:noProof/>
          <w:lang w:eastAsia="en-GB"/>
        </w:rPr>
        <w:drawing>
          <wp:inline distT="0" distB="0" distL="0" distR="0" wp14:anchorId="5E528CCA" wp14:editId="1A7387D8">
            <wp:extent cx="1579965" cy="4937125"/>
            <wp:effectExtent l="0" t="2223" r="0" b="0"/>
            <wp:docPr id="1" name="Picture 1" descr="https://html1-f.scribdassets.com/6arvk442kg2p9bnc/images/5-1060c09a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html1-f.scribdassets.com/6arvk442kg2p9bnc/images/5-1060c09a92.jpg"/>
                    <pic:cNvPicPr>
                      <a:picLocks noChangeAspect="1" noChangeArrowheads="1"/>
                    </pic:cNvPicPr>
                  </pic:nvPicPr>
                  <pic:blipFill rotWithShape="1">
                    <a:blip r:embed="rId7">
                      <a:extLst>
                        <a:ext uri="{28A0092B-C50C-407E-A947-70E740481C1C}">
                          <a14:useLocalDpi xmlns:a14="http://schemas.microsoft.com/office/drawing/2010/main" val="0"/>
                        </a:ext>
                      </a:extLst>
                    </a:blip>
                    <a:srcRect r="28039"/>
                    <a:stretch/>
                  </pic:blipFill>
                  <pic:spPr bwMode="auto">
                    <a:xfrm rot="16200000">
                      <a:off x="0" y="0"/>
                      <a:ext cx="1585597" cy="4954724"/>
                    </a:xfrm>
                    <a:prstGeom prst="rect">
                      <a:avLst/>
                    </a:prstGeom>
                    <a:noFill/>
                    <a:ln>
                      <a:noFill/>
                    </a:ln>
                    <a:extLst>
                      <a:ext uri="{53640926-AAD7-44D8-BBD7-CCE9431645EC}">
                        <a14:shadowObscured xmlns:a14="http://schemas.microsoft.com/office/drawing/2010/main"/>
                      </a:ext>
                    </a:extLst>
                  </pic:spPr>
                </pic:pic>
              </a:graphicData>
            </a:graphic>
          </wp:inline>
        </w:drawing>
      </w:r>
    </w:p>
    <w:p w:rsidR="00B10482" w:rsidRDefault="00B10482">
      <w:pPr>
        <w:rPr>
          <w:rFonts w:cstheme="minorHAnsi"/>
        </w:rPr>
      </w:pPr>
      <w:r w:rsidRPr="00E23D5D">
        <w:rPr>
          <w:rFonts w:cstheme="minorHAnsi"/>
        </w:rPr>
        <w:t>Fig 1: Cone Fragments from el-</w:t>
      </w:r>
      <w:proofErr w:type="spellStart"/>
      <w:r w:rsidRPr="00E23D5D">
        <w:rPr>
          <w:rFonts w:cstheme="minorHAnsi"/>
        </w:rPr>
        <w:t>Moghraqa</w:t>
      </w:r>
      <w:proofErr w:type="spellEnd"/>
      <w:r w:rsidRPr="00E23D5D">
        <w:rPr>
          <w:rFonts w:cstheme="minorHAnsi"/>
        </w:rPr>
        <w:t xml:space="preserve"> stamped with the </w:t>
      </w:r>
      <w:proofErr w:type="spellStart"/>
      <w:r w:rsidRPr="00E23D5D">
        <w:rPr>
          <w:rFonts w:cstheme="minorHAnsi"/>
        </w:rPr>
        <w:t>prenomen</w:t>
      </w:r>
      <w:proofErr w:type="spellEnd"/>
      <w:r w:rsidRPr="00E23D5D">
        <w:rPr>
          <w:rFonts w:cstheme="minorHAnsi"/>
        </w:rPr>
        <w:t xml:space="preserve"> Thutmose III</w:t>
      </w:r>
      <w:r w:rsidR="00E23D5D">
        <w:rPr>
          <w:rFonts w:cstheme="minorHAnsi"/>
        </w:rPr>
        <w:t xml:space="preserve"> and Hatshepsut</w:t>
      </w:r>
      <w:r w:rsidRPr="00E23D5D">
        <w:rPr>
          <w:rFonts w:cstheme="minorHAnsi"/>
        </w:rPr>
        <w:t>, photographed by Joanne Clarke.</w:t>
      </w:r>
    </w:p>
    <w:p w:rsidR="00E23D5D" w:rsidRDefault="00E23D5D">
      <w:pPr>
        <w:rPr>
          <w:rFonts w:cstheme="minorHAnsi"/>
        </w:rPr>
      </w:pPr>
    </w:p>
    <w:p w:rsidR="00E23D5D" w:rsidRPr="00E23D5D" w:rsidRDefault="00E23D5D">
      <w:pPr>
        <w:rPr>
          <w:rFonts w:cstheme="minorHAnsi"/>
        </w:rPr>
      </w:pPr>
      <w:r>
        <w:rPr>
          <w:noProof/>
          <w:lang w:eastAsia="en-GB"/>
        </w:rPr>
        <w:drawing>
          <wp:inline distT="0" distB="0" distL="0" distR="0">
            <wp:extent cx="1499616" cy="1499616"/>
            <wp:effectExtent l="0" t="0" r="5715" b="5715"/>
            <wp:docPr id="2" name="Picture 2" descr="http://www.ucl.ac.uk/museums-static/digitalegypt/thebes/archive/uc3757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cl.ac.uk/museums-static/digitalegypt/thebes/archive/uc37574.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11768" cy="1511768"/>
                    </a:xfrm>
                    <a:prstGeom prst="rect">
                      <a:avLst/>
                    </a:prstGeom>
                    <a:noFill/>
                    <a:ln>
                      <a:noFill/>
                    </a:ln>
                  </pic:spPr>
                </pic:pic>
              </a:graphicData>
            </a:graphic>
          </wp:inline>
        </w:drawing>
      </w:r>
    </w:p>
    <w:p w:rsidR="00B10482" w:rsidRPr="00E23D5D" w:rsidRDefault="00E23D5D">
      <w:pPr>
        <w:rPr>
          <w:rFonts w:cstheme="minorHAnsi"/>
        </w:rPr>
      </w:pPr>
      <w:r>
        <w:rPr>
          <w:rFonts w:cstheme="minorHAnsi"/>
        </w:rPr>
        <w:t>Fig 2 Cone Fragment from el-</w:t>
      </w:r>
      <w:proofErr w:type="spellStart"/>
      <w:r>
        <w:rPr>
          <w:rFonts w:cstheme="minorHAnsi"/>
        </w:rPr>
        <w:t>Moghraqa</w:t>
      </w:r>
      <w:proofErr w:type="spellEnd"/>
      <w:r>
        <w:rPr>
          <w:rFonts w:cstheme="minorHAnsi"/>
        </w:rPr>
        <w:t>, Stamped with Thutmose III and Hatshepsut, and Ahmose.</w:t>
      </w:r>
      <w:r w:rsidR="00476F7D">
        <w:rPr>
          <w:rFonts w:cstheme="minorHAnsi"/>
        </w:rPr>
        <w:t xml:space="preserve"> (</w:t>
      </w:r>
      <w:r w:rsidR="00476F7D" w:rsidRPr="00476F7D">
        <w:rPr>
          <w:rFonts w:cstheme="minorHAnsi"/>
        </w:rPr>
        <w:t>http://www.ucl.ac.uk/museums-static/digitalegypt//thebes/archive/uc37574.gif</w:t>
      </w:r>
      <w:r w:rsidR="00476F7D">
        <w:rPr>
          <w:rFonts w:cstheme="minorHAnsi"/>
        </w:rPr>
        <w:t>)</w:t>
      </w:r>
    </w:p>
    <w:p w:rsidR="00B10482" w:rsidRDefault="00E23D5D">
      <w:pPr>
        <w:rPr>
          <w:rFonts w:cstheme="minorHAnsi"/>
          <w:color w:val="000000"/>
          <w:shd w:val="clear" w:color="auto" w:fill="FFFFFF"/>
        </w:rPr>
      </w:pPr>
      <w:r w:rsidRPr="00E23D5D">
        <w:rPr>
          <w:rFonts w:cstheme="minorHAnsi"/>
        </w:rPr>
        <w:t>The Site at which the el-</w:t>
      </w:r>
      <w:proofErr w:type="spellStart"/>
      <w:r w:rsidRPr="00E23D5D">
        <w:rPr>
          <w:rFonts w:cstheme="minorHAnsi"/>
        </w:rPr>
        <w:t>Mo</w:t>
      </w:r>
      <w:r w:rsidR="00342C17" w:rsidRPr="00E23D5D">
        <w:rPr>
          <w:rFonts w:cstheme="minorHAnsi"/>
        </w:rPr>
        <w:t>ghraqa</w:t>
      </w:r>
      <w:proofErr w:type="spellEnd"/>
      <w:r w:rsidR="00342C17" w:rsidRPr="00E23D5D">
        <w:rPr>
          <w:rFonts w:cstheme="minorHAnsi"/>
        </w:rPr>
        <w:t xml:space="preserve"> funerary cones were excavated was discovered in 1996 by Doctor </w:t>
      </w:r>
      <w:proofErr w:type="spellStart"/>
      <w:r w:rsidR="00342C17" w:rsidRPr="00E23D5D">
        <w:rPr>
          <w:rFonts w:cstheme="minorHAnsi"/>
        </w:rPr>
        <w:t>Moain</w:t>
      </w:r>
      <w:proofErr w:type="spellEnd"/>
      <w:r w:rsidR="00342C17" w:rsidRPr="00E23D5D">
        <w:rPr>
          <w:rFonts w:cstheme="minorHAnsi"/>
        </w:rPr>
        <w:t xml:space="preserve"> </w:t>
      </w:r>
      <w:proofErr w:type="spellStart"/>
      <w:r w:rsidR="00342C17" w:rsidRPr="00E23D5D">
        <w:rPr>
          <w:rFonts w:cstheme="minorHAnsi"/>
        </w:rPr>
        <w:t>Sadeq</w:t>
      </w:r>
      <w:proofErr w:type="spellEnd"/>
      <w:r w:rsidR="00342C17" w:rsidRPr="00E23D5D">
        <w:rPr>
          <w:rFonts w:cstheme="minorHAnsi"/>
        </w:rPr>
        <w:t xml:space="preserve"> while dunes were removed to do cultivation, the site itself was excavated from 1996-1999 by the Palestinian Department of Antiquities</w:t>
      </w:r>
      <w:r w:rsidR="00342C17" w:rsidRPr="00E23D5D">
        <w:rPr>
          <w:rStyle w:val="FootnoteReference"/>
          <w:rFonts w:cstheme="minorHAnsi"/>
        </w:rPr>
        <w:footnoteReference w:id="1"/>
      </w:r>
      <w:r w:rsidR="00342C17" w:rsidRPr="00E23D5D">
        <w:rPr>
          <w:rFonts w:cstheme="minorHAnsi"/>
        </w:rPr>
        <w:t xml:space="preserve">. The Site itself is located 700m north of </w:t>
      </w:r>
      <w:proofErr w:type="spellStart"/>
      <w:r w:rsidR="00342C17" w:rsidRPr="00E23D5D">
        <w:rPr>
          <w:rFonts w:cstheme="minorHAnsi"/>
        </w:rPr>
        <w:t>Wadi</w:t>
      </w:r>
      <w:proofErr w:type="spellEnd"/>
      <w:r w:rsidR="00342C17" w:rsidRPr="00E23D5D">
        <w:rPr>
          <w:rFonts w:cstheme="minorHAnsi"/>
        </w:rPr>
        <w:t xml:space="preserve"> Gaza, the cones themselves were found amongst the walls excavated.</w:t>
      </w:r>
      <w:r w:rsidR="00342C17" w:rsidRPr="00E23D5D">
        <w:rPr>
          <w:rStyle w:val="FootnoteReference"/>
          <w:rFonts w:cstheme="minorHAnsi"/>
        </w:rPr>
        <w:footnoteReference w:id="2"/>
      </w:r>
      <w:r w:rsidR="00342C17" w:rsidRPr="00E23D5D">
        <w:rPr>
          <w:rFonts w:cstheme="minorHAnsi"/>
        </w:rPr>
        <w:t xml:space="preserve"> Funerary Cones are typically found above the chapel of the tomb and allow entry </w:t>
      </w:r>
      <w:r w:rsidRPr="00E23D5D">
        <w:rPr>
          <w:rFonts w:cstheme="minorHAnsi"/>
        </w:rPr>
        <w:t>of family, priests, and strangers</w:t>
      </w:r>
      <w:r w:rsidRPr="00E23D5D">
        <w:rPr>
          <w:rStyle w:val="FootnoteReference"/>
          <w:rFonts w:cstheme="minorHAnsi"/>
        </w:rPr>
        <w:footnoteReference w:id="3"/>
      </w:r>
      <w:r w:rsidRPr="00E23D5D">
        <w:rPr>
          <w:rFonts w:cstheme="minorHAnsi"/>
        </w:rPr>
        <w:t xml:space="preserve"> to the tomb, like a sort of ‘passport</w:t>
      </w:r>
      <w:r w:rsidR="003C5E34">
        <w:rPr>
          <w:rFonts w:cstheme="minorHAnsi"/>
        </w:rPr>
        <w:t>’ so to say, or even as simple as labels</w:t>
      </w:r>
      <w:r w:rsidRPr="00E23D5D">
        <w:rPr>
          <w:rStyle w:val="FootnoteReference"/>
          <w:rFonts w:cstheme="minorHAnsi"/>
        </w:rPr>
        <w:footnoteReference w:id="4"/>
      </w:r>
      <w:r w:rsidRPr="00E23D5D">
        <w:rPr>
          <w:rFonts w:cstheme="minorHAnsi"/>
          <w:color w:val="000000"/>
          <w:shd w:val="clear" w:color="auto" w:fill="FFFFFF"/>
        </w:rPr>
        <w:t xml:space="preserve">. They </w:t>
      </w:r>
      <w:r w:rsidRPr="00E23D5D">
        <w:rPr>
          <w:rFonts w:cstheme="minorHAnsi"/>
          <w:color w:val="000000"/>
          <w:shd w:val="clear" w:color="auto" w:fill="FFFFFF"/>
        </w:rPr>
        <w:t>usually have</w:t>
      </w:r>
      <w:r w:rsidRPr="00E23D5D">
        <w:rPr>
          <w:rFonts w:cstheme="minorHAnsi"/>
          <w:color w:val="000000"/>
          <w:shd w:val="clear" w:color="auto" w:fill="FFFFFF"/>
        </w:rPr>
        <w:t xml:space="preserve"> the name of </w:t>
      </w:r>
      <w:r w:rsidRPr="00E23D5D">
        <w:rPr>
          <w:rFonts w:cstheme="minorHAnsi"/>
          <w:color w:val="000000"/>
          <w:shd w:val="clear" w:color="auto" w:fill="FFFFFF"/>
        </w:rPr>
        <w:t>the person of the adjacent tomb or his wife, the el-</w:t>
      </w:r>
      <w:proofErr w:type="spellStart"/>
      <w:r w:rsidRPr="00E23D5D">
        <w:rPr>
          <w:rFonts w:cstheme="minorHAnsi"/>
          <w:color w:val="000000"/>
          <w:shd w:val="clear" w:color="auto" w:fill="FFFFFF"/>
        </w:rPr>
        <w:t>Moghraqa</w:t>
      </w:r>
      <w:proofErr w:type="spellEnd"/>
      <w:r w:rsidRPr="00E23D5D">
        <w:rPr>
          <w:rFonts w:cstheme="minorHAnsi"/>
          <w:color w:val="000000"/>
          <w:shd w:val="clear" w:color="auto" w:fill="FFFFFF"/>
        </w:rPr>
        <w:t xml:space="preserve"> </w:t>
      </w:r>
      <w:r w:rsidR="00476F7D">
        <w:rPr>
          <w:rFonts w:cstheme="minorHAnsi"/>
          <w:color w:val="000000"/>
          <w:shd w:val="clear" w:color="auto" w:fill="FFFFFF"/>
        </w:rPr>
        <w:t>funerary cone depicted in F2</w:t>
      </w:r>
      <w:r>
        <w:rPr>
          <w:rFonts w:cstheme="minorHAnsi"/>
          <w:color w:val="000000"/>
          <w:shd w:val="clear" w:color="auto" w:fill="FFFFFF"/>
        </w:rPr>
        <w:t xml:space="preserve"> have the stamp of Thutmose III and Hatshepsut</w:t>
      </w:r>
      <w:r w:rsidR="00476F7D">
        <w:rPr>
          <w:rFonts w:cstheme="minorHAnsi"/>
          <w:color w:val="000000"/>
          <w:shd w:val="clear" w:color="auto" w:fill="FFFFFF"/>
        </w:rPr>
        <w:t xml:space="preserve"> with the name of Ahmose whom was the overseer of the royal harem, ‘father nurse’, and overseer of cattle.</w:t>
      </w:r>
      <w:r w:rsidR="00476F7D">
        <w:rPr>
          <w:rStyle w:val="FootnoteReference"/>
          <w:rFonts w:cstheme="minorHAnsi"/>
          <w:color w:val="000000"/>
          <w:shd w:val="clear" w:color="auto" w:fill="FFFFFF"/>
        </w:rPr>
        <w:footnoteReference w:id="5"/>
      </w:r>
      <w:r w:rsidR="00476F7D">
        <w:rPr>
          <w:rFonts w:cstheme="minorHAnsi"/>
          <w:color w:val="000000"/>
          <w:shd w:val="clear" w:color="auto" w:fill="FFFFFF"/>
        </w:rPr>
        <w:t xml:space="preserve"> This is typical of the era, as royal tombs and those associated with the royal house of Egypt were able to afford or were gifted court tombs after </w:t>
      </w:r>
      <w:r w:rsidR="00476F7D">
        <w:rPr>
          <w:rFonts w:cstheme="minorHAnsi"/>
          <w:color w:val="000000"/>
          <w:shd w:val="clear" w:color="auto" w:fill="FFFFFF"/>
        </w:rPr>
        <w:lastRenderedPageBreak/>
        <w:t>they died and funerary cones were stamped on their behalf.</w:t>
      </w:r>
      <w:r w:rsidR="00476F7D">
        <w:rPr>
          <w:rStyle w:val="FootnoteReference"/>
          <w:rFonts w:cstheme="minorHAnsi"/>
          <w:color w:val="000000"/>
          <w:shd w:val="clear" w:color="auto" w:fill="FFFFFF"/>
        </w:rPr>
        <w:footnoteReference w:id="6"/>
      </w:r>
      <w:r w:rsidR="00476F7D">
        <w:rPr>
          <w:rFonts w:cstheme="minorHAnsi"/>
          <w:color w:val="000000"/>
          <w:shd w:val="clear" w:color="auto" w:fill="FFFFFF"/>
        </w:rPr>
        <w:t xml:space="preserve">  Most of the Funerary Cones are found in or around Thebes, or nearby sites such as Abydos, </w:t>
      </w:r>
      <w:proofErr w:type="spellStart"/>
      <w:r w:rsidR="00476F7D">
        <w:rPr>
          <w:rFonts w:cstheme="minorHAnsi"/>
          <w:color w:val="000000"/>
          <w:shd w:val="clear" w:color="auto" w:fill="FFFFFF"/>
        </w:rPr>
        <w:t>Naqada</w:t>
      </w:r>
      <w:proofErr w:type="spellEnd"/>
      <w:r w:rsidR="00476F7D">
        <w:rPr>
          <w:rFonts w:cstheme="minorHAnsi"/>
          <w:color w:val="000000"/>
          <w:shd w:val="clear" w:color="auto" w:fill="FFFFFF"/>
        </w:rPr>
        <w:t xml:space="preserve">, </w:t>
      </w:r>
      <w:proofErr w:type="spellStart"/>
      <w:r w:rsidR="00476F7D">
        <w:rPr>
          <w:rFonts w:cstheme="minorHAnsi"/>
          <w:color w:val="000000"/>
          <w:shd w:val="clear" w:color="auto" w:fill="FFFFFF"/>
        </w:rPr>
        <w:t>Dendera</w:t>
      </w:r>
      <w:proofErr w:type="spellEnd"/>
      <w:r w:rsidR="00476F7D">
        <w:rPr>
          <w:rFonts w:cstheme="minorHAnsi"/>
          <w:color w:val="000000"/>
          <w:shd w:val="clear" w:color="auto" w:fill="FFFFFF"/>
        </w:rPr>
        <w:t xml:space="preserve">, and </w:t>
      </w:r>
      <w:proofErr w:type="spellStart"/>
      <w:r w:rsidR="00476F7D">
        <w:rPr>
          <w:rFonts w:cstheme="minorHAnsi"/>
          <w:color w:val="000000"/>
          <w:shd w:val="clear" w:color="auto" w:fill="FFFFFF"/>
        </w:rPr>
        <w:t>Armant</w:t>
      </w:r>
      <w:proofErr w:type="spellEnd"/>
      <w:r w:rsidR="00476F7D">
        <w:rPr>
          <w:rFonts w:cstheme="minorHAnsi"/>
          <w:color w:val="000000"/>
          <w:shd w:val="clear" w:color="auto" w:fill="FFFFFF"/>
        </w:rPr>
        <w:t>. These sites are relatively close to Thebes so the practise was likely adopted from Thebes.</w:t>
      </w:r>
      <w:r w:rsidR="003C5E34">
        <w:rPr>
          <w:rStyle w:val="FootnoteReference"/>
          <w:rFonts w:cstheme="minorHAnsi"/>
          <w:color w:val="000000"/>
          <w:shd w:val="clear" w:color="auto" w:fill="FFFFFF"/>
        </w:rPr>
        <w:footnoteReference w:id="7"/>
      </w:r>
      <w:r w:rsidR="003C5E34">
        <w:rPr>
          <w:rFonts w:cstheme="minorHAnsi"/>
          <w:color w:val="000000"/>
          <w:shd w:val="clear" w:color="auto" w:fill="FFFFFF"/>
        </w:rPr>
        <w:t xml:space="preserve"> Most of the Cones are also found in or around court tombs, either above the door, within the walls or even placed within papyri.</w:t>
      </w:r>
      <w:r w:rsidR="003C5E34">
        <w:rPr>
          <w:rStyle w:val="FootnoteReference"/>
          <w:rFonts w:cstheme="minorHAnsi"/>
          <w:color w:val="000000"/>
          <w:shd w:val="clear" w:color="auto" w:fill="FFFFFF"/>
        </w:rPr>
        <w:footnoteReference w:id="8"/>
      </w:r>
      <w:r w:rsidR="003C5E34">
        <w:rPr>
          <w:rFonts w:cstheme="minorHAnsi"/>
          <w:color w:val="000000"/>
          <w:shd w:val="clear" w:color="auto" w:fill="FFFFFF"/>
        </w:rPr>
        <w:t xml:space="preserve"> The el-</w:t>
      </w:r>
      <w:proofErr w:type="spellStart"/>
      <w:r w:rsidR="003C5E34">
        <w:rPr>
          <w:rFonts w:cstheme="minorHAnsi"/>
          <w:color w:val="000000"/>
          <w:shd w:val="clear" w:color="auto" w:fill="FFFFFF"/>
        </w:rPr>
        <w:t>Moghraqa</w:t>
      </w:r>
      <w:proofErr w:type="spellEnd"/>
      <w:r w:rsidR="003C5E34">
        <w:rPr>
          <w:rFonts w:cstheme="minorHAnsi"/>
          <w:color w:val="000000"/>
          <w:shd w:val="clear" w:color="auto" w:fill="FFFFFF"/>
        </w:rPr>
        <w:t xml:space="preserve"> site is likely a satellite settlement of Thebes which explains the use of Funerary Cones in the area.</w:t>
      </w:r>
      <w:r w:rsidR="003C5E34">
        <w:rPr>
          <w:rStyle w:val="FootnoteReference"/>
          <w:rFonts w:cstheme="minorHAnsi"/>
          <w:color w:val="000000"/>
          <w:shd w:val="clear" w:color="auto" w:fill="FFFFFF"/>
        </w:rPr>
        <w:footnoteReference w:id="9"/>
      </w:r>
    </w:p>
    <w:p w:rsidR="00476F7D" w:rsidRDefault="00476F7D">
      <w:pPr>
        <w:rPr>
          <w:rFonts w:cstheme="minorHAnsi"/>
          <w:color w:val="000000"/>
          <w:shd w:val="clear" w:color="auto" w:fill="FFFFFF"/>
        </w:rPr>
      </w:pPr>
      <w:r>
        <w:rPr>
          <w:rFonts w:cstheme="minorHAnsi"/>
          <w:color w:val="000000"/>
          <w:shd w:val="clear" w:color="auto" w:fill="FFFFFF"/>
        </w:rPr>
        <w:t>The cones themselves were usually fired with clay taken from the Nile, and also cone shaped, hence the name awarded to them, other shaped could be pyramid shaped, or even horn shaped but most are the traditional conical shape.</w:t>
      </w:r>
      <w:r>
        <w:rPr>
          <w:rStyle w:val="FootnoteReference"/>
          <w:rFonts w:cstheme="minorHAnsi"/>
          <w:color w:val="000000"/>
          <w:shd w:val="clear" w:color="auto" w:fill="FFFFFF"/>
        </w:rPr>
        <w:footnoteReference w:id="10"/>
      </w:r>
      <w:r>
        <w:rPr>
          <w:rFonts w:cstheme="minorHAnsi"/>
          <w:color w:val="000000"/>
          <w:shd w:val="clear" w:color="auto" w:fill="FFFFFF"/>
        </w:rPr>
        <w:t xml:space="preserve"> </w:t>
      </w:r>
      <w:r w:rsidR="003C5E34">
        <w:rPr>
          <w:rFonts w:cstheme="minorHAnsi"/>
          <w:color w:val="000000"/>
          <w:shd w:val="clear" w:color="auto" w:fill="FFFFFF"/>
        </w:rPr>
        <w:t>The fragments shown in the around 5cm long, however funerary cones can have ranged from 6inches to afoot long, the diameter can be up to 13cm.</w:t>
      </w:r>
      <w:r w:rsidR="003C5E34">
        <w:rPr>
          <w:rStyle w:val="FootnoteReference"/>
          <w:rFonts w:cstheme="minorHAnsi"/>
          <w:color w:val="000000"/>
          <w:shd w:val="clear" w:color="auto" w:fill="FFFFFF"/>
        </w:rPr>
        <w:footnoteReference w:id="11"/>
      </w:r>
      <w:r w:rsidR="003C5E34">
        <w:rPr>
          <w:rFonts w:cstheme="minorHAnsi"/>
          <w:color w:val="000000"/>
          <w:shd w:val="clear" w:color="auto" w:fill="FFFFFF"/>
        </w:rPr>
        <w:t xml:space="preserve"> The stamps are usually applied before the firing of the clay and almost always stamped with the date of whomever is ruling at the time, as shown in F1 and F2.</w:t>
      </w:r>
      <w:r w:rsidR="003C5E34">
        <w:rPr>
          <w:rStyle w:val="FootnoteReference"/>
          <w:rFonts w:cstheme="minorHAnsi"/>
          <w:color w:val="000000"/>
          <w:shd w:val="clear" w:color="auto" w:fill="FFFFFF"/>
        </w:rPr>
        <w:footnoteReference w:id="12"/>
      </w:r>
    </w:p>
    <w:p w:rsidR="00476F7D" w:rsidRPr="00E23D5D" w:rsidRDefault="00476F7D">
      <w:pPr>
        <w:rPr>
          <w:rFonts w:cstheme="minorHAnsi"/>
        </w:rPr>
      </w:pPr>
      <w:bookmarkStart w:id="0" w:name="_GoBack"/>
      <w:bookmarkEnd w:id="0"/>
    </w:p>
    <w:sectPr w:rsidR="00476F7D" w:rsidRPr="00E23D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00E2" w:rsidRDefault="00FF00E2" w:rsidP="00342C17">
      <w:pPr>
        <w:spacing w:after="0" w:line="240" w:lineRule="auto"/>
      </w:pPr>
      <w:r>
        <w:separator/>
      </w:r>
    </w:p>
  </w:endnote>
  <w:endnote w:type="continuationSeparator" w:id="0">
    <w:p w:rsidR="00FF00E2" w:rsidRDefault="00FF00E2" w:rsidP="00342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00E2" w:rsidRDefault="00FF00E2" w:rsidP="00342C17">
      <w:pPr>
        <w:spacing w:after="0" w:line="240" w:lineRule="auto"/>
      </w:pPr>
      <w:r>
        <w:separator/>
      </w:r>
    </w:p>
  </w:footnote>
  <w:footnote w:type="continuationSeparator" w:id="0">
    <w:p w:rsidR="00FF00E2" w:rsidRDefault="00FF00E2" w:rsidP="00342C17">
      <w:pPr>
        <w:spacing w:after="0" w:line="240" w:lineRule="auto"/>
      </w:pPr>
      <w:r>
        <w:continuationSeparator/>
      </w:r>
    </w:p>
  </w:footnote>
  <w:footnote w:id="1">
    <w:p w:rsidR="00342C17" w:rsidRDefault="00342C17">
      <w:pPr>
        <w:pStyle w:val="FootnoteText"/>
      </w:pPr>
      <w:r>
        <w:rPr>
          <w:rStyle w:val="FootnoteReference"/>
        </w:rPr>
        <w:footnoteRef/>
      </w:r>
      <w:r>
        <w:t xml:space="preserve"> L. Steel, W P Manley, J Clarke, M </w:t>
      </w:r>
      <w:proofErr w:type="spellStart"/>
      <w:r>
        <w:t>Sadeq</w:t>
      </w:r>
      <w:proofErr w:type="spellEnd"/>
      <w:r>
        <w:t>. 2004. The Antiquities Journal.  Egyptian ‘Funerary Cones’ from El-</w:t>
      </w:r>
      <w:proofErr w:type="spellStart"/>
      <w:r>
        <w:t>Moghraqa</w:t>
      </w:r>
      <w:proofErr w:type="spellEnd"/>
      <w:r>
        <w:t>, Gaza. Pp319-333.</w:t>
      </w:r>
    </w:p>
  </w:footnote>
  <w:footnote w:id="2">
    <w:p w:rsidR="00342C17" w:rsidRDefault="00342C17">
      <w:pPr>
        <w:pStyle w:val="FootnoteText"/>
      </w:pPr>
      <w:r>
        <w:rPr>
          <w:rStyle w:val="FootnoteReference"/>
        </w:rPr>
        <w:footnoteRef/>
      </w:r>
      <w:r>
        <w:t xml:space="preserve"> </w:t>
      </w:r>
      <w:r>
        <w:t xml:space="preserve">L. Steel, W P Manley, J Clarke, M </w:t>
      </w:r>
      <w:proofErr w:type="spellStart"/>
      <w:r>
        <w:t>Sadeq</w:t>
      </w:r>
      <w:proofErr w:type="spellEnd"/>
      <w:r>
        <w:t>. 2004. The Antiquities Journal.  Egyptian ‘Funerary Cones’ from El-</w:t>
      </w:r>
      <w:proofErr w:type="spellStart"/>
      <w:r>
        <w:t>Moghraqa</w:t>
      </w:r>
      <w:proofErr w:type="spellEnd"/>
      <w:r>
        <w:t>, Gaza. Pp319-333.</w:t>
      </w:r>
    </w:p>
  </w:footnote>
  <w:footnote w:id="3">
    <w:p w:rsidR="00E23D5D" w:rsidRPr="00476F7D" w:rsidRDefault="00E23D5D" w:rsidP="00476F7D">
      <w:pPr>
        <w:rPr>
          <w:rFonts w:ascii="Arial" w:eastAsia="Times New Roman" w:hAnsi="Arial" w:cs="Arial"/>
          <w:color w:val="000000"/>
          <w:sz w:val="20"/>
          <w:szCs w:val="20"/>
          <w:lang w:eastAsia="en-GB"/>
        </w:rPr>
      </w:pPr>
      <w:r>
        <w:rPr>
          <w:rStyle w:val="FootnoteReference"/>
        </w:rPr>
        <w:footnoteRef/>
      </w:r>
      <w:r>
        <w:t xml:space="preserve"> </w:t>
      </w:r>
      <w:r w:rsidRPr="00E23D5D">
        <w:rPr>
          <w:rFonts w:asciiTheme="majorHAnsi" w:hAnsiTheme="majorHAnsi" w:cstheme="majorHAnsi"/>
        </w:rPr>
        <w:t>John Gardner Wilkinson</w:t>
      </w:r>
      <w:r>
        <w:t xml:space="preserve">. </w:t>
      </w:r>
      <w:r>
        <w:rPr>
          <w:rFonts w:asciiTheme="majorHAnsi" w:hAnsiTheme="majorHAnsi" w:cstheme="majorHAnsi"/>
        </w:rPr>
        <w:t xml:space="preserve">1847. </w:t>
      </w:r>
      <w:r w:rsidRPr="00E23D5D">
        <w:rPr>
          <w:rFonts w:ascii="Arial" w:eastAsia="Times New Roman" w:hAnsi="Arial" w:cs="Arial"/>
          <w:color w:val="000000"/>
          <w:sz w:val="20"/>
          <w:szCs w:val="20"/>
          <w:lang w:eastAsia="en-GB"/>
        </w:rPr>
        <w:t>The Manners and Customs of the Ancient Egyptians: Including Their Private Life, Government, Laws, Arts, Manufactures, Religion, Agriculture and Early History, Volume 5</w:t>
      </w:r>
      <w:r>
        <w:rPr>
          <w:rFonts w:ascii="Arial" w:eastAsia="Times New Roman" w:hAnsi="Arial" w:cs="Arial"/>
          <w:color w:val="000000"/>
          <w:sz w:val="20"/>
          <w:szCs w:val="20"/>
          <w:lang w:eastAsia="en-GB"/>
        </w:rPr>
        <w:t>. Oxford University Press.</w:t>
      </w:r>
    </w:p>
  </w:footnote>
  <w:footnote w:id="4">
    <w:p w:rsidR="00E23D5D" w:rsidRDefault="00E23D5D">
      <w:pPr>
        <w:pStyle w:val="FootnoteText"/>
      </w:pPr>
      <w:r>
        <w:rPr>
          <w:rStyle w:val="FootnoteReference"/>
        </w:rPr>
        <w:footnoteRef/>
      </w:r>
      <w:r>
        <w:t xml:space="preserve"> </w:t>
      </w:r>
      <w:hyperlink r:id="rId1" w:history="1">
        <w:r w:rsidRPr="00C610EB">
          <w:rPr>
            <w:rStyle w:val="Hyperlink"/>
          </w:rPr>
          <w:t>http://www.funerarycones.com/Functions</w:t>
        </w:r>
      </w:hyperlink>
      <w:r>
        <w:t xml:space="preserve"> (12/03/18)</w:t>
      </w:r>
    </w:p>
  </w:footnote>
  <w:footnote w:id="5">
    <w:p w:rsidR="00476F7D" w:rsidRDefault="00476F7D">
      <w:pPr>
        <w:pStyle w:val="FootnoteText"/>
      </w:pPr>
      <w:r>
        <w:rPr>
          <w:rStyle w:val="FootnoteReference"/>
        </w:rPr>
        <w:footnoteRef/>
      </w:r>
      <w:r>
        <w:t xml:space="preserve"> </w:t>
      </w:r>
      <w:hyperlink r:id="rId2" w:history="1">
        <w:r w:rsidRPr="00C610EB">
          <w:rPr>
            <w:rStyle w:val="Hyperlink"/>
          </w:rPr>
          <w:t>http://www.ucl.ac.uk/museums-static/digitalegypt//thebes/archive/uc37574.gif</w:t>
        </w:r>
      </w:hyperlink>
      <w:r>
        <w:t xml:space="preserve"> (11/03/18)</w:t>
      </w:r>
    </w:p>
  </w:footnote>
  <w:footnote w:id="6">
    <w:p w:rsidR="00476F7D" w:rsidRDefault="00476F7D">
      <w:pPr>
        <w:pStyle w:val="FootnoteText"/>
      </w:pPr>
      <w:r>
        <w:rPr>
          <w:rStyle w:val="FootnoteReference"/>
        </w:rPr>
        <w:footnoteRef/>
      </w:r>
      <w:r>
        <w:t xml:space="preserve"> </w:t>
      </w:r>
      <w:r w:rsidRPr="00E23D5D">
        <w:rPr>
          <w:rFonts w:asciiTheme="majorHAnsi" w:hAnsiTheme="majorHAnsi" w:cstheme="majorHAnsi"/>
        </w:rPr>
        <w:t>John Gardner Wilkinson</w:t>
      </w:r>
      <w:r>
        <w:t xml:space="preserve">. </w:t>
      </w:r>
      <w:r>
        <w:rPr>
          <w:rFonts w:asciiTheme="majorHAnsi" w:hAnsiTheme="majorHAnsi" w:cstheme="majorHAnsi"/>
        </w:rPr>
        <w:t xml:space="preserve">1847. </w:t>
      </w:r>
      <w:r w:rsidRPr="00E23D5D">
        <w:rPr>
          <w:rFonts w:ascii="Arial" w:eastAsia="Times New Roman" w:hAnsi="Arial" w:cs="Arial"/>
          <w:color w:val="000000"/>
          <w:lang w:eastAsia="en-GB"/>
        </w:rPr>
        <w:t>The Manners and Customs of the Ancient Egyptians: Including Their Private Life, Government, Laws, Arts, Manufactures, Religion, Agriculture and Early History, Volume 5</w:t>
      </w:r>
      <w:r>
        <w:rPr>
          <w:rFonts w:ascii="Arial" w:eastAsia="Times New Roman" w:hAnsi="Arial" w:cs="Arial"/>
          <w:color w:val="000000"/>
          <w:lang w:eastAsia="en-GB"/>
        </w:rPr>
        <w:t>. Oxford University Press.</w:t>
      </w:r>
    </w:p>
  </w:footnote>
  <w:footnote w:id="7">
    <w:p w:rsidR="003C5E34" w:rsidRDefault="003C5E34">
      <w:pPr>
        <w:pStyle w:val="FootnoteText"/>
      </w:pPr>
      <w:r>
        <w:rPr>
          <w:rStyle w:val="FootnoteReference"/>
        </w:rPr>
        <w:footnoteRef/>
      </w:r>
      <w:r>
        <w:t xml:space="preserve"> </w:t>
      </w:r>
      <w:hyperlink r:id="rId3" w:history="1">
        <w:r w:rsidRPr="00C610EB">
          <w:rPr>
            <w:rStyle w:val="Hyperlink"/>
          </w:rPr>
          <w:t>http://www.ancient-origins.net/artifacts-other-artifacts/examining-cryptic-grave-goods-what-are-ancient-egyptian-funerary-cones-020736</w:t>
        </w:r>
      </w:hyperlink>
      <w:r>
        <w:t xml:space="preserve"> (12/03/18)</w:t>
      </w:r>
    </w:p>
  </w:footnote>
  <w:footnote w:id="8">
    <w:p w:rsidR="003C5E34" w:rsidRDefault="003C5E34">
      <w:pPr>
        <w:pStyle w:val="FootnoteText"/>
      </w:pPr>
      <w:r>
        <w:rPr>
          <w:rStyle w:val="FootnoteReference"/>
        </w:rPr>
        <w:footnoteRef/>
      </w:r>
      <w:r>
        <w:t xml:space="preserve"> </w:t>
      </w:r>
      <w:hyperlink r:id="rId4" w:history="1">
        <w:r w:rsidRPr="00C610EB">
          <w:rPr>
            <w:rStyle w:val="Hyperlink"/>
          </w:rPr>
          <w:t>http://www.ancient-origins.net/artifacts-other-artifacts/examining-cryptic-grave-goods-what-are-ancient-egyptian-funerary-cones-020736</w:t>
        </w:r>
      </w:hyperlink>
      <w:r>
        <w:t xml:space="preserve"> (12/03/18)</w:t>
      </w:r>
    </w:p>
  </w:footnote>
  <w:footnote w:id="9">
    <w:p w:rsidR="003C5E34" w:rsidRDefault="003C5E34">
      <w:pPr>
        <w:pStyle w:val="FootnoteText"/>
      </w:pPr>
      <w:r>
        <w:rPr>
          <w:rStyle w:val="FootnoteReference"/>
        </w:rPr>
        <w:footnoteRef/>
      </w:r>
      <w:r>
        <w:t xml:space="preserve"> </w:t>
      </w:r>
      <w:r>
        <w:t xml:space="preserve">L. Steel, W P Manley, J Clarke, M </w:t>
      </w:r>
      <w:proofErr w:type="spellStart"/>
      <w:r>
        <w:t>Sadeq</w:t>
      </w:r>
      <w:proofErr w:type="spellEnd"/>
      <w:r>
        <w:t>. 2004. The Antiquities Journal.  Egyptian ‘Funerary Cones’ from El-</w:t>
      </w:r>
      <w:proofErr w:type="spellStart"/>
      <w:r>
        <w:t>Moghraqa</w:t>
      </w:r>
      <w:proofErr w:type="spellEnd"/>
      <w:r>
        <w:t>, Gaza. Pp319-333.</w:t>
      </w:r>
    </w:p>
  </w:footnote>
  <w:footnote w:id="10">
    <w:p w:rsidR="00476F7D" w:rsidRDefault="00476F7D">
      <w:pPr>
        <w:pStyle w:val="FootnoteText"/>
      </w:pPr>
      <w:r>
        <w:rPr>
          <w:rStyle w:val="FootnoteReference"/>
        </w:rPr>
        <w:footnoteRef/>
      </w:r>
      <w:r>
        <w:t xml:space="preserve"> </w:t>
      </w:r>
      <w:hyperlink r:id="rId5" w:history="1">
        <w:r w:rsidRPr="00C610EB">
          <w:rPr>
            <w:rStyle w:val="Hyperlink"/>
          </w:rPr>
          <w:t>http://www.ancient-origins.net/artifacts-other-artifacts/examining-cryptic-grave-goods-what-are-ancient-egyptian-funerary-cones-020736</w:t>
        </w:r>
      </w:hyperlink>
      <w:r>
        <w:t xml:space="preserve"> (12/03/18)</w:t>
      </w:r>
    </w:p>
  </w:footnote>
  <w:footnote w:id="11">
    <w:p w:rsidR="003C5E34" w:rsidRDefault="003C5E34">
      <w:pPr>
        <w:pStyle w:val="FootnoteText"/>
      </w:pPr>
      <w:r>
        <w:rPr>
          <w:rStyle w:val="FootnoteReference"/>
        </w:rPr>
        <w:footnoteRef/>
      </w:r>
      <w:r>
        <w:t xml:space="preserve"> </w:t>
      </w:r>
      <w:hyperlink r:id="rId6" w:history="1">
        <w:r w:rsidRPr="00C610EB">
          <w:rPr>
            <w:rStyle w:val="Hyperlink"/>
          </w:rPr>
          <w:t>http://www.funerarycones.com/Length_and_Width/Length_and_Width.html</w:t>
        </w:r>
      </w:hyperlink>
      <w:r>
        <w:t xml:space="preserve"> (11/03/18)</w:t>
      </w:r>
    </w:p>
  </w:footnote>
  <w:footnote w:id="12">
    <w:p w:rsidR="003C5E34" w:rsidRDefault="003C5E34">
      <w:pPr>
        <w:pStyle w:val="FootnoteText"/>
      </w:pPr>
      <w:r>
        <w:rPr>
          <w:rStyle w:val="FootnoteReference"/>
        </w:rPr>
        <w:footnoteRef/>
      </w:r>
      <w:r>
        <w:t xml:space="preserve"> </w:t>
      </w:r>
      <w:hyperlink r:id="rId7" w:history="1">
        <w:r w:rsidRPr="00C610EB">
          <w:rPr>
            <w:rStyle w:val="Hyperlink"/>
          </w:rPr>
          <w:t>http://www.ancient-origins.net/artifacts-other-artifacts/examining-cryptic-grave-goods-what-are-ancient-egyptian-funerary-cones-020736</w:t>
        </w:r>
      </w:hyperlink>
      <w:r>
        <w:t xml:space="preserve"> (12/03/18)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0482"/>
    <w:rsid w:val="00342C17"/>
    <w:rsid w:val="003C5E34"/>
    <w:rsid w:val="00476F7D"/>
    <w:rsid w:val="009C6CBF"/>
    <w:rsid w:val="00B10482"/>
    <w:rsid w:val="00E23D5D"/>
    <w:rsid w:val="00FF0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4F135"/>
  <w15:chartTrackingRefBased/>
  <w15:docId w15:val="{F2F1ED81-187E-4227-A0DE-0CA218169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42C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2C17"/>
    <w:rPr>
      <w:sz w:val="20"/>
      <w:szCs w:val="20"/>
    </w:rPr>
  </w:style>
  <w:style w:type="character" w:styleId="FootnoteReference">
    <w:name w:val="footnote reference"/>
    <w:basedOn w:val="DefaultParagraphFont"/>
    <w:uiPriority w:val="99"/>
    <w:semiHidden/>
    <w:unhideWhenUsed/>
    <w:rsid w:val="00342C17"/>
    <w:rPr>
      <w:vertAlign w:val="superscript"/>
    </w:rPr>
  </w:style>
  <w:style w:type="character" w:styleId="Hyperlink">
    <w:name w:val="Hyperlink"/>
    <w:basedOn w:val="DefaultParagraphFont"/>
    <w:uiPriority w:val="99"/>
    <w:unhideWhenUsed/>
    <w:rsid w:val="00E23D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7700840">
      <w:bodyDiv w:val="1"/>
      <w:marLeft w:val="0"/>
      <w:marRight w:val="0"/>
      <w:marTop w:val="0"/>
      <w:marBottom w:val="0"/>
      <w:divBdr>
        <w:top w:val="none" w:sz="0" w:space="0" w:color="auto"/>
        <w:left w:val="none" w:sz="0" w:space="0" w:color="auto"/>
        <w:bottom w:val="none" w:sz="0" w:space="0" w:color="auto"/>
        <w:right w:val="none" w:sz="0" w:space="0" w:color="auto"/>
      </w:divBdr>
    </w:div>
    <w:div w:id="116512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www.ancient-origins.net/artifacts-other-artifacts/examining-cryptic-grave-goods-what-are-ancient-egyptian-funerary-cones-020736" TargetMode="External"/><Relationship Id="rId7" Type="http://schemas.openxmlformats.org/officeDocument/2006/relationships/hyperlink" Target="http://www.ancient-origins.net/artifacts-other-artifacts/examining-cryptic-grave-goods-what-are-ancient-egyptian-funerary-cones-020736" TargetMode="External"/><Relationship Id="rId2" Type="http://schemas.openxmlformats.org/officeDocument/2006/relationships/hyperlink" Target="http://www.ucl.ac.uk/museums-static/digitalegypt//thebes/archive/uc37574.gif" TargetMode="External"/><Relationship Id="rId1" Type="http://schemas.openxmlformats.org/officeDocument/2006/relationships/hyperlink" Target="http://www.funerarycones.com/Functions" TargetMode="External"/><Relationship Id="rId6" Type="http://schemas.openxmlformats.org/officeDocument/2006/relationships/hyperlink" Target="http://www.funerarycones.com/Length_and_Width/Length_and_Width.html" TargetMode="External"/><Relationship Id="rId5" Type="http://schemas.openxmlformats.org/officeDocument/2006/relationships/hyperlink" Target="http://www.ancient-origins.net/artifacts-other-artifacts/examining-cryptic-grave-goods-what-are-ancient-egyptian-funerary-cones-020736" TargetMode="External"/><Relationship Id="rId4" Type="http://schemas.openxmlformats.org/officeDocument/2006/relationships/hyperlink" Target="http://www.ancient-origins.net/artifacts-other-artifacts/examining-cryptic-grave-goods-what-are-ancient-egyptian-funerary-cones-0207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D9A12-0D32-4595-A4E3-EF3760583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Pages>
  <Words>354</Words>
  <Characters>2019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Kerslake</dc:creator>
  <cp:keywords/>
  <dc:description/>
  <cp:lastModifiedBy>Charlotte Kerslake</cp:lastModifiedBy>
  <cp:revision>1</cp:revision>
  <dcterms:created xsi:type="dcterms:W3CDTF">2018-03-12T22:24:00Z</dcterms:created>
  <dcterms:modified xsi:type="dcterms:W3CDTF">2018-03-12T23:14:00Z</dcterms:modified>
</cp:coreProperties>
</file>