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736DA9" w14:textId="77777777" w:rsidR="006D0249" w:rsidRPr="003231F7" w:rsidRDefault="006D0249" w:rsidP="003231F7">
      <w:pPr>
        <w:contextualSpacing/>
        <w:rPr>
          <w:rFonts w:ascii="Times New Roman" w:hAnsi="Times New Roman" w:cs="Times New Roman"/>
          <w:sz w:val="24"/>
          <w:szCs w:val="24"/>
        </w:rPr>
      </w:pPr>
    </w:p>
    <w:p w14:paraId="39632402" w14:textId="77777777" w:rsidR="006D0249" w:rsidRPr="003231F7" w:rsidRDefault="006D0249" w:rsidP="003231F7">
      <w:pPr>
        <w:contextualSpacing/>
        <w:rPr>
          <w:rFonts w:ascii="Times New Roman" w:hAnsi="Times New Roman" w:cs="Times New Roman"/>
          <w:sz w:val="24"/>
          <w:szCs w:val="24"/>
        </w:rPr>
      </w:pPr>
    </w:p>
    <w:p w14:paraId="4F3F2A5C" w14:textId="77777777" w:rsidR="00CA7730" w:rsidRPr="003231F7" w:rsidRDefault="00CA7730" w:rsidP="003231F7">
      <w:pPr>
        <w:spacing w:after="0" w:line="480" w:lineRule="auto"/>
        <w:contextualSpacing/>
        <w:jc w:val="center"/>
        <w:rPr>
          <w:rFonts w:ascii="Times New Roman" w:hAnsi="Times New Roman" w:cs="Times New Roman"/>
          <w:b/>
          <w:bCs/>
          <w:sz w:val="24"/>
          <w:szCs w:val="24"/>
        </w:rPr>
      </w:pPr>
    </w:p>
    <w:p w14:paraId="186D8E91" w14:textId="77777777" w:rsidR="00CA7730" w:rsidRPr="003231F7" w:rsidRDefault="00CA7730" w:rsidP="003231F7">
      <w:pPr>
        <w:spacing w:after="0" w:line="480" w:lineRule="auto"/>
        <w:contextualSpacing/>
        <w:jc w:val="center"/>
        <w:rPr>
          <w:rFonts w:ascii="Times New Roman" w:hAnsi="Times New Roman" w:cs="Times New Roman"/>
          <w:b/>
          <w:bCs/>
          <w:sz w:val="24"/>
          <w:szCs w:val="24"/>
        </w:rPr>
      </w:pPr>
    </w:p>
    <w:p w14:paraId="165B4B7A" w14:textId="77777777" w:rsidR="00CA7730" w:rsidRPr="003231F7" w:rsidRDefault="00CA7730" w:rsidP="003231F7">
      <w:pPr>
        <w:spacing w:after="0" w:line="480" w:lineRule="auto"/>
        <w:contextualSpacing/>
        <w:jc w:val="center"/>
        <w:rPr>
          <w:rFonts w:ascii="Times New Roman" w:hAnsi="Times New Roman" w:cs="Times New Roman"/>
          <w:b/>
          <w:bCs/>
          <w:sz w:val="24"/>
          <w:szCs w:val="24"/>
        </w:rPr>
      </w:pPr>
    </w:p>
    <w:p w14:paraId="7BF44527" w14:textId="77777777" w:rsidR="00CA7730" w:rsidRPr="003231F7" w:rsidRDefault="00CA7730" w:rsidP="003231F7">
      <w:pPr>
        <w:spacing w:after="0" w:line="360" w:lineRule="auto"/>
        <w:contextualSpacing/>
        <w:jc w:val="center"/>
        <w:rPr>
          <w:rFonts w:ascii="Times New Roman" w:hAnsi="Times New Roman" w:cs="Times New Roman"/>
          <w:b/>
          <w:bCs/>
          <w:sz w:val="24"/>
          <w:szCs w:val="24"/>
        </w:rPr>
      </w:pPr>
    </w:p>
    <w:p w14:paraId="5F6E8DE6" w14:textId="77777777" w:rsidR="00CA7730" w:rsidRPr="003231F7" w:rsidRDefault="00CA7730" w:rsidP="003231F7">
      <w:pPr>
        <w:spacing w:after="0" w:line="360" w:lineRule="auto"/>
        <w:contextualSpacing/>
        <w:jc w:val="center"/>
        <w:rPr>
          <w:rFonts w:ascii="Times New Roman" w:hAnsi="Times New Roman" w:cs="Times New Roman"/>
          <w:b/>
          <w:bCs/>
          <w:sz w:val="24"/>
          <w:szCs w:val="24"/>
        </w:rPr>
      </w:pPr>
    </w:p>
    <w:p w14:paraId="68EAC911" w14:textId="77777777" w:rsidR="00A33A1B" w:rsidRPr="003231F7" w:rsidRDefault="00A33A1B" w:rsidP="003231F7">
      <w:pPr>
        <w:spacing w:line="480" w:lineRule="auto"/>
        <w:contextualSpacing/>
        <w:jc w:val="center"/>
        <w:rPr>
          <w:rFonts w:ascii="Times New Roman" w:hAnsi="Times New Roman" w:cs="Times New Roman"/>
          <w:b/>
          <w:bCs/>
          <w:sz w:val="24"/>
          <w:szCs w:val="24"/>
        </w:rPr>
      </w:pPr>
      <w:r w:rsidRPr="003231F7">
        <w:rPr>
          <w:rFonts w:ascii="Times New Roman" w:hAnsi="Times New Roman" w:cs="Times New Roman"/>
          <w:b/>
          <w:bCs/>
          <w:sz w:val="24"/>
          <w:szCs w:val="24"/>
        </w:rPr>
        <w:t>Comprehensive Analysis of the Google Headquarters Project at King's Cross</w:t>
      </w:r>
    </w:p>
    <w:p w14:paraId="44908B6D" w14:textId="77777777" w:rsidR="003231F7" w:rsidRDefault="003231F7" w:rsidP="003231F7">
      <w:pPr>
        <w:spacing w:line="480" w:lineRule="auto"/>
        <w:contextualSpacing/>
        <w:jc w:val="center"/>
        <w:rPr>
          <w:rFonts w:ascii="Times New Roman" w:hAnsi="Times New Roman" w:cs="Times New Roman"/>
          <w:sz w:val="24"/>
          <w:szCs w:val="24"/>
        </w:rPr>
      </w:pPr>
    </w:p>
    <w:p w14:paraId="57EE8A6B" w14:textId="725BBDE2" w:rsidR="00A33A1B" w:rsidRPr="003231F7" w:rsidRDefault="00A33A1B" w:rsidP="003231F7">
      <w:pPr>
        <w:spacing w:line="480" w:lineRule="auto"/>
        <w:contextualSpacing/>
        <w:jc w:val="center"/>
        <w:rPr>
          <w:rFonts w:ascii="Times New Roman" w:hAnsi="Times New Roman" w:cs="Times New Roman"/>
          <w:sz w:val="24"/>
          <w:szCs w:val="24"/>
        </w:rPr>
      </w:pPr>
      <w:r w:rsidRPr="003231F7">
        <w:rPr>
          <w:rFonts w:ascii="Times New Roman" w:hAnsi="Times New Roman" w:cs="Times New Roman"/>
          <w:sz w:val="24"/>
          <w:szCs w:val="24"/>
        </w:rPr>
        <w:t>Module: Project Management</w:t>
      </w:r>
    </w:p>
    <w:p w14:paraId="3C41B6A6" w14:textId="77777777" w:rsidR="00A33A1B" w:rsidRPr="003231F7" w:rsidRDefault="00A33A1B" w:rsidP="003231F7">
      <w:pPr>
        <w:spacing w:line="480" w:lineRule="auto"/>
        <w:contextualSpacing/>
        <w:jc w:val="center"/>
        <w:rPr>
          <w:rFonts w:ascii="Times New Roman" w:hAnsi="Times New Roman" w:cs="Times New Roman"/>
          <w:sz w:val="24"/>
          <w:szCs w:val="24"/>
        </w:rPr>
      </w:pPr>
      <w:r w:rsidRPr="003231F7">
        <w:rPr>
          <w:rFonts w:ascii="Times New Roman" w:hAnsi="Times New Roman" w:cs="Times New Roman"/>
          <w:sz w:val="24"/>
          <w:szCs w:val="24"/>
        </w:rPr>
        <w:t>Module code: LCBB5005</w:t>
      </w:r>
    </w:p>
    <w:p w14:paraId="22BDD334" w14:textId="2A777FDE" w:rsidR="00A33A1B" w:rsidRPr="003231F7" w:rsidRDefault="00A33A1B" w:rsidP="003231F7">
      <w:pPr>
        <w:spacing w:line="480" w:lineRule="auto"/>
        <w:contextualSpacing/>
        <w:jc w:val="center"/>
        <w:rPr>
          <w:rFonts w:ascii="Times New Roman" w:hAnsi="Times New Roman" w:cs="Times New Roman"/>
          <w:sz w:val="24"/>
          <w:szCs w:val="24"/>
        </w:rPr>
      </w:pPr>
      <w:r w:rsidRPr="003231F7">
        <w:rPr>
          <w:rFonts w:ascii="Times New Roman" w:hAnsi="Times New Roman" w:cs="Times New Roman"/>
          <w:sz w:val="24"/>
          <w:szCs w:val="24"/>
        </w:rPr>
        <w:t>Students Name:</w:t>
      </w:r>
      <w:r w:rsidR="008C2BA3">
        <w:rPr>
          <w:rFonts w:ascii="Times New Roman" w:hAnsi="Times New Roman" w:cs="Times New Roman"/>
          <w:sz w:val="24"/>
          <w:szCs w:val="24"/>
        </w:rPr>
        <w:t xml:space="preserve"> Constantin Marian Grigoras</w:t>
      </w:r>
    </w:p>
    <w:p w14:paraId="2A0D043C" w14:textId="41BDD3EA" w:rsidR="00A33A1B" w:rsidRPr="003231F7" w:rsidRDefault="00A33A1B" w:rsidP="003231F7">
      <w:pPr>
        <w:spacing w:line="480" w:lineRule="auto"/>
        <w:contextualSpacing/>
        <w:jc w:val="center"/>
        <w:rPr>
          <w:rFonts w:ascii="Times New Roman" w:hAnsi="Times New Roman" w:cs="Times New Roman"/>
          <w:sz w:val="24"/>
          <w:szCs w:val="24"/>
        </w:rPr>
      </w:pPr>
      <w:r w:rsidRPr="003231F7">
        <w:rPr>
          <w:rFonts w:ascii="Times New Roman" w:hAnsi="Times New Roman" w:cs="Times New Roman"/>
          <w:sz w:val="24"/>
          <w:szCs w:val="24"/>
        </w:rPr>
        <w:t>ID:</w:t>
      </w:r>
      <w:r w:rsidR="008C2BA3">
        <w:rPr>
          <w:rFonts w:ascii="Times New Roman" w:hAnsi="Times New Roman" w:cs="Times New Roman"/>
          <w:sz w:val="24"/>
          <w:szCs w:val="24"/>
        </w:rPr>
        <w:t xml:space="preserve"> 2124074</w:t>
      </w:r>
    </w:p>
    <w:p w14:paraId="50683406" w14:textId="77777777" w:rsidR="00A33A1B" w:rsidRPr="003231F7" w:rsidRDefault="00A33A1B" w:rsidP="003231F7">
      <w:pPr>
        <w:spacing w:line="480" w:lineRule="auto"/>
        <w:contextualSpacing/>
        <w:jc w:val="center"/>
        <w:rPr>
          <w:rFonts w:ascii="Times New Roman" w:hAnsi="Times New Roman" w:cs="Times New Roman"/>
          <w:sz w:val="24"/>
          <w:szCs w:val="24"/>
        </w:rPr>
      </w:pPr>
      <w:r w:rsidRPr="003231F7">
        <w:rPr>
          <w:rFonts w:ascii="Times New Roman" w:hAnsi="Times New Roman" w:cs="Times New Roman"/>
          <w:sz w:val="24"/>
          <w:szCs w:val="24"/>
        </w:rPr>
        <w:t>Date of Submission: 01/12/23</w:t>
      </w:r>
    </w:p>
    <w:p w14:paraId="0A7AF4C6" w14:textId="77777777" w:rsidR="00A33A1B" w:rsidRPr="003231F7" w:rsidRDefault="00A33A1B" w:rsidP="003231F7">
      <w:pPr>
        <w:spacing w:line="360" w:lineRule="auto"/>
        <w:contextualSpacing/>
        <w:jc w:val="center"/>
        <w:rPr>
          <w:rFonts w:ascii="Times New Roman" w:hAnsi="Times New Roman" w:cs="Times New Roman"/>
          <w:b/>
          <w:bCs/>
          <w:sz w:val="24"/>
          <w:szCs w:val="24"/>
        </w:rPr>
      </w:pPr>
    </w:p>
    <w:p w14:paraId="32016D33" w14:textId="77777777" w:rsidR="00A33A1B" w:rsidRPr="003231F7" w:rsidRDefault="00A33A1B" w:rsidP="003231F7">
      <w:pPr>
        <w:spacing w:line="360" w:lineRule="auto"/>
        <w:contextualSpacing/>
        <w:jc w:val="center"/>
        <w:rPr>
          <w:rFonts w:ascii="Times New Roman" w:hAnsi="Times New Roman" w:cs="Times New Roman"/>
          <w:b/>
          <w:bCs/>
          <w:sz w:val="24"/>
          <w:szCs w:val="24"/>
        </w:rPr>
      </w:pPr>
    </w:p>
    <w:p w14:paraId="507046CC" w14:textId="77777777" w:rsidR="00A33A1B" w:rsidRPr="003231F7" w:rsidRDefault="00A33A1B" w:rsidP="003231F7">
      <w:pPr>
        <w:spacing w:line="360" w:lineRule="auto"/>
        <w:contextualSpacing/>
        <w:jc w:val="center"/>
        <w:rPr>
          <w:rFonts w:ascii="Times New Roman" w:hAnsi="Times New Roman" w:cs="Times New Roman"/>
          <w:b/>
          <w:bCs/>
          <w:sz w:val="24"/>
          <w:szCs w:val="24"/>
        </w:rPr>
      </w:pPr>
    </w:p>
    <w:p w14:paraId="767FA881" w14:textId="77777777" w:rsidR="006D0249" w:rsidRPr="003231F7" w:rsidRDefault="006D0249" w:rsidP="003231F7">
      <w:pPr>
        <w:spacing w:line="360" w:lineRule="auto"/>
        <w:contextualSpacing/>
        <w:rPr>
          <w:rFonts w:ascii="Times New Roman" w:hAnsi="Times New Roman" w:cs="Times New Roman"/>
          <w:sz w:val="24"/>
          <w:szCs w:val="24"/>
        </w:rPr>
      </w:pPr>
    </w:p>
    <w:p w14:paraId="629E1322" w14:textId="77777777" w:rsidR="006D0249" w:rsidRPr="003231F7" w:rsidRDefault="006D0249" w:rsidP="003231F7">
      <w:pPr>
        <w:contextualSpacing/>
        <w:rPr>
          <w:rFonts w:ascii="Times New Roman" w:hAnsi="Times New Roman" w:cs="Times New Roman"/>
          <w:sz w:val="24"/>
          <w:szCs w:val="24"/>
        </w:rPr>
      </w:pPr>
    </w:p>
    <w:p w14:paraId="6AC591AB" w14:textId="77777777" w:rsidR="006D0249" w:rsidRPr="003231F7" w:rsidRDefault="006D0249" w:rsidP="003231F7">
      <w:pPr>
        <w:contextualSpacing/>
        <w:rPr>
          <w:rFonts w:ascii="Times New Roman" w:hAnsi="Times New Roman" w:cs="Times New Roman"/>
          <w:sz w:val="24"/>
          <w:szCs w:val="24"/>
        </w:rPr>
      </w:pPr>
    </w:p>
    <w:p w14:paraId="1055C5A2" w14:textId="77777777" w:rsidR="006D0249" w:rsidRPr="003231F7" w:rsidRDefault="006D0249" w:rsidP="003231F7">
      <w:pPr>
        <w:contextualSpacing/>
        <w:rPr>
          <w:rFonts w:ascii="Times New Roman" w:hAnsi="Times New Roman" w:cs="Times New Roman"/>
          <w:sz w:val="24"/>
          <w:szCs w:val="24"/>
        </w:rPr>
      </w:pPr>
    </w:p>
    <w:p w14:paraId="2487C699" w14:textId="7B11045D" w:rsidR="00CA7730" w:rsidRPr="003231F7" w:rsidRDefault="00CA7730" w:rsidP="003231F7">
      <w:pPr>
        <w:contextualSpacing/>
        <w:rPr>
          <w:rFonts w:ascii="Times New Roman" w:hAnsi="Times New Roman" w:cs="Times New Roman"/>
          <w:sz w:val="24"/>
          <w:szCs w:val="24"/>
        </w:rPr>
      </w:pPr>
    </w:p>
    <w:p w14:paraId="56E14D22" w14:textId="77777777" w:rsidR="0075086B" w:rsidRPr="003231F7" w:rsidRDefault="0075086B" w:rsidP="003231F7">
      <w:pPr>
        <w:contextualSpacing/>
        <w:rPr>
          <w:rFonts w:ascii="Times New Roman" w:hAnsi="Times New Roman" w:cs="Times New Roman"/>
          <w:sz w:val="24"/>
          <w:szCs w:val="24"/>
        </w:rPr>
      </w:pPr>
    </w:p>
    <w:p w14:paraId="38AEB465" w14:textId="77777777" w:rsidR="006D0249" w:rsidRPr="003231F7" w:rsidRDefault="006D0249" w:rsidP="003231F7">
      <w:pPr>
        <w:contextualSpacing/>
        <w:rPr>
          <w:rFonts w:ascii="Times New Roman" w:hAnsi="Times New Roman" w:cs="Times New Roman"/>
          <w:sz w:val="24"/>
          <w:szCs w:val="24"/>
        </w:rPr>
      </w:pPr>
    </w:p>
    <w:p w14:paraId="05E1EB21" w14:textId="77777777" w:rsidR="003231F7" w:rsidRDefault="003231F7" w:rsidP="003231F7">
      <w:pPr>
        <w:contextualSpacing/>
        <w:rPr>
          <w:rFonts w:ascii="Times New Roman" w:hAnsi="Times New Roman" w:cs="Times New Roman"/>
          <w:b/>
          <w:bCs/>
          <w:sz w:val="24"/>
          <w:szCs w:val="24"/>
        </w:rPr>
      </w:pPr>
      <w:r>
        <w:rPr>
          <w:rFonts w:ascii="Times New Roman" w:hAnsi="Times New Roman" w:cs="Times New Roman"/>
          <w:b/>
          <w:bCs/>
          <w:sz w:val="24"/>
          <w:szCs w:val="24"/>
        </w:rPr>
        <w:br w:type="page"/>
      </w:r>
    </w:p>
    <w:p w14:paraId="7EB01042" w14:textId="261B719A" w:rsidR="00B607B6" w:rsidRPr="003231F7" w:rsidRDefault="00B607B6" w:rsidP="003231F7">
      <w:pPr>
        <w:contextualSpacing/>
        <w:rPr>
          <w:rFonts w:ascii="Times New Roman" w:hAnsi="Times New Roman" w:cs="Times New Roman"/>
          <w:b/>
          <w:bCs/>
          <w:sz w:val="24"/>
          <w:szCs w:val="24"/>
        </w:rPr>
      </w:pPr>
      <w:r w:rsidRPr="003231F7">
        <w:rPr>
          <w:rFonts w:ascii="Times New Roman" w:hAnsi="Times New Roman" w:cs="Times New Roman"/>
          <w:b/>
          <w:bCs/>
          <w:sz w:val="24"/>
          <w:szCs w:val="24"/>
        </w:rPr>
        <w:lastRenderedPageBreak/>
        <w:t xml:space="preserve">Introduction </w:t>
      </w:r>
    </w:p>
    <w:p w14:paraId="50D530B3" w14:textId="6D0D9118" w:rsidR="0075086B" w:rsidRDefault="00334569" w:rsidP="003231F7">
      <w:pPr>
        <w:pStyle w:val="NormalWeb"/>
        <w:spacing w:before="0" w:beforeAutospacing="0" w:after="0" w:afterAutospacing="0" w:line="480" w:lineRule="auto"/>
        <w:ind w:firstLine="720"/>
        <w:contextualSpacing/>
        <w:jc w:val="both"/>
        <w:rPr>
          <w:color w:val="0E101A"/>
        </w:rPr>
      </w:pPr>
      <w:r w:rsidRPr="003231F7">
        <w:rPr>
          <w:color w:val="0E101A"/>
        </w:rPr>
        <w:t xml:space="preserve">The Google Headquarters Project in London is a groundbreaking venture with a one-billion-dollar budget, signaling Google's foray into owning and designing a building outside the United States. This architectural marvel, situated adjacent to King's Cross Station, spans over 60,400 sqm and holds strategic importance not only for its innovative design but also as a cornerstone in Google's expansion strategy, significantly contributing to the Knowledge Quarter and King's Cross's burgeoning knowledge-based economy. This assessment comprehensively reviews critical elements within the project plan, focusing on budget, time, quality, stakeholders, and risk factors. The project overview highlights the collaboration of BDP, Heatherwick Studio, and Bjarke Ingels Group in designing a cutting-edge headquarters that will accommodate up to </w:t>
      </w:r>
      <w:r w:rsidR="00663647" w:rsidRPr="003231F7">
        <w:rPr>
          <w:color w:val="0E101A"/>
        </w:rPr>
        <w:t>4,500</w:t>
      </w:r>
      <w:r w:rsidRPr="003231F7">
        <w:rPr>
          <w:color w:val="0E101A"/>
        </w:rPr>
        <w:t xml:space="preserve"> Google employees, marking Google's first wholly owned and designed building outside the U.S. As we delve into the project plan review, we meticulously examine budget components, emphasizing the importance of construction costs, design services, sustainability measures, stakeholder engagement, government approvals, and a contingency fund. The subsequent sections delve into the critical aspects of time management, ensuring the project aligns with established timelines and milestones. Quality control measures are scrutinized to safeguard against compromises in project deliverables. Stakeholder analysis identifies vital players, emphasizing effective communication and collaboration. The assessment further explores potential risks. Lastly, a progress review provides insights into the current project status, and critical success and failure factors shed light on crucial contributors and potential pitfalls. This comprehensive assessment aims to provide valuable insights for effective project management and successful completion of the Google Headquarters Project at King's Cross</w:t>
      </w:r>
      <w:r w:rsidR="006D0249" w:rsidRPr="003231F7">
        <w:rPr>
          <w:color w:val="0E101A"/>
        </w:rPr>
        <w:t>.</w:t>
      </w:r>
    </w:p>
    <w:p w14:paraId="2FBBB6FF" w14:textId="77777777" w:rsidR="008C2BA3" w:rsidRPr="003231F7" w:rsidRDefault="008C2BA3" w:rsidP="003231F7">
      <w:pPr>
        <w:pStyle w:val="NormalWeb"/>
        <w:spacing w:before="0" w:beforeAutospacing="0" w:after="0" w:afterAutospacing="0" w:line="480" w:lineRule="auto"/>
        <w:ind w:firstLine="720"/>
        <w:contextualSpacing/>
        <w:jc w:val="both"/>
        <w:rPr>
          <w:color w:val="0E101A"/>
        </w:rPr>
      </w:pPr>
    </w:p>
    <w:p w14:paraId="4BA25462" w14:textId="77777777" w:rsidR="006D0249" w:rsidRPr="003231F7" w:rsidRDefault="006D0249" w:rsidP="003231F7">
      <w:pPr>
        <w:contextualSpacing/>
        <w:rPr>
          <w:rFonts w:ascii="Times New Roman" w:hAnsi="Times New Roman" w:cs="Times New Roman"/>
          <w:sz w:val="24"/>
          <w:szCs w:val="24"/>
        </w:rPr>
      </w:pPr>
    </w:p>
    <w:p w14:paraId="3A6F10C0" w14:textId="5CC577CE" w:rsidR="00667C07" w:rsidRDefault="00667C07" w:rsidP="003231F7">
      <w:pPr>
        <w:contextualSpacing/>
        <w:jc w:val="center"/>
        <w:rPr>
          <w:rFonts w:ascii="Times New Roman" w:hAnsi="Times New Roman" w:cs="Times New Roman"/>
          <w:b/>
          <w:bCs/>
          <w:sz w:val="24"/>
          <w:szCs w:val="24"/>
        </w:rPr>
      </w:pPr>
      <w:r w:rsidRPr="003231F7">
        <w:rPr>
          <w:rFonts w:ascii="Times New Roman" w:hAnsi="Times New Roman" w:cs="Times New Roman"/>
          <w:b/>
          <w:bCs/>
          <w:sz w:val="24"/>
          <w:szCs w:val="24"/>
        </w:rPr>
        <w:lastRenderedPageBreak/>
        <w:t xml:space="preserve">Main </w:t>
      </w:r>
      <w:r w:rsidR="00B607B6" w:rsidRPr="003231F7">
        <w:rPr>
          <w:rFonts w:ascii="Times New Roman" w:hAnsi="Times New Roman" w:cs="Times New Roman"/>
          <w:b/>
          <w:bCs/>
          <w:sz w:val="24"/>
          <w:szCs w:val="24"/>
        </w:rPr>
        <w:t>Body</w:t>
      </w:r>
    </w:p>
    <w:p w14:paraId="54A67E4B" w14:textId="77777777" w:rsidR="00FB5FAE" w:rsidRPr="003231F7" w:rsidRDefault="00FB5FAE" w:rsidP="003231F7">
      <w:pPr>
        <w:contextualSpacing/>
        <w:jc w:val="center"/>
        <w:rPr>
          <w:rFonts w:ascii="Times New Roman" w:hAnsi="Times New Roman" w:cs="Times New Roman"/>
          <w:b/>
          <w:bCs/>
          <w:sz w:val="24"/>
          <w:szCs w:val="24"/>
        </w:rPr>
      </w:pPr>
    </w:p>
    <w:p w14:paraId="6CEE59DE" w14:textId="2CAB97DB" w:rsidR="004F0EF6" w:rsidRPr="003231F7" w:rsidRDefault="00B607B6" w:rsidP="003231F7">
      <w:pPr>
        <w:contextualSpacing/>
        <w:rPr>
          <w:rFonts w:ascii="Times New Roman" w:hAnsi="Times New Roman" w:cs="Times New Roman"/>
          <w:b/>
          <w:bCs/>
          <w:sz w:val="24"/>
          <w:szCs w:val="24"/>
        </w:rPr>
      </w:pPr>
      <w:r w:rsidRPr="003231F7">
        <w:rPr>
          <w:rFonts w:ascii="Times New Roman" w:hAnsi="Times New Roman" w:cs="Times New Roman"/>
          <w:b/>
          <w:bCs/>
          <w:sz w:val="24"/>
          <w:szCs w:val="24"/>
        </w:rPr>
        <w:t>Project Overview</w:t>
      </w:r>
    </w:p>
    <w:p w14:paraId="0D73C668" w14:textId="77777777" w:rsidR="00E83ECA" w:rsidRDefault="00D26D07" w:rsidP="003231F7">
      <w:pPr>
        <w:pStyle w:val="NormalWeb"/>
        <w:spacing w:after="0" w:line="480" w:lineRule="auto"/>
        <w:ind w:firstLine="720"/>
        <w:contextualSpacing/>
        <w:jc w:val="both"/>
        <w:rPr>
          <w:color w:val="0E101A"/>
        </w:rPr>
      </w:pPr>
      <w:r w:rsidRPr="003231F7">
        <w:rPr>
          <w:color w:val="0E101A"/>
        </w:rPr>
        <w:t xml:space="preserve">BDP is the lead consultant and design delivery architect for Google's new UK headquarters in London, alongside contributing concept architects Heatherwick Studio and Bjarke Ingels Group (BIG). This site, located near Kings Cross Station, covers 60,400 square meters of office space across 11 </w:t>
      </w:r>
      <w:proofErr w:type="spellStart"/>
      <w:r w:rsidRPr="003231F7">
        <w:rPr>
          <w:color w:val="0E101A"/>
        </w:rPr>
        <w:t>storeys</w:t>
      </w:r>
      <w:proofErr w:type="spellEnd"/>
      <w:r w:rsidRPr="003231F7">
        <w:rPr>
          <w:color w:val="0E101A"/>
        </w:rPr>
        <w:t xml:space="preserve"> - with enough room to house up to 4500 people. In addition, there will be amenities, including retail stores at ground floor level and cafes, a gymnasium, indoor multi-use games area facilities, and an outdoor running track on the roof. The project aims to achieve at least BREEAM "Excellent" and LEED "Gold," with the possibility of reaching "Outstanding" and "Platinum," respectively. It incorporates both active and passive environmental design elements. This new structure will form part of a Google campus that might house 7,000 Google employees, together with the company's current facility at 6 Pancras Square and a third building. Constructed from the ground up, the new building will support the expanding knowledge-based economy in King's Cross and the Knowledge Quarter</w:t>
      </w:r>
      <w:r w:rsidR="00663647" w:rsidRPr="003231F7">
        <w:rPr>
          <w:color w:val="0E101A"/>
        </w:rPr>
        <w:t xml:space="preserve"> </w:t>
      </w:r>
      <w:r w:rsidR="00663647" w:rsidRPr="003231F7">
        <w:t>(BDP, 2023)</w:t>
      </w:r>
      <w:r w:rsidRPr="003231F7">
        <w:rPr>
          <w:color w:val="0E101A"/>
        </w:rPr>
        <w:t>.</w:t>
      </w:r>
    </w:p>
    <w:p w14:paraId="6A60E202" w14:textId="77777777" w:rsidR="00FB5FAE" w:rsidRPr="003231F7" w:rsidRDefault="00FB5FAE" w:rsidP="003231F7">
      <w:pPr>
        <w:pStyle w:val="NormalWeb"/>
        <w:spacing w:after="0" w:line="480" w:lineRule="auto"/>
        <w:ind w:firstLine="720"/>
        <w:contextualSpacing/>
        <w:jc w:val="both"/>
        <w:rPr>
          <w:color w:val="0E101A"/>
        </w:rPr>
      </w:pPr>
    </w:p>
    <w:p w14:paraId="006C7FC4" w14:textId="614BF8DE" w:rsidR="00E83ECA" w:rsidRPr="003231F7" w:rsidRDefault="00B607B6" w:rsidP="003231F7">
      <w:pPr>
        <w:pStyle w:val="NormalWeb"/>
        <w:spacing w:after="0" w:line="360" w:lineRule="auto"/>
        <w:contextualSpacing/>
        <w:jc w:val="center"/>
        <w:rPr>
          <w:b/>
          <w:bCs/>
          <w:color w:val="0E101A"/>
        </w:rPr>
      </w:pPr>
      <w:r w:rsidRPr="003231F7">
        <w:rPr>
          <w:b/>
          <w:bCs/>
          <w:color w:val="0E101A"/>
        </w:rPr>
        <w:t>Project Plan Review</w:t>
      </w:r>
    </w:p>
    <w:p w14:paraId="6ACE6E95" w14:textId="3FC19126" w:rsidR="00B607B6" w:rsidRPr="003231F7" w:rsidRDefault="00B607B6" w:rsidP="003231F7">
      <w:pPr>
        <w:pStyle w:val="NormalWeb"/>
        <w:numPr>
          <w:ilvl w:val="0"/>
          <w:numId w:val="16"/>
        </w:numPr>
        <w:spacing w:after="0" w:line="360" w:lineRule="auto"/>
        <w:contextualSpacing/>
        <w:jc w:val="both"/>
        <w:rPr>
          <w:color w:val="0E101A"/>
        </w:rPr>
      </w:pPr>
      <w:r w:rsidRPr="003231F7">
        <w:rPr>
          <w:rStyle w:val="Strong"/>
          <w:rFonts w:eastAsiaTheme="majorEastAsia"/>
          <w:color w:val="0E101A"/>
        </w:rPr>
        <w:t>Budget</w:t>
      </w:r>
    </w:p>
    <w:p w14:paraId="2EF3352F" w14:textId="3E4BFB36" w:rsidR="00542EE6" w:rsidRDefault="00B607B6" w:rsidP="003231F7">
      <w:pPr>
        <w:pStyle w:val="NormalWeb"/>
        <w:spacing w:before="0" w:beforeAutospacing="0" w:after="0" w:afterAutospacing="0" w:line="360" w:lineRule="auto"/>
        <w:ind w:firstLine="360"/>
        <w:contextualSpacing/>
        <w:jc w:val="both"/>
        <w:rPr>
          <w:color w:val="0E101A"/>
        </w:rPr>
      </w:pPr>
      <w:r w:rsidRPr="003231F7">
        <w:rPr>
          <w:color w:val="0E101A"/>
        </w:rPr>
        <w:t>The financial backbone of the project requires meticulous examination. An analysis of budgetary allocation and associated risks is imperative to ensure financial feasibility</w:t>
      </w:r>
      <w:r w:rsidR="00067216" w:rsidRPr="003231F7">
        <w:rPr>
          <w:color w:val="0E101A"/>
        </w:rPr>
        <w:t>. The estimated cost of the project was 1 billion Pounds.</w:t>
      </w:r>
    </w:p>
    <w:p w14:paraId="568222A3" w14:textId="77777777" w:rsidR="00FB5FAE" w:rsidRPr="003231F7" w:rsidRDefault="00FB5FAE" w:rsidP="003231F7">
      <w:pPr>
        <w:pStyle w:val="NormalWeb"/>
        <w:spacing w:before="0" w:beforeAutospacing="0" w:after="0" w:afterAutospacing="0" w:line="360" w:lineRule="auto"/>
        <w:ind w:firstLine="360"/>
        <w:contextualSpacing/>
        <w:jc w:val="both"/>
        <w:rPr>
          <w:color w:val="0E101A"/>
        </w:rPr>
      </w:pPr>
    </w:p>
    <w:p w14:paraId="3FE2443A" w14:textId="77ADCADA" w:rsidR="00542EE6" w:rsidRPr="003231F7" w:rsidRDefault="00542EE6" w:rsidP="003231F7">
      <w:pPr>
        <w:contextualSpacing/>
        <w:rPr>
          <w:rFonts w:ascii="Times New Roman" w:hAnsi="Times New Roman" w:cs="Times New Roman"/>
          <w:b/>
          <w:bCs/>
          <w:sz w:val="24"/>
          <w:szCs w:val="24"/>
        </w:rPr>
      </w:pPr>
      <w:r w:rsidRPr="003231F7">
        <w:rPr>
          <w:rFonts w:ascii="Times New Roman" w:hAnsi="Times New Roman" w:cs="Times New Roman"/>
          <w:b/>
          <w:bCs/>
          <w:sz w:val="24"/>
          <w:szCs w:val="24"/>
        </w:rPr>
        <w:t>Key Budget Components</w:t>
      </w:r>
    </w:p>
    <w:p w14:paraId="4863A302" w14:textId="60CBC0EC" w:rsidR="00542EE6" w:rsidRDefault="00542EE6" w:rsidP="003231F7">
      <w:pPr>
        <w:spacing w:line="360" w:lineRule="auto"/>
        <w:contextualSpacing/>
        <w:jc w:val="both"/>
        <w:rPr>
          <w:rFonts w:ascii="Times New Roman" w:hAnsi="Times New Roman" w:cs="Times New Roman"/>
          <w:sz w:val="24"/>
          <w:szCs w:val="24"/>
        </w:rPr>
      </w:pPr>
      <w:r w:rsidRPr="003231F7">
        <w:rPr>
          <w:rStyle w:val="Strong"/>
          <w:rFonts w:ascii="Times New Roman" w:hAnsi="Times New Roman" w:cs="Times New Roman"/>
          <w:i/>
          <w:iCs/>
          <w:color w:val="0E101A"/>
          <w:sz w:val="24"/>
          <w:szCs w:val="24"/>
        </w:rPr>
        <w:t>Construction Costs</w:t>
      </w:r>
      <w:r w:rsidR="003231F7">
        <w:rPr>
          <w:rFonts w:ascii="Times New Roman" w:hAnsi="Times New Roman" w:cs="Times New Roman"/>
          <w:sz w:val="24"/>
          <w:szCs w:val="24"/>
        </w:rPr>
        <w:t xml:space="preserve">: </w:t>
      </w:r>
      <w:r w:rsidR="006D7129" w:rsidRPr="003231F7">
        <w:rPr>
          <w:rStyle w:val="Emphasis"/>
          <w:rFonts w:ascii="Times New Roman" w:eastAsiaTheme="majorEastAsia" w:hAnsi="Times New Roman" w:cs="Times New Roman"/>
          <w:i w:val="0"/>
          <w:iCs w:val="0"/>
          <w:color w:val="0E101A"/>
          <w:sz w:val="24"/>
          <w:szCs w:val="24"/>
        </w:rPr>
        <w:t>These include building materials, labor, equipment, and construction management expenses. This is a dominant component. Deviations can significantly impact the overall budget</w:t>
      </w:r>
      <w:r w:rsidRPr="003231F7">
        <w:rPr>
          <w:rFonts w:ascii="Times New Roman" w:hAnsi="Times New Roman" w:cs="Times New Roman"/>
          <w:sz w:val="24"/>
          <w:szCs w:val="24"/>
        </w:rPr>
        <w:t>.</w:t>
      </w:r>
    </w:p>
    <w:p w14:paraId="5FEE4ACA" w14:textId="77777777" w:rsidR="00FB5FAE" w:rsidRPr="003231F7" w:rsidRDefault="00FB5FAE" w:rsidP="003231F7">
      <w:pPr>
        <w:spacing w:line="360" w:lineRule="auto"/>
        <w:contextualSpacing/>
        <w:jc w:val="both"/>
        <w:rPr>
          <w:rFonts w:ascii="Times New Roman" w:hAnsi="Times New Roman" w:cs="Times New Roman"/>
          <w:sz w:val="24"/>
          <w:szCs w:val="24"/>
        </w:rPr>
      </w:pPr>
    </w:p>
    <w:p w14:paraId="1E58B267" w14:textId="15237800" w:rsidR="006D7129" w:rsidRPr="003231F7" w:rsidRDefault="00542EE6" w:rsidP="003231F7">
      <w:pPr>
        <w:spacing w:line="360" w:lineRule="auto"/>
        <w:contextualSpacing/>
        <w:jc w:val="both"/>
        <w:rPr>
          <w:rStyle w:val="Emphasis"/>
          <w:rFonts w:ascii="Times New Roman" w:hAnsi="Times New Roman" w:cs="Times New Roman"/>
          <w:i w:val="0"/>
          <w:iCs w:val="0"/>
          <w:sz w:val="24"/>
          <w:szCs w:val="24"/>
        </w:rPr>
      </w:pPr>
      <w:r w:rsidRPr="003231F7">
        <w:rPr>
          <w:rStyle w:val="Strong"/>
          <w:rFonts w:ascii="Times New Roman" w:hAnsi="Times New Roman" w:cs="Times New Roman"/>
          <w:i/>
          <w:iCs/>
          <w:color w:val="0E101A"/>
          <w:sz w:val="24"/>
          <w:szCs w:val="24"/>
        </w:rPr>
        <w:lastRenderedPageBreak/>
        <w:t>Design and Architectural Services (BDP, Heatherwick Studio, Bjarke Ingels Group)</w:t>
      </w:r>
      <w:r w:rsidR="003231F7" w:rsidRPr="003231F7">
        <w:rPr>
          <w:rStyle w:val="Strong"/>
          <w:rFonts w:ascii="Times New Roman" w:hAnsi="Times New Roman" w:cs="Times New Roman"/>
          <w:i/>
          <w:iCs/>
          <w:color w:val="0E101A"/>
          <w:sz w:val="24"/>
          <w:szCs w:val="24"/>
        </w:rPr>
        <w:t>:</w:t>
      </w:r>
      <w:r w:rsidR="003231F7">
        <w:rPr>
          <w:rStyle w:val="Strong"/>
          <w:rFonts w:ascii="Times New Roman" w:hAnsi="Times New Roman" w:cs="Times New Roman"/>
          <w:color w:val="0E101A"/>
          <w:sz w:val="24"/>
          <w:szCs w:val="24"/>
        </w:rPr>
        <w:t xml:space="preserve"> </w:t>
      </w:r>
      <w:r w:rsidR="006D7129" w:rsidRPr="003231F7">
        <w:rPr>
          <w:rStyle w:val="Emphasis"/>
          <w:rFonts w:ascii="Times New Roman" w:eastAsiaTheme="majorEastAsia" w:hAnsi="Times New Roman" w:cs="Times New Roman"/>
          <w:i w:val="0"/>
          <w:iCs w:val="0"/>
          <w:color w:val="0E101A"/>
          <w:sz w:val="24"/>
          <w:szCs w:val="24"/>
        </w:rPr>
        <w:t>These are costs associated with design development, architectural services, and consulting fees. They are critical for the project's aesthetic and functional success and should align with the allocated budget.</w:t>
      </w:r>
    </w:p>
    <w:p w14:paraId="62D8DF20" w14:textId="240682C4" w:rsidR="00542EE6" w:rsidRPr="003231F7" w:rsidRDefault="00542EE6" w:rsidP="003231F7">
      <w:pPr>
        <w:spacing w:line="360" w:lineRule="auto"/>
        <w:contextualSpacing/>
        <w:jc w:val="both"/>
        <w:rPr>
          <w:rFonts w:ascii="Times New Roman" w:hAnsi="Times New Roman" w:cs="Times New Roman"/>
          <w:sz w:val="24"/>
          <w:szCs w:val="24"/>
        </w:rPr>
      </w:pPr>
      <w:r w:rsidRPr="003231F7">
        <w:rPr>
          <w:rStyle w:val="Strong"/>
          <w:rFonts w:ascii="Times New Roman" w:hAnsi="Times New Roman" w:cs="Times New Roman"/>
          <w:i/>
          <w:iCs/>
          <w:color w:val="0E101A"/>
          <w:sz w:val="24"/>
          <w:szCs w:val="24"/>
        </w:rPr>
        <w:t>Environmental Sustainability Measures:</w:t>
      </w:r>
      <w:r w:rsidR="003231F7">
        <w:rPr>
          <w:rStyle w:val="Strong"/>
          <w:rFonts w:ascii="Times New Roman" w:hAnsi="Times New Roman" w:cs="Times New Roman"/>
          <w:color w:val="0E101A"/>
          <w:sz w:val="24"/>
          <w:szCs w:val="24"/>
        </w:rPr>
        <w:t xml:space="preserve"> </w:t>
      </w:r>
      <w:r w:rsidR="006D7129" w:rsidRPr="003231F7">
        <w:rPr>
          <w:rStyle w:val="Emphasis"/>
          <w:rFonts w:ascii="Times New Roman" w:eastAsiaTheme="majorEastAsia" w:hAnsi="Times New Roman" w:cs="Times New Roman"/>
          <w:i w:val="0"/>
          <w:iCs w:val="0"/>
          <w:color w:val="0E101A"/>
          <w:sz w:val="24"/>
          <w:szCs w:val="24"/>
        </w:rPr>
        <w:t xml:space="preserve">These include </w:t>
      </w:r>
      <w:r w:rsidR="003231F7">
        <w:rPr>
          <w:rStyle w:val="Emphasis"/>
          <w:rFonts w:ascii="Times New Roman" w:eastAsiaTheme="majorEastAsia" w:hAnsi="Times New Roman" w:cs="Times New Roman"/>
          <w:i w:val="0"/>
          <w:iCs w:val="0"/>
          <w:color w:val="0E101A"/>
          <w:sz w:val="24"/>
          <w:szCs w:val="24"/>
        </w:rPr>
        <w:t>i</w:t>
      </w:r>
      <w:r w:rsidR="006D7129" w:rsidRPr="003231F7">
        <w:rPr>
          <w:rStyle w:val="Emphasis"/>
          <w:rFonts w:ascii="Times New Roman" w:eastAsiaTheme="majorEastAsia" w:hAnsi="Times New Roman" w:cs="Times New Roman"/>
          <w:i w:val="0"/>
          <w:iCs w:val="0"/>
          <w:color w:val="0E101A"/>
          <w:sz w:val="24"/>
          <w:szCs w:val="24"/>
        </w:rPr>
        <w:t>nvestments in sustainable technologies, green building practices, and certifications (for instance, BREEAM and LEED). This Aligns with Google's commitment to sustainability</w:t>
      </w:r>
      <w:r w:rsidR="00316C35" w:rsidRPr="003231F7">
        <w:rPr>
          <w:rStyle w:val="Emphasis"/>
          <w:rFonts w:ascii="Times New Roman" w:eastAsiaTheme="majorEastAsia" w:hAnsi="Times New Roman" w:cs="Times New Roman"/>
          <w:i w:val="0"/>
          <w:iCs w:val="0"/>
          <w:color w:val="0E101A"/>
          <w:sz w:val="24"/>
          <w:szCs w:val="24"/>
        </w:rPr>
        <w:t xml:space="preserve"> </w:t>
      </w:r>
      <w:r w:rsidR="00316C35" w:rsidRPr="003231F7">
        <w:rPr>
          <w:rFonts w:ascii="Times New Roman" w:hAnsi="Times New Roman" w:cs="Times New Roman"/>
          <w:sz w:val="24"/>
          <w:szCs w:val="24"/>
        </w:rPr>
        <w:t>(Google, 2023)</w:t>
      </w:r>
      <w:r w:rsidR="006D7129" w:rsidRPr="003231F7">
        <w:rPr>
          <w:rStyle w:val="Emphasis"/>
          <w:rFonts w:ascii="Times New Roman" w:eastAsiaTheme="majorEastAsia" w:hAnsi="Times New Roman" w:cs="Times New Roman"/>
          <w:i w:val="0"/>
          <w:iCs w:val="0"/>
          <w:color w:val="0E101A"/>
          <w:sz w:val="24"/>
          <w:szCs w:val="24"/>
        </w:rPr>
        <w:t>, which may lead to potential long-term cost savings</w:t>
      </w:r>
      <w:r w:rsidRPr="003231F7">
        <w:rPr>
          <w:rFonts w:ascii="Times New Roman" w:hAnsi="Times New Roman" w:cs="Times New Roman"/>
          <w:sz w:val="24"/>
          <w:szCs w:val="24"/>
        </w:rPr>
        <w:t>.</w:t>
      </w:r>
    </w:p>
    <w:p w14:paraId="2D9BF44B" w14:textId="5151E15B" w:rsidR="00542EE6" w:rsidRPr="003231F7" w:rsidRDefault="00542EE6" w:rsidP="003231F7">
      <w:pPr>
        <w:spacing w:line="360" w:lineRule="auto"/>
        <w:contextualSpacing/>
        <w:jc w:val="both"/>
        <w:rPr>
          <w:rFonts w:ascii="Times New Roman" w:hAnsi="Times New Roman" w:cs="Times New Roman"/>
          <w:sz w:val="24"/>
          <w:szCs w:val="24"/>
        </w:rPr>
      </w:pPr>
      <w:r w:rsidRPr="003231F7">
        <w:rPr>
          <w:rStyle w:val="Strong"/>
          <w:rFonts w:ascii="Times New Roman" w:hAnsi="Times New Roman" w:cs="Times New Roman"/>
          <w:i/>
          <w:iCs/>
          <w:color w:val="0E101A"/>
          <w:sz w:val="24"/>
          <w:szCs w:val="24"/>
        </w:rPr>
        <w:t>Stakeholder Engagement and Community Relations:</w:t>
      </w:r>
      <w:r w:rsidR="003231F7">
        <w:rPr>
          <w:rFonts w:ascii="Times New Roman" w:hAnsi="Times New Roman" w:cs="Times New Roman"/>
          <w:sz w:val="24"/>
          <w:szCs w:val="24"/>
        </w:rPr>
        <w:t xml:space="preserve"> </w:t>
      </w:r>
      <w:r w:rsidR="00316C35" w:rsidRPr="003231F7">
        <w:rPr>
          <w:rFonts w:ascii="Times New Roman" w:hAnsi="Times New Roman" w:cs="Times New Roman"/>
          <w:sz w:val="24"/>
          <w:szCs w:val="24"/>
        </w:rPr>
        <w:t>This is the budget for community outreach, public relations, and engagement initiatives. It ensures positive relations with the local community</w:t>
      </w:r>
      <w:r w:rsidRPr="003231F7">
        <w:rPr>
          <w:rFonts w:ascii="Times New Roman" w:hAnsi="Times New Roman" w:cs="Times New Roman"/>
          <w:sz w:val="24"/>
          <w:szCs w:val="24"/>
        </w:rPr>
        <w:t>.</w:t>
      </w:r>
    </w:p>
    <w:p w14:paraId="000498FD" w14:textId="3042E0BF" w:rsidR="00FB5FAE" w:rsidRPr="003231F7" w:rsidRDefault="00542EE6" w:rsidP="003231F7">
      <w:pPr>
        <w:spacing w:line="360" w:lineRule="auto"/>
        <w:contextualSpacing/>
        <w:jc w:val="both"/>
        <w:rPr>
          <w:rFonts w:ascii="Times New Roman" w:hAnsi="Times New Roman" w:cs="Times New Roman"/>
          <w:sz w:val="24"/>
          <w:szCs w:val="24"/>
        </w:rPr>
      </w:pPr>
      <w:r w:rsidRPr="003231F7">
        <w:rPr>
          <w:rStyle w:val="Strong"/>
          <w:rFonts w:ascii="Times New Roman" w:hAnsi="Times New Roman" w:cs="Times New Roman"/>
          <w:i/>
          <w:iCs/>
          <w:color w:val="0E101A"/>
          <w:sz w:val="24"/>
          <w:szCs w:val="24"/>
        </w:rPr>
        <w:t>Government Approvals and Permits:</w:t>
      </w:r>
      <w:r w:rsidR="003231F7">
        <w:rPr>
          <w:rStyle w:val="Strong"/>
          <w:rFonts w:ascii="Times New Roman" w:hAnsi="Times New Roman" w:cs="Times New Roman"/>
          <w:color w:val="0E101A"/>
          <w:sz w:val="24"/>
          <w:szCs w:val="24"/>
        </w:rPr>
        <w:t xml:space="preserve"> </w:t>
      </w:r>
      <w:r w:rsidR="00316C35" w:rsidRPr="003231F7">
        <w:rPr>
          <w:rFonts w:ascii="Times New Roman" w:hAnsi="Times New Roman" w:cs="Times New Roman"/>
          <w:sz w:val="24"/>
          <w:szCs w:val="24"/>
        </w:rPr>
        <w:t>These are costs associated with obtaining necessary permits, regulatory compliance, and legal consultation. This is critical for project legality and adherence to local regulations.</w:t>
      </w:r>
    </w:p>
    <w:p w14:paraId="56DC6748" w14:textId="1F942F58" w:rsidR="00542EE6" w:rsidRPr="003231F7" w:rsidRDefault="00542EE6" w:rsidP="003231F7">
      <w:pPr>
        <w:spacing w:line="360" w:lineRule="auto"/>
        <w:contextualSpacing/>
        <w:jc w:val="both"/>
        <w:rPr>
          <w:rFonts w:ascii="Times New Roman" w:hAnsi="Times New Roman" w:cs="Times New Roman"/>
          <w:b/>
          <w:bCs/>
          <w:color w:val="0E101A"/>
          <w:sz w:val="24"/>
          <w:szCs w:val="24"/>
        </w:rPr>
      </w:pPr>
      <w:r w:rsidRPr="003231F7">
        <w:rPr>
          <w:rStyle w:val="Strong"/>
          <w:rFonts w:ascii="Times New Roman" w:hAnsi="Times New Roman" w:cs="Times New Roman"/>
          <w:i/>
          <w:iCs/>
          <w:color w:val="0E101A"/>
          <w:sz w:val="24"/>
          <w:szCs w:val="24"/>
        </w:rPr>
        <w:t>Contingency Fund:</w:t>
      </w:r>
      <w:r w:rsidR="003231F7">
        <w:rPr>
          <w:rStyle w:val="Strong"/>
          <w:rFonts w:ascii="Times New Roman" w:hAnsi="Times New Roman" w:cs="Times New Roman"/>
          <w:color w:val="0E101A"/>
          <w:sz w:val="24"/>
          <w:szCs w:val="24"/>
        </w:rPr>
        <w:t xml:space="preserve"> </w:t>
      </w:r>
      <w:r w:rsidR="00316C35" w:rsidRPr="003231F7">
        <w:rPr>
          <w:rFonts w:ascii="Times New Roman" w:hAnsi="Times New Roman" w:cs="Times New Roman"/>
          <w:sz w:val="24"/>
          <w:szCs w:val="24"/>
        </w:rPr>
        <w:t>These are reserved funds for unforeseen challenges, changes in project scope, or unexpected events. This is essential for risk mitigation.</w:t>
      </w:r>
    </w:p>
    <w:p w14:paraId="09CB7AFA" w14:textId="74C4DA98" w:rsidR="00B607B6" w:rsidRPr="003231F7" w:rsidRDefault="00B607B6" w:rsidP="003231F7">
      <w:pPr>
        <w:pStyle w:val="NormalWeb"/>
        <w:numPr>
          <w:ilvl w:val="0"/>
          <w:numId w:val="16"/>
        </w:numPr>
        <w:spacing w:before="0" w:beforeAutospacing="0" w:after="0" w:afterAutospacing="0" w:line="360" w:lineRule="auto"/>
        <w:contextualSpacing/>
        <w:rPr>
          <w:color w:val="0E101A"/>
        </w:rPr>
      </w:pPr>
      <w:r w:rsidRPr="003231F7">
        <w:rPr>
          <w:rStyle w:val="Strong"/>
          <w:rFonts w:eastAsiaTheme="majorEastAsia"/>
          <w:color w:val="0E101A"/>
        </w:rPr>
        <w:t>Time</w:t>
      </w:r>
    </w:p>
    <w:p w14:paraId="54FC02C2" w14:textId="3CDC5BED" w:rsidR="00316C35" w:rsidRDefault="00316C35" w:rsidP="003231F7">
      <w:pPr>
        <w:pStyle w:val="NormalWeb"/>
        <w:spacing w:before="0" w:beforeAutospacing="0" w:after="0" w:afterAutospacing="0" w:line="360" w:lineRule="auto"/>
        <w:ind w:firstLine="360"/>
        <w:contextualSpacing/>
        <w:jc w:val="both"/>
        <w:rPr>
          <w:color w:val="0E101A"/>
        </w:rPr>
      </w:pPr>
      <w:r w:rsidRPr="003231F7">
        <w:rPr>
          <w:color w:val="0E101A"/>
        </w:rPr>
        <w:t>The initiation of the landscraper project took place in 2017, marking a significant milestone in the development of the building</w:t>
      </w:r>
      <w:r w:rsidR="00861873" w:rsidRPr="003231F7">
        <w:rPr>
          <w:color w:val="0E101A"/>
        </w:rPr>
        <w:t xml:space="preserve"> </w:t>
      </w:r>
      <w:r w:rsidR="00861873" w:rsidRPr="003231F7">
        <w:t>(Partridge, 2022)</w:t>
      </w:r>
      <w:r w:rsidRPr="003231F7">
        <w:rPr>
          <w:color w:val="0E101A"/>
        </w:rPr>
        <w:t>. The expected completion time is by 2024</w:t>
      </w:r>
      <w:r w:rsidR="00861873" w:rsidRPr="003231F7">
        <w:rPr>
          <w:color w:val="0E101A"/>
        </w:rPr>
        <w:t xml:space="preserve"> </w:t>
      </w:r>
      <w:r w:rsidR="00861873" w:rsidRPr="003231F7">
        <w:t>(BDP, 2023)</w:t>
      </w:r>
      <w:r w:rsidRPr="003231F7">
        <w:rPr>
          <w:color w:val="0E101A"/>
        </w:rPr>
        <w:t>.</w:t>
      </w:r>
    </w:p>
    <w:p w14:paraId="3B8C8EBB" w14:textId="77777777" w:rsidR="00FB5FAE" w:rsidRPr="003231F7" w:rsidRDefault="00FB5FAE" w:rsidP="003231F7">
      <w:pPr>
        <w:pStyle w:val="NormalWeb"/>
        <w:spacing w:before="0" w:beforeAutospacing="0" w:after="0" w:afterAutospacing="0" w:line="360" w:lineRule="auto"/>
        <w:ind w:firstLine="360"/>
        <w:contextualSpacing/>
        <w:jc w:val="both"/>
        <w:rPr>
          <w:color w:val="0E101A"/>
        </w:rPr>
      </w:pPr>
    </w:p>
    <w:p w14:paraId="221BB63C" w14:textId="77777777" w:rsidR="00861873" w:rsidRPr="003231F7" w:rsidRDefault="00B607B6" w:rsidP="003231F7">
      <w:pPr>
        <w:pStyle w:val="NormalWeb"/>
        <w:numPr>
          <w:ilvl w:val="0"/>
          <w:numId w:val="16"/>
        </w:numPr>
        <w:spacing w:before="0" w:beforeAutospacing="0" w:after="0" w:afterAutospacing="0" w:line="360" w:lineRule="auto"/>
        <w:contextualSpacing/>
        <w:jc w:val="both"/>
        <w:rPr>
          <w:color w:val="0E101A"/>
        </w:rPr>
      </w:pPr>
      <w:r w:rsidRPr="003231F7">
        <w:rPr>
          <w:rStyle w:val="Strong"/>
          <w:rFonts w:eastAsiaTheme="majorEastAsia"/>
          <w:color w:val="0E101A"/>
        </w:rPr>
        <w:t>Quality</w:t>
      </w:r>
    </w:p>
    <w:p w14:paraId="14430F04" w14:textId="77777777" w:rsidR="00861873" w:rsidRDefault="00861873" w:rsidP="003231F7">
      <w:pPr>
        <w:pStyle w:val="NormalWeb"/>
        <w:spacing w:before="0" w:beforeAutospacing="0" w:after="0" w:afterAutospacing="0" w:line="360" w:lineRule="auto"/>
        <w:ind w:firstLine="720"/>
        <w:contextualSpacing/>
        <w:jc w:val="both"/>
        <w:rPr>
          <w:rStyle w:val="Strong"/>
          <w:rFonts w:eastAsiaTheme="majorEastAsia"/>
          <w:b w:val="0"/>
          <w:bCs w:val="0"/>
          <w:color w:val="000000" w:themeColor="text1"/>
        </w:rPr>
      </w:pPr>
      <w:r w:rsidRPr="003231F7">
        <w:rPr>
          <w:rStyle w:val="Strong"/>
          <w:rFonts w:eastAsiaTheme="majorEastAsia"/>
          <w:b w:val="0"/>
          <w:bCs w:val="0"/>
          <w:color w:val="0E101A"/>
        </w:rPr>
        <w:t>Ensuring the highest quality standards throughout the project lifecycle is paramount to meeting Google's expectations and industry norms. The emphasis on quality encompasses various aspects, from the innovative design and construction materials to the final delivery of a sustainable and functional workspace. The commitment to achieving BREEAM 'Excellent' and LEED 'Gold' certifications reflects a dedication to environmental stewardship and user well-being</w:t>
      </w:r>
      <w:r w:rsidR="0086766D" w:rsidRPr="003231F7">
        <w:rPr>
          <w:rStyle w:val="Strong"/>
          <w:rFonts w:eastAsiaTheme="majorEastAsia"/>
          <w:b w:val="0"/>
          <w:bCs w:val="0"/>
          <w:color w:val="000000" w:themeColor="text1"/>
        </w:rPr>
        <w:t>.</w:t>
      </w:r>
    </w:p>
    <w:p w14:paraId="397F1E48" w14:textId="77777777" w:rsidR="00FB5FAE" w:rsidRDefault="00FB5FAE" w:rsidP="003231F7">
      <w:pPr>
        <w:pStyle w:val="NormalWeb"/>
        <w:spacing w:before="0" w:beforeAutospacing="0" w:after="0" w:afterAutospacing="0" w:line="360" w:lineRule="auto"/>
        <w:ind w:firstLine="720"/>
        <w:contextualSpacing/>
        <w:jc w:val="both"/>
        <w:rPr>
          <w:rStyle w:val="Strong"/>
          <w:rFonts w:eastAsiaTheme="majorEastAsia"/>
          <w:b w:val="0"/>
          <w:bCs w:val="0"/>
          <w:color w:val="000000" w:themeColor="text1"/>
        </w:rPr>
      </w:pPr>
    </w:p>
    <w:p w14:paraId="532831D8" w14:textId="77777777" w:rsidR="00FB5FAE" w:rsidRDefault="00FB5FAE" w:rsidP="003231F7">
      <w:pPr>
        <w:pStyle w:val="NormalWeb"/>
        <w:spacing w:before="0" w:beforeAutospacing="0" w:after="0" w:afterAutospacing="0" w:line="360" w:lineRule="auto"/>
        <w:ind w:firstLine="720"/>
        <w:contextualSpacing/>
        <w:jc w:val="both"/>
        <w:rPr>
          <w:rStyle w:val="Strong"/>
          <w:rFonts w:eastAsiaTheme="majorEastAsia"/>
          <w:b w:val="0"/>
          <w:bCs w:val="0"/>
          <w:color w:val="000000" w:themeColor="text1"/>
        </w:rPr>
      </w:pPr>
    </w:p>
    <w:p w14:paraId="15CB6EBA" w14:textId="77777777" w:rsidR="00FB5FAE" w:rsidRDefault="00FB5FAE" w:rsidP="003231F7">
      <w:pPr>
        <w:pStyle w:val="NormalWeb"/>
        <w:spacing w:before="0" w:beforeAutospacing="0" w:after="0" w:afterAutospacing="0" w:line="360" w:lineRule="auto"/>
        <w:ind w:firstLine="720"/>
        <w:contextualSpacing/>
        <w:jc w:val="both"/>
        <w:rPr>
          <w:rStyle w:val="Strong"/>
          <w:rFonts w:eastAsiaTheme="majorEastAsia"/>
          <w:b w:val="0"/>
          <w:bCs w:val="0"/>
          <w:color w:val="000000" w:themeColor="text1"/>
        </w:rPr>
      </w:pPr>
    </w:p>
    <w:p w14:paraId="5DA461FF" w14:textId="77777777" w:rsidR="00FB5FAE" w:rsidRDefault="00FB5FAE" w:rsidP="003231F7">
      <w:pPr>
        <w:pStyle w:val="NormalWeb"/>
        <w:spacing w:before="0" w:beforeAutospacing="0" w:after="0" w:afterAutospacing="0" w:line="360" w:lineRule="auto"/>
        <w:ind w:firstLine="720"/>
        <w:contextualSpacing/>
        <w:jc w:val="both"/>
        <w:rPr>
          <w:rStyle w:val="Strong"/>
          <w:rFonts w:eastAsiaTheme="majorEastAsia"/>
          <w:b w:val="0"/>
          <w:bCs w:val="0"/>
          <w:color w:val="000000" w:themeColor="text1"/>
        </w:rPr>
      </w:pPr>
    </w:p>
    <w:p w14:paraId="5276CA75" w14:textId="77777777" w:rsidR="00FB5FAE" w:rsidRDefault="00FB5FAE" w:rsidP="003231F7">
      <w:pPr>
        <w:pStyle w:val="NormalWeb"/>
        <w:spacing w:before="0" w:beforeAutospacing="0" w:after="0" w:afterAutospacing="0" w:line="360" w:lineRule="auto"/>
        <w:ind w:firstLine="720"/>
        <w:contextualSpacing/>
        <w:jc w:val="both"/>
        <w:rPr>
          <w:rStyle w:val="Strong"/>
          <w:rFonts w:eastAsiaTheme="majorEastAsia"/>
          <w:b w:val="0"/>
          <w:bCs w:val="0"/>
          <w:color w:val="000000" w:themeColor="text1"/>
        </w:rPr>
      </w:pPr>
    </w:p>
    <w:p w14:paraId="1F80BC5E" w14:textId="77777777" w:rsidR="00FB5FAE" w:rsidRDefault="00FB5FAE" w:rsidP="003231F7">
      <w:pPr>
        <w:pStyle w:val="NormalWeb"/>
        <w:spacing w:before="0" w:beforeAutospacing="0" w:after="0" w:afterAutospacing="0" w:line="360" w:lineRule="auto"/>
        <w:ind w:firstLine="720"/>
        <w:contextualSpacing/>
        <w:jc w:val="both"/>
        <w:rPr>
          <w:rStyle w:val="Strong"/>
          <w:rFonts w:eastAsiaTheme="majorEastAsia"/>
          <w:b w:val="0"/>
          <w:bCs w:val="0"/>
          <w:color w:val="000000" w:themeColor="text1"/>
        </w:rPr>
      </w:pPr>
    </w:p>
    <w:p w14:paraId="7BE286C6" w14:textId="77777777" w:rsidR="00FB5FAE" w:rsidRDefault="00FB5FAE" w:rsidP="003231F7">
      <w:pPr>
        <w:pStyle w:val="NormalWeb"/>
        <w:spacing w:before="0" w:beforeAutospacing="0" w:after="0" w:afterAutospacing="0" w:line="360" w:lineRule="auto"/>
        <w:ind w:firstLine="720"/>
        <w:contextualSpacing/>
        <w:jc w:val="both"/>
        <w:rPr>
          <w:rStyle w:val="Strong"/>
          <w:rFonts w:eastAsiaTheme="majorEastAsia"/>
          <w:b w:val="0"/>
          <w:bCs w:val="0"/>
          <w:color w:val="000000" w:themeColor="text1"/>
        </w:rPr>
      </w:pPr>
    </w:p>
    <w:p w14:paraId="4779C36A" w14:textId="77777777" w:rsidR="00FB5FAE" w:rsidRDefault="00FB5FAE" w:rsidP="003231F7">
      <w:pPr>
        <w:pStyle w:val="NormalWeb"/>
        <w:spacing w:before="0" w:beforeAutospacing="0" w:after="0" w:afterAutospacing="0" w:line="360" w:lineRule="auto"/>
        <w:ind w:firstLine="720"/>
        <w:contextualSpacing/>
        <w:jc w:val="both"/>
        <w:rPr>
          <w:rStyle w:val="Strong"/>
          <w:rFonts w:eastAsiaTheme="majorEastAsia"/>
          <w:b w:val="0"/>
          <w:bCs w:val="0"/>
          <w:color w:val="000000" w:themeColor="text1"/>
        </w:rPr>
      </w:pPr>
    </w:p>
    <w:p w14:paraId="3803BA84" w14:textId="77777777" w:rsidR="00FB5FAE" w:rsidRDefault="00FB5FAE" w:rsidP="003231F7">
      <w:pPr>
        <w:pStyle w:val="NormalWeb"/>
        <w:spacing w:before="0" w:beforeAutospacing="0" w:after="0" w:afterAutospacing="0" w:line="360" w:lineRule="auto"/>
        <w:ind w:firstLine="720"/>
        <w:contextualSpacing/>
        <w:jc w:val="both"/>
        <w:rPr>
          <w:rStyle w:val="Strong"/>
          <w:rFonts w:eastAsiaTheme="majorEastAsia"/>
          <w:b w:val="0"/>
          <w:bCs w:val="0"/>
          <w:color w:val="000000" w:themeColor="text1"/>
        </w:rPr>
      </w:pPr>
    </w:p>
    <w:p w14:paraId="4C92C24B" w14:textId="77777777" w:rsidR="00FB5FAE" w:rsidRPr="003231F7" w:rsidRDefault="00FB5FAE" w:rsidP="003231F7">
      <w:pPr>
        <w:pStyle w:val="NormalWeb"/>
        <w:spacing w:before="0" w:beforeAutospacing="0" w:after="0" w:afterAutospacing="0" w:line="360" w:lineRule="auto"/>
        <w:ind w:firstLine="720"/>
        <w:contextualSpacing/>
        <w:jc w:val="both"/>
        <w:rPr>
          <w:rStyle w:val="Strong"/>
          <w:b w:val="0"/>
          <w:bCs w:val="0"/>
          <w:color w:val="0E101A"/>
        </w:rPr>
      </w:pPr>
    </w:p>
    <w:p w14:paraId="09FA208E" w14:textId="7AA48303" w:rsidR="00B607B6" w:rsidRPr="003231F7" w:rsidRDefault="00B607B6" w:rsidP="003231F7">
      <w:pPr>
        <w:pStyle w:val="NormalWeb"/>
        <w:numPr>
          <w:ilvl w:val="0"/>
          <w:numId w:val="16"/>
        </w:numPr>
        <w:spacing w:before="0" w:beforeAutospacing="0" w:after="0" w:afterAutospacing="0" w:line="360" w:lineRule="auto"/>
        <w:contextualSpacing/>
        <w:rPr>
          <w:color w:val="0E101A"/>
        </w:rPr>
      </w:pPr>
      <w:r w:rsidRPr="003231F7">
        <w:rPr>
          <w:rStyle w:val="Strong"/>
          <w:rFonts w:eastAsiaTheme="majorEastAsia"/>
          <w:color w:val="0E101A"/>
        </w:rPr>
        <w:t>Stakeholders</w:t>
      </w:r>
    </w:p>
    <w:p w14:paraId="1EA8ECD5" w14:textId="58CBFCD0" w:rsidR="00542EE6" w:rsidRPr="003231F7" w:rsidRDefault="00542EE6" w:rsidP="003231F7">
      <w:pPr>
        <w:pStyle w:val="NormalWeb"/>
        <w:spacing w:before="0" w:beforeAutospacing="0" w:after="0" w:afterAutospacing="0" w:line="360" w:lineRule="auto"/>
        <w:ind w:firstLine="720"/>
        <w:contextualSpacing/>
        <w:jc w:val="both"/>
        <w:rPr>
          <w:color w:val="0E101A"/>
        </w:rPr>
      </w:pPr>
      <w:r w:rsidRPr="003231F7">
        <w:rPr>
          <w:color w:val="0E101A"/>
        </w:rPr>
        <w:t>Stakeholder engagement is integral to the success of the Google Headquarters Project at King's Cross. Th</w:t>
      </w:r>
      <w:r w:rsidR="00FD22AF" w:rsidRPr="003231F7">
        <w:rPr>
          <w:color w:val="0E101A"/>
        </w:rPr>
        <w:t>e following diagram represents the stakeholders Matrix</w:t>
      </w:r>
    </w:p>
    <w:p w14:paraId="6C3505DD" w14:textId="63840EFA" w:rsidR="00542EE6" w:rsidRPr="003231F7" w:rsidRDefault="00542EE6" w:rsidP="003231F7">
      <w:pPr>
        <w:pStyle w:val="NormalWeb"/>
        <w:spacing w:before="0" w:beforeAutospacing="0" w:after="0" w:afterAutospacing="0"/>
        <w:contextualSpacing/>
        <w:rPr>
          <w:rStyle w:val="Strong"/>
          <w:rFonts w:eastAsiaTheme="majorEastAsia"/>
          <w:color w:val="0E101A"/>
        </w:rPr>
      </w:pPr>
    </w:p>
    <w:tbl>
      <w:tblPr>
        <w:tblStyle w:val="TableGrid"/>
        <w:tblW w:w="10255" w:type="dxa"/>
        <w:tblLook w:val="04A0" w:firstRow="1" w:lastRow="0" w:firstColumn="1" w:lastColumn="0" w:noHBand="0" w:noVBand="1"/>
      </w:tblPr>
      <w:tblGrid>
        <w:gridCol w:w="1885"/>
        <w:gridCol w:w="2789"/>
        <w:gridCol w:w="2338"/>
        <w:gridCol w:w="3243"/>
      </w:tblGrid>
      <w:tr w:rsidR="00D61B1B" w:rsidRPr="003231F7" w14:paraId="76C99304" w14:textId="77777777" w:rsidTr="003231F7">
        <w:tc>
          <w:tcPr>
            <w:tcW w:w="1885" w:type="dxa"/>
          </w:tcPr>
          <w:p w14:paraId="1A86918E" w14:textId="5DC9F1B6" w:rsidR="00D61B1B" w:rsidRPr="003231F7" w:rsidRDefault="00D61B1B" w:rsidP="003231F7">
            <w:pPr>
              <w:contextualSpacing/>
              <w:rPr>
                <w:rStyle w:val="Strong"/>
                <w:rFonts w:ascii="Times New Roman" w:hAnsi="Times New Roman" w:cs="Times New Roman"/>
                <w:color w:val="000000" w:themeColor="text1"/>
                <w:sz w:val="24"/>
                <w:szCs w:val="24"/>
              </w:rPr>
            </w:pPr>
            <w:r w:rsidRPr="003231F7">
              <w:rPr>
                <w:rStyle w:val="Strong"/>
                <w:rFonts w:ascii="Times New Roman" w:hAnsi="Times New Roman" w:cs="Times New Roman"/>
                <w:color w:val="000000" w:themeColor="text1"/>
                <w:sz w:val="24"/>
                <w:szCs w:val="24"/>
              </w:rPr>
              <w:t>Stakeholder</w:t>
            </w:r>
          </w:p>
        </w:tc>
        <w:tc>
          <w:tcPr>
            <w:tcW w:w="2789" w:type="dxa"/>
          </w:tcPr>
          <w:p w14:paraId="378AB4E1" w14:textId="187C6FE2" w:rsidR="00D61B1B" w:rsidRPr="003231F7" w:rsidRDefault="00D61B1B" w:rsidP="003231F7">
            <w:pPr>
              <w:contextualSpacing/>
              <w:rPr>
                <w:rFonts w:ascii="Times New Roman" w:hAnsi="Times New Roman" w:cs="Times New Roman"/>
                <w:b/>
                <w:bCs/>
                <w:color w:val="000000" w:themeColor="text1"/>
                <w:sz w:val="24"/>
                <w:szCs w:val="24"/>
              </w:rPr>
            </w:pPr>
            <w:r w:rsidRPr="003231F7">
              <w:rPr>
                <w:rFonts w:ascii="Times New Roman" w:hAnsi="Times New Roman" w:cs="Times New Roman"/>
                <w:b/>
                <w:bCs/>
                <w:color w:val="000000" w:themeColor="text1"/>
                <w:sz w:val="24"/>
                <w:szCs w:val="24"/>
              </w:rPr>
              <w:t>Interest</w:t>
            </w:r>
          </w:p>
        </w:tc>
        <w:tc>
          <w:tcPr>
            <w:tcW w:w="2338" w:type="dxa"/>
          </w:tcPr>
          <w:p w14:paraId="5F49E05F" w14:textId="1D0B5023" w:rsidR="00D61B1B" w:rsidRPr="003231F7" w:rsidRDefault="00D61B1B" w:rsidP="003231F7">
            <w:pPr>
              <w:pStyle w:val="NormalWeb"/>
              <w:spacing w:before="0" w:beforeAutospacing="0" w:after="0" w:afterAutospacing="0"/>
              <w:contextualSpacing/>
              <w:rPr>
                <w:b/>
                <w:bCs/>
                <w:color w:val="000000" w:themeColor="text1"/>
              </w:rPr>
            </w:pPr>
            <w:r w:rsidRPr="003231F7">
              <w:rPr>
                <w:b/>
                <w:bCs/>
                <w:color w:val="000000" w:themeColor="text1"/>
              </w:rPr>
              <w:t>Influence</w:t>
            </w:r>
          </w:p>
        </w:tc>
        <w:tc>
          <w:tcPr>
            <w:tcW w:w="3243" w:type="dxa"/>
          </w:tcPr>
          <w:p w14:paraId="3031850A" w14:textId="25AB94EC" w:rsidR="00D61B1B" w:rsidRPr="003231F7" w:rsidRDefault="00D61B1B" w:rsidP="003231F7">
            <w:pPr>
              <w:pStyle w:val="NormalWeb"/>
              <w:spacing w:before="0" w:beforeAutospacing="0" w:after="0" w:afterAutospacing="0"/>
              <w:contextualSpacing/>
              <w:rPr>
                <w:b/>
                <w:bCs/>
                <w:color w:val="000000" w:themeColor="text1"/>
              </w:rPr>
            </w:pPr>
            <w:r w:rsidRPr="003231F7">
              <w:rPr>
                <w:b/>
                <w:bCs/>
                <w:color w:val="000000" w:themeColor="text1"/>
              </w:rPr>
              <w:t>Engagement strategy</w:t>
            </w:r>
          </w:p>
        </w:tc>
      </w:tr>
      <w:tr w:rsidR="003D6D7B" w:rsidRPr="003231F7" w14:paraId="65A80C95" w14:textId="77777777" w:rsidTr="003231F7">
        <w:tc>
          <w:tcPr>
            <w:tcW w:w="1885" w:type="dxa"/>
          </w:tcPr>
          <w:p w14:paraId="6BAB06A8" w14:textId="686C78B9" w:rsidR="003D6D7B" w:rsidRPr="003231F7" w:rsidRDefault="003D6D7B" w:rsidP="003231F7">
            <w:pPr>
              <w:contextualSpacing/>
              <w:rPr>
                <w:rStyle w:val="Strong"/>
                <w:rFonts w:ascii="Times New Roman" w:eastAsiaTheme="majorEastAsia" w:hAnsi="Times New Roman" w:cs="Times New Roman"/>
                <w:color w:val="0E101A"/>
                <w:sz w:val="24"/>
                <w:szCs w:val="24"/>
              </w:rPr>
            </w:pPr>
            <w:r w:rsidRPr="003231F7">
              <w:rPr>
                <w:rStyle w:val="Strong"/>
                <w:rFonts w:ascii="Times New Roman" w:hAnsi="Times New Roman" w:cs="Times New Roman"/>
                <w:color w:val="000000"/>
                <w:sz w:val="24"/>
                <w:szCs w:val="24"/>
              </w:rPr>
              <w:t>Google Corporation</w:t>
            </w:r>
          </w:p>
        </w:tc>
        <w:tc>
          <w:tcPr>
            <w:tcW w:w="2789" w:type="dxa"/>
          </w:tcPr>
          <w:p w14:paraId="1B2B5145" w14:textId="0CB57EEE" w:rsidR="003D6D7B" w:rsidRPr="003231F7" w:rsidRDefault="003D6D7B" w:rsidP="003231F7">
            <w:pPr>
              <w:contextualSpacing/>
              <w:rPr>
                <w:rStyle w:val="Strong"/>
                <w:rFonts w:ascii="Times New Roman" w:eastAsiaTheme="majorEastAsia" w:hAnsi="Times New Roman" w:cs="Times New Roman"/>
                <w:color w:val="0E101A"/>
                <w:sz w:val="24"/>
                <w:szCs w:val="24"/>
              </w:rPr>
            </w:pPr>
            <w:r w:rsidRPr="003231F7">
              <w:rPr>
                <w:rFonts w:ascii="Times New Roman" w:hAnsi="Times New Roman" w:cs="Times New Roman"/>
                <w:sz w:val="24"/>
                <w:szCs w:val="24"/>
              </w:rPr>
              <w:t>High - Successful project completion aligns with brand image and optimal work environments.</w:t>
            </w:r>
          </w:p>
        </w:tc>
        <w:tc>
          <w:tcPr>
            <w:tcW w:w="2338" w:type="dxa"/>
          </w:tcPr>
          <w:p w14:paraId="67D98FD1" w14:textId="01DE8B2E"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High - Major financial investment and strategic goals.</w:t>
            </w:r>
          </w:p>
        </w:tc>
        <w:tc>
          <w:tcPr>
            <w:tcW w:w="3243" w:type="dxa"/>
          </w:tcPr>
          <w:p w14:paraId="206F3745" w14:textId="1DD25392"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Regular updates, strategic alignment discussions, and involvement in key decision-making processes.</w:t>
            </w:r>
          </w:p>
        </w:tc>
      </w:tr>
      <w:tr w:rsidR="003D6D7B" w:rsidRPr="003231F7" w14:paraId="714825C8" w14:textId="77777777" w:rsidTr="003231F7">
        <w:tc>
          <w:tcPr>
            <w:tcW w:w="1885" w:type="dxa"/>
          </w:tcPr>
          <w:p w14:paraId="7AF7AB02" w14:textId="5D5103D4"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rStyle w:val="Strong"/>
                <w:color w:val="000000"/>
              </w:rPr>
              <w:t>BDP (Lead Consultant and Design Delivery Architect)</w:t>
            </w:r>
          </w:p>
        </w:tc>
        <w:tc>
          <w:tcPr>
            <w:tcW w:w="2789" w:type="dxa"/>
          </w:tcPr>
          <w:p w14:paraId="0A6867BD" w14:textId="708BCCFF"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High - Timely and successful project delivery, adherence to design principles, and positive client relationship.</w:t>
            </w:r>
          </w:p>
        </w:tc>
        <w:tc>
          <w:tcPr>
            <w:tcW w:w="2338" w:type="dxa"/>
          </w:tcPr>
          <w:p w14:paraId="62606273" w14:textId="4B0FA69A"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High - Direct involvement in project design and management.</w:t>
            </w:r>
          </w:p>
        </w:tc>
        <w:tc>
          <w:tcPr>
            <w:tcW w:w="3243" w:type="dxa"/>
          </w:tcPr>
          <w:p w14:paraId="26ADB6BD" w14:textId="6401DA64"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Continuous communication, design reviews, and collaborative problem-solving.</w:t>
            </w:r>
          </w:p>
        </w:tc>
      </w:tr>
      <w:tr w:rsidR="003D6D7B" w:rsidRPr="003231F7" w14:paraId="5189473D" w14:textId="77777777" w:rsidTr="003231F7">
        <w:tc>
          <w:tcPr>
            <w:tcW w:w="1885" w:type="dxa"/>
          </w:tcPr>
          <w:p w14:paraId="77DE618A" w14:textId="23A55CB0"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rStyle w:val="Strong"/>
                <w:color w:val="000000"/>
              </w:rPr>
              <w:t>Heatherwick Studio and Bjarke Ingels Group (Concept Architects)</w:t>
            </w:r>
          </w:p>
        </w:tc>
        <w:tc>
          <w:tcPr>
            <w:tcW w:w="2789" w:type="dxa"/>
          </w:tcPr>
          <w:p w14:paraId="2950DCF3" w14:textId="26A74C72"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High - Realizing their architectural vision, contributing to a landmark project, and showcasing design expertise.</w:t>
            </w:r>
          </w:p>
        </w:tc>
        <w:tc>
          <w:tcPr>
            <w:tcW w:w="2338" w:type="dxa"/>
          </w:tcPr>
          <w:p w14:paraId="1E392CD2" w14:textId="715B4D25"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High - Providing conceptual design, influencing aesthetic aspects, and ensuring design intent alignment.</w:t>
            </w:r>
          </w:p>
        </w:tc>
        <w:tc>
          <w:tcPr>
            <w:tcW w:w="3243" w:type="dxa"/>
          </w:tcPr>
          <w:p w14:paraId="12794644" w14:textId="13AF01D1"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Continuous communication, design reviews, and collaborative problem-solving.</w:t>
            </w:r>
          </w:p>
        </w:tc>
      </w:tr>
      <w:tr w:rsidR="003D6D7B" w:rsidRPr="003231F7" w14:paraId="70C8A93F" w14:textId="77777777" w:rsidTr="003231F7">
        <w:tc>
          <w:tcPr>
            <w:tcW w:w="1885" w:type="dxa"/>
          </w:tcPr>
          <w:p w14:paraId="1A7ED344" w14:textId="14A876E5"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rStyle w:val="Strong"/>
                <w:color w:val="000000"/>
              </w:rPr>
              <w:t>Local Community and Residents</w:t>
            </w:r>
          </w:p>
        </w:tc>
        <w:tc>
          <w:tcPr>
            <w:tcW w:w="2789" w:type="dxa"/>
          </w:tcPr>
          <w:p w14:paraId="0E7BA4F5" w14:textId="3443ABE9"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High - Minimal disruption, positive contributions to the local economy, and alignment with community values.</w:t>
            </w:r>
          </w:p>
        </w:tc>
        <w:tc>
          <w:tcPr>
            <w:tcW w:w="2338" w:type="dxa"/>
          </w:tcPr>
          <w:p w14:paraId="387408E5" w14:textId="5EEFC48E"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Moderate - Potential concerns related to noise, traffic, and changes to the local landscape.</w:t>
            </w:r>
          </w:p>
        </w:tc>
        <w:tc>
          <w:tcPr>
            <w:tcW w:w="3243" w:type="dxa"/>
          </w:tcPr>
          <w:p w14:paraId="56861461" w14:textId="14F25B28"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Community forums, transparent communication, and initiatives addressing specific concerns.</w:t>
            </w:r>
          </w:p>
        </w:tc>
      </w:tr>
      <w:tr w:rsidR="003D6D7B" w:rsidRPr="003231F7" w14:paraId="1028831D" w14:textId="77777777" w:rsidTr="003231F7">
        <w:tc>
          <w:tcPr>
            <w:tcW w:w="1885" w:type="dxa"/>
          </w:tcPr>
          <w:p w14:paraId="6C8A350B" w14:textId="19D7BD49"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rStyle w:val="Strong"/>
                <w:color w:val="000000"/>
              </w:rPr>
              <w:t>Government Authorities and Regulatory Bodies</w:t>
            </w:r>
          </w:p>
        </w:tc>
        <w:tc>
          <w:tcPr>
            <w:tcW w:w="2789" w:type="dxa"/>
          </w:tcPr>
          <w:p w14:paraId="0D21E7CD" w14:textId="21426F93"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High - Ensuring project compliance with local regulations, environmental standards, and urban planning requirements.</w:t>
            </w:r>
          </w:p>
        </w:tc>
        <w:tc>
          <w:tcPr>
            <w:tcW w:w="2338" w:type="dxa"/>
          </w:tcPr>
          <w:p w14:paraId="68C6603D" w14:textId="1E914FCA"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High - Granting permits, regulatory approvals, and monitoring compliance with legal requirements.</w:t>
            </w:r>
          </w:p>
        </w:tc>
        <w:tc>
          <w:tcPr>
            <w:tcW w:w="3243" w:type="dxa"/>
          </w:tcPr>
          <w:p w14:paraId="1D66E9EA" w14:textId="19D50DBE"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Regular updates, proactive engagement, and adherence to regulatory timelines.</w:t>
            </w:r>
          </w:p>
        </w:tc>
      </w:tr>
      <w:tr w:rsidR="003D6D7B" w:rsidRPr="003231F7" w14:paraId="556878B2" w14:textId="77777777" w:rsidTr="003231F7">
        <w:tc>
          <w:tcPr>
            <w:tcW w:w="1885" w:type="dxa"/>
          </w:tcPr>
          <w:p w14:paraId="7D3A9F7C" w14:textId="3A559E3B"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rStyle w:val="Strong"/>
                <w:color w:val="000000"/>
              </w:rPr>
              <w:t>Construction Contractors and Subcontractors</w:t>
            </w:r>
          </w:p>
        </w:tc>
        <w:tc>
          <w:tcPr>
            <w:tcW w:w="2789" w:type="dxa"/>
          </w:tcPr>
          <w:p w14:paraId="4D0561D7" w14:textId="6D2DFCEA"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High - Timely payments, adherence to construction plans, and maintaining a safe working environment.</w:t>
            </w:r>
          </w:p>
        </w:tc>
        <w:tc>
          <w:tcPr>
            <w:tcW w:w="2338" w:type="dxa"/>
          </w:tcPr>
          <w:p w14:paraId="62875071" w14:textId="2A5D48AD"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High - Executing construction activities, managing timelines, and addressing on-site challenges.</w:t>
            </w:r>
          </w:p>
        </w:tc>
        <w:tc>
          <w:tcPr>
            <w:tcW w:w="3243" w:type="dxa"/>
          </w:tcPr>
          <w:p w14:paraId="7C25E8FF" w14:textId="1DED6ACC"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Regular on-site meetings, transparent communication, and proactive issue resolution.</w:t>
            </w:r>
          </w:p>
        </w:tc>
      </w:tr>
      <w:tr w:rsidR="003D6D7B" w:rsidRPr="003231F7" w14:paraId="7CE93256" w14:textId="77777777" w:rsidTr="003231F7">
        <w:tc>
          <w:tcPr>
            <w:tcW w:w="1885" w:type="dxa"/>
          </w:tcPr>
          <w:p w14:paraId="4F40AF16" w14:textId="63C78E0D"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rStyle w:val="Strong"/>
                <w:color w:val="000000"/>
              </w:rPr>
              <w:lastRenderedPageBreak/>
              <w:t>Employees and Future Occupants</w:t>
            </w:r>
          </w:p>
        </w:tc>
        <w:tc>
          <w:tcPr>
            <w:tcW w:w="2789" w:type="dxa"/>
          </w:tcPr>
          <w:p w14:paraId="231CF75D" w14:textId="6E65800B" w:rsidR="003D6D7B" w:rsidRPr="003231F7" w:rsidRDefault="003D6D7B" w:rsidP="003231F7">
            <w:pPr>
              <w:contextualSpacing/>
              <w:rPr>
                <w:rFonts w:ascii="Times New Roman" w:hAnsi="Times New Roman" w:cs="Times New Roman"/>
                <w:color w:val="000000"/>
                <w:sz w:val="24"/>
                <w:szCs w:val="24"/>
              </w:rPr>
            </w:pPr>
            <w:r w:rsidRPr="003231F7">
              <w:rPr>
                <w:rFonts w:ascii="Times New Roman" w:hAnsi="Times New Roman" w:cs="Times New Roman"/>
                <w:color w:val="000000"/>
                <w:sz w:val="24"/>
                <w:szCs w:val="24"/>
              </w:rPr>
              <w:t>High - Comfortable and innovative workspaces, amenities, and a positive corporate culture.</w:t>
            </w:r>
          </w:p>
          <w:p w14:paraId="7F89D17B" w14:textId="77777777" w:rsidR="003D6D7B" w:rsidRPr="003231F7" w:rsidRDefault="003D6D7B" w:rsidP="003231F7">
            <w:pPr>
              <w:pStyle w:val="NormalWeb"/>
              <w:spacing w:before="0" w:beforeAutospacing="0" w:after="0" w:afterAutospacing="0"/>
              <w:contextualSpacing/>
              <w:rPr>
                <w:rStyle w:val="Strong"/>
                <w:rFonts w:eastAsiaTheme="majorEastAsia"/>
                <w:color w:val="0E101A"/>
              </w:rPr>
            </w:pPr>
          </w:p>
        </w:tc>
        <w:tc>
          <w:tcPr>
            <w:tcW w:w="2338" w:type="dxa"/>
          </w:tcPr>
          <w:p w14:paraId="65364A80" w14:textId="0195CF1D"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Low to Moderate - Daily engagement with the completed facility, workplace satisfaction, and productivity.</w:t>
            </w:r>
          </w:p>
        </w:tc>
        <w:tc>
          <w:tcPr>
            <w:tcW w:w="3243" w:type="dxa"/>
          </w:tcPr>
          <w:p w14:paraId="6ED50336" w14:textId="0908CAD5"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Employee engagement programs, feedback sessions, and involvement in workspace design decisions.</w:t>
            </w:r>
          </w:p>
        </w:tc>
      </w:tr>
      <w:tr w:rsidR="003D6D7B" w:rsidRPr="003231F7" w14:paraId="3FAECCF6" w14:textId="77777777" w:rsidTr="003231F7">
        <w:tc>
          <w:tcPr>
            <w:tcW w:w="1885" w:type="dxa"/>
          </w:tcPr>
          <w:p w14:paraId="193D1A09" w14:textId="0FD5B2FC"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rStyle w:val="Strong"/>
                <w:color w:val="000000"/>
              </w:rPr>
              <w:t>Environmental O</w:t>
            </w:r>
            <w:r w:rsidR="003231F7">
              <w:rPr>
                <w:rStyle w:val="Strong"/>
                <w:color w:val="000000"/>
              </w:rPr>
              <w:t>rganis</w:t>
            </w:r>
            <w:r w:rsidRPr="003231F7">
              <w:rPr>
                <w:rStyle w:val="Strong"/>
                <w:color w:val="000000"/>
              </w:rPr>
              <w:t>ations</w:t>
            </w:r>
          </w:p>
        </w:tc>
        <w:tc>
          <w:tcPr>
            <w:tcW w:w="2789" w:type="dxa"/>
          </w:tcPr>
          <w:p w14:paraId="581C8A6F" w14:textId="1B952E9D"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High - Ensuring the project aligns with sustainable practices and minimizes environmental impact.</w:t>
            </w:r>
          </w:p>
        </w:tc>
        <w:tc>
          <w:tcPr>
            <w:tcW w:w="2338" w:type="dxa"/>
          </w:tcPr>
          <w:p w14:paraId="59F7A2E2" w14:textId="3FCA8268"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Low to Moderate - Monitoring and potentially influencing decisions related to environmental aspects of the project.</w:t>
            </w:r>
          </w:p>
        </w:tc>
        <w:tc>
          <w:tcPr>
            <w:tcW w:w="3243" w:type="dxa"/>
          </w:tcPr>
          <w:p w14:paraId="0C309AC9" w14:textId="3A202992" w:rsidR="003D6D7B" w:rsidRPr="003231F7" w:rsidRDefault="003D6D7B" w:rsidP="003231F7">
            <w:pPr>
              <w:pStyle w:val="NormalWeb"/>
              <w:spacing w:before="0" w:beforeAutospacing="0" w:after="0" w:afterAutospacing="0"/>
              <w:contextualSpacing/>
              <w:rPr>
                <w:rStyle w:val="Strong"/>
                <w:rFonts w:eastAsiaTheme="majorEastAsia"/>
                <w:color w:val="0E101A"/>
              </w:rPr>
            </w:pPr>
            <w:r w:rsidRPr="003231F7">
              <w:rPr>
                <w:color w:val="000000"/>
              </w:rPr>
              <w:t>Collaboration on sustainability initiatives, regular updates, and incorporating feedback in environmental practices.</w:t>
            </w:r>
          </w:p>
        </w:tc>
      </w:tr>
    </w:tbl>
    <w:p w14:paraId="1077077F" w14:textId="77777777" w:rsidR="00325695" w:rsidRDefault="00325695" w:rsidP="003231F7">
      <w:pPr>
        <w:pStyle w:val="NormalWeb"/>
        <w:spacing w:before="0" w:beforeAutospacing="0" w:after="0" w:afterAutospacing="0"/>
        <w:contextualSpacing/>
        <w:rPr>
          <w:rStyle w:val="Strong"/>
          <w:rFonts w:eastAsiaTheme="majorEastAsia"/>
          <w:color w:val="0E101A"/>
        </w:rPr>
      </w:pPr>
    </w:p>
    <w:p w14:paraId="01B13DC5"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6C94AE1F"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61BCEDA4"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121B5E12"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4852D41D"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1A75257D"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7E04EFF3"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3B35316E"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210B7C84"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3C79A492"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43E120B4"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429D6BF8"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40D09A3E"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053853A3"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146E73CA"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3CF42FB3"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0D1315C7"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4CAF3E12"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14ADBE85"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1317575A"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772B7554"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2E6EEB34"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2E56DCF6"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036E7F9F"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68460AB6"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7B9B792F"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079C3337"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6726C286"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37C4E66C"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029E0501"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4A57E5B3" w14:textId="77777777" w:rsidR="00FB5FAE" w:rsidRDefault="00FB5FAE" w:rsidP="003231F7">
      <w:pPr>
        <w:pStyle w:val="NormalWeb"/>
        <w:spacing w:before="0" w:beforeAutospacing="0" w:after="0" w:afterAutospacing="0"/>
        <w:contextualSpacing/>
        <w:rPr>
          <w:rStyle w:val="Strong"/>
          <w:rFonts w:eastAsiaTheme="majorEastAsia"/>
          <w:color w:val="0E101A"/>
        </w:rPr>
      </w:pPr>
    </w:p>
    <w:p w14:paraId="7D4C8D9E" w14:textId="77777777" w:rsidR="00FB5FAE" w:rsidRPr="003231F7" w:rsidRDefault="00FB5FAE" w:rsidP="003231F7">
      <w:pPr>
        <w:pStyle w:val="NormalWeb"/>
        <w:spacing w:before="0" w:beforeAutospacing="0" w:after="0" w:afterAutospacing="0"/>
        <w:contextualSpacing/>
        <w:rPr>
          <w:rStyle w:val="Strong"/>
          <w:rFonts w:eastAsiaTheme="majorEastAsia"/>
          <w:color w:val="0E101A"/>
        </w:rPr>
      </w:pPr>
    </w:p>
    <w:p w14:paraId="5F2E37AF" w14:textId="1972F19A" w:rsidR="00B607B6" w:rsidRPr="003231F7" w:rsidRDefault="00B607B6" w:rsidP="003231F7">
      <w:pPr>
        <w:pStyle w:val="NormalWeb"/>
        <w:numPr>
          <w:ilvl w:val="0"/>
          <w:numId w:val="16"/>
        </w:numPr>
        <w:spacing w:before="0" w:beforeAutospacing="0" w:after="0" w:afterAutospacing="0" w:line="360" w:lineRule="auto"/>
        <w:contextualSpacing/>
        <w:jc w:val="both"/>
        <w:rPr>
          <w:color w:val="0E101A"/>
        </w:rPr>
      </w:pPr>
      <w:r w:rsidRPr="003231F7">
        <w:rPr>
          <w:rStyle w:val="Strong"/>
          <w:rFonts w:eastAsiaTheme="majorEastAsia"/>
          <w:color w:val="0E101A"/>
        </w:rPr>
        <w:lastRenderedPageBreak/>
        <w:t>Risk Factors</w:t>
      </w:r>
    </w:p>
    <w:p w14:paraId="057E3C02" w14:textId="39233836" w:rsidR="00785BE7" w:rsidRDefault="00542EE6" w:rsidP="003231F7">
      <w:pPr>
        <w:pStyle w:val="NormalWeb"/>
        <w:spacing w:before="0" w:beforeAutospacing="0" w:after="0" w:afterAutospacing="0" w:line="360" w:lineRule="auto"/>
        <w:ind w:firstLine="720"/>
        <w:contextualSpacing/>
        <w:jc w:val="both"/>
        <w:rPr>
          <w:color w:val="0E101A"/>
        </w:rPr>
      </w:pPr>
      <w:r w:rsidRPr="003231F7">
        <w:rPr>
          <w:color w:val="0E101A"/>
        </w:rPr>
        <w:t xml:space="preserve">As the Google Headquarters Project at King's Cross unfolds, it is imperative to scrutinize potential risks that may impact its seamless execution. </w:t>
      </w:r>
    </w:p>
    <w:p w14:paraId="0CDE8DE2" w14:textId="77777777" w:rsidR="00FB5FAE" w:rsidRDefault="00FB5FAE" w:rsidP="003231F7">
      <w:pPr>
        <w:pStyle w:val="NormalWeb"/>
        <w:spacing w:before="0" w:beforeAutospacing="0" w:after="0" w:afterAutospacing="0" w:line="360" w:lineRule="auto"/>
        <w:ind w:firstLine="720"/>
        <w:contextualSpacing/>
        <w:jc w:val="both"/>
        <w:rPr>
          <w:color w:val="0E101A"/>
        </w:rPr>
      </w:pPr>
    </w:p>
    <w:p w14:paraId="012CD8A6" w14:textId="77777777" w:rsidR="00FB5FAE" w:rsidRPr="003231F7" w:rsidRDefault="00FB5FAE" w:rsidP="003231F7">
      <w:pPr>
        <w:pStyle w:val="NormalWeb"/>
        <w:spacing w:before="0" w:beforeAutospacing="0" w:after="0" w:afterAutospacing="0" w:line="360" w:lineRule="auto"/>
        <w:ind w:firstLine="720"/>
        <w:contextualSpacing/>
        <w:jc w:val="both"/>
        <w:rPr>
          <w:color w:val="0E101A"/>
        </w:rPr>
      </w:pPr>
    </w:p>
    <w:p w14:paraId="6208C054" w14:textId="27D59EDB" w:rsidR="00542EE6" w:rsidRPr="003231F7" w:rsidRDefault="00542EE6" w:rsidP="003231F7">
      <w:pPr>
        <w:pStyle w:val="ListParagraph"/>
        <w:numPr>
          <w:ilvl w:val="0"/>
          <w:numId w:val="17"/>
        </w:numPr>
        <w:spacing w:line="360" w:lineRule="auto"/>
        <w:rPr>
          <w:rFonts w:ascii="Times New Roman" w:hAnsi="Times New Roman" w:cs="Times New Roman"/>
          <w:b/>
          <w:bCs/>
          <w:sz w:val="24"/>
          <w:szCs w:val="24"/>
        </w:rPr>
      </w:pPr>
      <w:r w:rsidRPr="003231F7">
        <w:rPr>
          <w:rFonts w:ascii="Times New Roman" w:hAnsi="Times New Roman" w:cs="Times New Roman"/>
          <w:b/>
          <w:bCs/>
          <w:sz w:val="24"/>
          <w:szCs w:val="24"/>
        </w:rPr>
        <w:t>Market and Economic Risks:</w:t>
      </w:r>
    </w:p>
    <w:p w14:paraId="25280231" w14:textId="0DA52802" w:rsidR="00785BE7" w:rsidRPr="003231F7" w:rsidRDefault="00785BE7" w:rsidP="003231F7">
      <w:pPr>
        <w:contextualSpacing/>
        <w:rPr>
          <w:rFonts w:ascii="Times New Roman" w:hAnsi="Times New Roman" w:cs="Times New Roman"/>
          <w:b/>
          <w:bCs/>
          <w:sz w:val="24"/>
          <w:szCs w:val="24"/>
        </w:rPr>
      </w:pPr>
      <w:r w:rsidRPr="003231F7">
        <w:rPr>
          <w:rFonts w:ascii="Times New Roman" w:hAnsi="Times New Roman" w:cs="Times New Roman"/>
          <w:b/>
          <w:bCs/>
          <w:sz w:val="24"/>
          <w:szCs w:val="24"/>
        </w:rPr>
        <w:t>UK High inflation</w:t>
      </w:r>
    </w:p>
    <w:p w14:paraId="70D71DD1" w14:textId="77777777" w:rsidR="009A62A4" w:rsidRPr="003231F7" w:rsidRDefault="009A62A4" w:rsidP="003231F7">
      <w:pPr>
        <w:keepNext/>
        <w:contextualSpacing/>
        <w:rPr>
          <w:rFonts w:ascii="Times New Roman" w:hAnsi="Times New Roman" w:cs="Times New Roman"/>
          <w:sz w:val="24"/>
          <w:szCs w:val="24"/>
        </w:rPr>
      </w:pPr>
      <w:r w:rsidRPr="003231F7">
        <w:rPr>
          <w:rFonts w:ascii="Times New Roman" w:hAnsi="Times New Roman" w:cs="Times New Roman"/>
          <w:noProof/>
          <w:sz w:val="24"/>
          <w:szCs w:val="24"/>
        </w:rPr>
        <w:drawing>
          <wp:inline distT="0" distB="0" distL="0" distR="0" wp14:anchorId="7DC17854" wp14:editId="130FF58F">
            <wp:extent cx="5943600" cy="4236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943600" cy="4236720"/>
                    </a:xfrm>
                    <a:prstGeom prst="rect">
                      <a:avLst/>
                    </a:prstGeom>
                  </pic:spPr>
                </pic:pic>
              </a:graphicData>
            </a:graphic>
          </wp:inline>
        </w:drawing>
      </w:r>
    </w:p>
    <w:p w14:paraId="13FC7DB7" w14:textId="3A85A600" w:rsidR="00785BE7" w:rsidRPr="003231F7" w:rsidRDefault="009A62A4" w:rsidP="003231F7">
      <w:pPr>
        <w:pStyle w:val="Caption"/>
        <w:contextualSpacing/>
        <w:rPr>
          <w:rFonts w:ascii="Times New Roman" w:hAnsi="Times New Roman" w:cs="Times New Roman"/>
          <w:sz w:val="24"/>
          <w:szCs w:val="24"/>
        </w:rPr>
      </w:pPr>
      <w:r w:rsidRPr="003231F7">
        <w:rPr>
          <w:rFonts w:ascii="Times New Roman" w:hAnsi="Times New Roman" w:cs="Times New Roman"/>
          <w:sz w:val="24"/>
          <w:szCs w:val="24"/>
        </w:rPr>
        <w:t xml:space="preserve">Figure </w:t>
      </w:r>
      <w:r w:rsidRPr="003231F7">
        <w:rPr>
          <w:rFonts w:ascii="Times New Roman" w:hAnsi="Times New Roman" w:cs="Times New Roman"/>
          <w:sz w:val="24"/>
          <w:szCs w:val="24"/>
        </w:rPr>
        <w:fldChar w:fldCharType="begin"/>
      </w:r>
      <w:r w:rsidRPr="003231F7">
        <w:rPr>
          <w:rFonts w:ascii="Times New Roman" w:hAnsi="Times New Roman" w:cs="Times New Roman"/>
          <w:sz w:val="24"/>
          <w:szCs w:val="24"/>
        </w:rPr>
        <w:instrText xml:space="preserve"> SEQ Figure \* ARABIC </w:instrText>
      </w:r>
      <w:r w:rsidRPr="003231F7">
        <w:rPr>
          <w:rFonts w:ascii="Times New Roman" w:hAnsi="Times New Roman" w:cs="Times New Roman"/>
          <w:sz w:val="24"/>
          <w:szCs w:val="24"/>
        </w:rPr>
        <w:fldChar w:fldCharType="separate"/>
      </w:r>
      <w:r w:rsidRPr="003231F7">
        <w:rPr>
          <w:rFonts w:ascii="Times New Roman" w:hAnsi="Times New Roman" w:cs="Times New Roman"/>
          <w:noProof/>
          <w:sz w:val="24"/>
          <w:szCs w:val="24"/>
        </w:rPr>
        <w:t>1</w:t>
      </w:r>
      <w:r w:rsidRPr="003231F7">
        <w:rPr>
          <w:rFonts w:ascii="Times New Roman" w:hAnsi="Times New Roman" w:cs="Times New Roman"/>
          <w:sz w:val="24"/>
          <w:szCs w:val="24"/>
        </w:rPr>
        <w:fldChar w:fldCharType="end"/>
      </w:r>
      <w:r w:rsidRPr="003231F7">
        <w:rPr>
          <w:rFonts w:ascii="Times New Roman" w:hAnsi="Times New Roman" w:cs="Times New Roman"/>
          <w:sz w:val="24"/>
          <w:szCs w:val="24"/>
        </w:rPr>
        <w:t xml:space="preserve"> UK inflation. Source; Statista. (Clark, 2023)</w:t>
      </w:r>
    </w:p>
    <w:p w14:paraId="0044801D" w14:textId="77777777" w:rsidR="00FB5FAE" w:rsidRDefault="00023E6A" w:rsidP="003231F7">
      <w:pPr>
        <w:spacing w:line="360" w:lineRule="auto"/>
        <w:ind w:firstLine="720"/>
        <w:contextualSpacing/>
        <w:jc w:val="both"/>
        <w:rPr>
          <w:rFonts w:ascii="Times New Roman" w:hAnsi="Times New Roman" w:cs="Times New Roman"/>
          <w:sz w:val="24"/>
          <w:szCs w:val="24"/>
        </w:rPr>
      </w:pPr>
      <w:r w:rsidRPr="003231F7">
        <w:rPr>
          <w:rFonts w:ascii="Times New Roman" w:hAnsi="Times New Roman" w:cs="Times New Roman"/>
          <w:sz w:val="24"/>
          <w:szCs w:val="24"/>
        </w:rPr>
        <w:t>The inflation rate in the UK experienced a decline to 4.6% in October 2023 after being at 6.7% for two months prior. Noteworthy is that between September 2022 and March 2023, there were seven consecutive double-digit months, with the highest point occurring in October 2022, when it reached 11.1% (Elliott, 2022; Soliman et al., 2023). This inflation trend can pose significant risks to the Google Headquarters Project as costs go up, meaning budget reviews and updates must be regularly made to make the project financially feasible.</w:t>
      </w:r>
    </w:p>
    <w:p w14:paraId="6E73507B" w14:textId="3D5842E8" w:rsidR="00785BE7" w:rsidRDefault="00023E6A" w:rsidP="003231F7">
      <w:pPr>
        <w:spacing w:line="360" w:lineRule="auto"/>
        <w:ind w:firstLine="720"/>
        <w:contextualSpacing/>
        <w:jc w:val="both"/>
        <w:rPr>
          <w:rFonts w:ascii="Times New Roman" w:hAnsi="Times New Roman" w:cs="Times New Roman"/>
          <w:sz w:val="24"/>
          <w:szCs w:val="24"/>
        </w:rPr>
      </w:pPr>
      <w:r w:rsidRPr="003231F7">
        <w:rPr>
          <w:rFonts w:ascii="Times New Roman" w:hAnsi="Times New Roman" w:cs="Times New Roman"/>
          <w:sz w:val="24"/>
          <w:szCs w:val="24"/>
        </w:rPr>
        <w:lastRenderedPageBreak/>
        <w:t xml:space="preserve"> In addition, any fluctuations in interest rates due to inflation can lead to higher debt repayment amounts and lower project financial stability. Furthermore, disruption in the supply chain will make delays more likely unless robust management practices are employed along with contingency plans. To combat these risks, it is essential to communicate well with stakeholders, including escalation clauses into contracts when needed and keeping flexibility within the project should economic conditions </w:t>
      </w:r>
      <w:proofErr w:type="gramStart"/>
      <w:r w:rsidRPr="003231F7">
        <w:rPr>
          <w:rFonts w:ascii="Times New Roman" w:hAnsi="Times New Roman" w:cs="Times New Roman"/>
          <w:sz w:val="24"/>
          <w:szCs w:val="24"/>
        </w:rPr>
        <w:t>change</w:t>
      </w:r>
      <w:proofErr w:type="gramEnd"/>
      <w:r w:rsidRPr="003231F7">
        <w:rPr>
          <w:rFonts w:ascii="Times New Roman" w:hAnsi="Times New Roman" w:cs="Times New Roman"/>
          <w:sz w:val="24"/>
          <w:szCs w:val="24"/>
        </w:rPr>
        <w:t xml:space="preserve"> or unforeseen challenges arise from supply chains</w:t>
      </w:r>
      <w:r w:rsidR="00785BE7" w:rsidRPr="003231F7">
        <w:rPr>
          <w:rFonts w:ascii="Times New Roman" w:hAnsi="Times New Roman" w:cs="Times New Roman"/>
          <w:sz w:val="24"/>
          <w:szCs w:val="24"/>
        </w:rPr>
        <w:t>.</w:t>
      </w:r>
    </w:p>
    <w:p w14:paraId="688CE9DB" w14:textId="77777777" w:rsidR="008C2BA3" w:rsidRPr="003231F7" w:rsidRDefault="008C2BA3" w:rsidP="003231F7">
      <w:pPr>
        <w:spacing w:line="360" w:lineRule="auto"/>
        <w:ind w:firstLine="720"/>
        <w:contextualSpacing/>
        <w:jc w:val="both"/>
        <w:rPr>
          <w:rFonts w:ascii="Times New Roman" w:hAnsi="Times New Roman" w:cs="Times New Roman"/>
          <w:sz w:val="24"/>
          <w:szCs w:val="24"/>
        </w:rPr>
      </w:pPr>
    </w:p>
    <w:p w14:paraId="757EA541" w14:textId="295DC825" w:rsidR="004F6AFA" w:rsidRDefault="004F6AFA" w:rsidP="003231F7">
      <w:pPr>
        <w:pStyle w:val="NormalWeb"/>
        <w:numPr>
          <w:ilvl w:val="0"/>
          <w:numId w:val="17"/>
        </w:numPr>
        <w:spacing w:after="0"/>
        <w:contextualSpacing/>
        <w:rPr>
          <w:rFonts w:eastAsiaTheme="majorEastAsia"/>
          <w:b/>
          <w:bCs/>
          <w:color w:val="0E101A"/>
          <w:kern w:val="2"/>
          <w14:ligatures w14:val="standardContextual"/>
        </w:rPr>
      </w:pPr>
      <w:r w:rsidRPr="003231F7">
        <w:rPr>
          <w:rFonts w:eastAsiaTheme="majorEastAsia"/>
          <w:b/>
          <w:bCs/>
          <w:color w:val="0E101A"/>
          <w:kern w:val="2"/>
          <w14:ligatures w14:val="standardContextual"/>
        </w:rPr>
        <w:t>Project Execution Risks</w:t>
      </w:r>
    </w:p>
    <w:p w14:paraId="3A74CB6E" w14:textId="77777777" w:rsidR="008C2BA3" w:rsidRPr="003231F7" w:rsidRDefault="008C2BA3" w:rsidP="008C2BA3">
      <w:pPr>
        <w:pStyle w:val="NormalWeb"/>
        <w:spacing w:after="0"/>
        <w:ind w:left="360"/>
        <w:contextualSpacing/>
        <w:rPr>
          <w:rFonts w:eastAsiaTheme="majorEastAsia"/>
          <w:b/>
          <w:bCs/>
          <w:color w:val="0E101A"/>
          <w:kern w:val="2"/>
          <w14:ligatures w14:val="standardContextual"/>
        </w:rPr>
      </w:pPr>
    </w:p>
    <w:p w14:paraId="1696AF58" w14:textId="0DD3FE4C" w:rsidR="004F6AFA" w:rsidRPr="003231F7" w:rsidRDefault="004F6AFA" w:rsidP="003231F7">
      <w:pPr>
        <w:pStyle w:val="NormalWeb"/>
        <w:spacing w:after="0" w:line="360" w:lineRule="auto"/>
        <w:contextualSpacing/>
        <w:jc w:val="both"/>
        <w:rPr>
          <w:rFonts w:eastAsiaTheme="majorEastAsia"/>
          <w:b/>
          <w:bCs/>
          <w:color w:val="0E101A"/>
          <w:kern w:val="2"/>
          <w14:ligatures w14:val="standardContextual"/>
        </w:rPr>
      </w:pPr>
      <w:r w:rsidRPr="003231F7">
        <w:rPr>
          <w:rFonts w:eastAsiaTheme="majorEastAsia"/>
          <w:b/>
          <w:bCs/>
          <w:color w:val="0E101A"/>
          <w:kern w:val="2"/>
          <w14:ligatures w14:val="standardContextual"/>
        </w:rPr>
        <w:t>Construction Delays</w:t>
      </w:r>
    </w:p>
    <w:p w14:paraId="2DD178D8" w14:textId="26183090" w:rsidR="004F6AFA" w:rsidRDefault="00023E6A" w:rsidP="003231F7">
      <w:pPr>
        <w:pStyle w:val="NormalWeb"/>
        <w:spacing w:after="0" w:line="360" w:lineRule="auto"/>
        <w:ind w:firstLine="720"/>
        <w:contextualSpacing/>
        <w:jc w:val="both"/>
        <w:rPr>
          <w:rFonts w:eastAsiaTheme="majorEastAsia"/>
          <w:color w:val="0E101A"/>
          <w:kern w:val="2"/>
          <w14:ligatures w14:val="standardContextual"/>
        </w:rPr>
      </w:pPr>
      <w:r w:rsidRPr="003231F7">
        <w:rPr>
          <w:rFonts w:eastAsiaTheme="majorEastAsia"/>
          <w:color w:val="0E101A"/>
          <w:kern w:val="2"/>
          <w14:ligatures w14:val="standardContextual"/>
        </w:rPr>
        <w:t>Unforeseen challenges during the construction phase, such as adverse weather conditions, supply chain disruptions, or labour shortages, can cause delays in the project timeline. These challenges demand vigilant project management to identify issues promptly and implement effective mitigation strategies, ensuring the construction progresses according to the established schedule</w:t>
      </w:r>
      <w:r w:rsidR="004F6AFA" w:rsidRPr="003231F7">
        <w:rPr>
          <w:rFonts w:eastAsiaTheme="majorEastAsia"/>
          <w:color w:val="0E101A"/>
          <w:kern w:val="2"/>
          <w14:ligatures w14:val="standardContextual"/>
        </w:rPr>
        <w:t>.</w:t>
      </w:r>
    </w:p>
    <w:p w14:paraId="2BB2848B" w14:textId="77777777" w:rsidR="00FB5FAE" w:rsidRPr="003231F7" w:rsidRDefault="00FB5FAE" w:rsidP="003231F7">
      <w:pPr>
        <w:pStyle w:val="NormalWeb"/>
        <w:spacing w:after="0" w:line="360" w:lineRule="auto"/>
        <w:ind w:firstLine="720"/>
        <w:contextualSpacing/>
        <w:jc w:val="both"/>
        <w:rPr>
          <w:rFonts w:eastAsiaTheme="majorEastAsia"/>
          <w:color w:val="0E101A"/>
          <w:kern w:val="2"/>
          <w14:ligatures w14:val="standardContextual"/>
        </w:rPr>
      </w:pPr>
    </w:p>
    <w:p w14:paraId="5815C0F2" w14:textId="671D331F" w:rsidR="004F6AFA" w:rsidRPr="003231F7" w:rsidRDefault="004F6AFA" w:rsidP="003231F7">
      <w:pPr>
        <w:pStyle w:val="NormalWeb"/>
        <w:spacing w:after="0"/>
        <w:contextualSpacing/>
        <w:rPr>
          <w:rFonts w:eastAsiaTheme="majorEastAsia"/>
          <w:b/>
          <w:bCs/>
          <w:color w:val="0E101A"/>
          <w:kern w:val="2"/>
          <w14:ligatures w14:val="standardContextual"/>
        </w:rPr>
      </w:pPr>
      <w:r w:rsidRPr="003231F7">
        <w:rPr>
          <w:rFonts w:eastAsiaTheme="majorEastAsia"/>
          <w:b/>
          <w:bCs/>
          <w:color w:val="0E101A"/>
          <w:kern w:val="2"/>
          <w14:ligatures w14:val="standardContextual"/>
        </w:rPr>
        <w:t>Design Changes</w:t>
      </w:r>
    </w:p>
    <w:p w14:paraId="5597F2E2" w14:textId="326AC246" w:rsidR="004F6AFA" w:rsidRDefault="002D2096" w:rsidP="003231F7">
      <w:pPr>
        <w:pStyle w:val="NormalWeb"/>
        <w:spacing w:after="0" w:line="360" w:lineRule="auto"/>
        <w:ind w:firstLine="720"/>
        <w:contextualSpacing/>
        <w:jc w:val="both"/>
        <w:rPr>
          <w:rFonts w:eastAsiaTheme="majorEastAsia"/>
          <w:color w:val="0E101A"/>
          <w:kern w:val="2"/>
          <w14:ligatures w14:val="standardContextual"/>
        </w:rPr>
      </w:pPr>
      <w:r w:rsidRPr="003231F7">
        <w:rPr>
          <w:rFonts w:eastAsiaTheme="majorEastAsia"/>
          <w:color w:val="0E101A"/>
          <w:kern w:val="2"/>
          <w14:ligatures w14:val="standardContextual"/>
        </w:rPr>
        <w:t>Whether driven by regulatory adjustments or stakeholder preferences, modifications in the design carry the risk of introducing additional costs and extending the project timeline. Careful consideration and communication are essential to navigate these changes efficiently, aligning with the project's budget and schedule</w:t>
      </w:r>
      <w:r w:rsidR="004F6AFA" w:rsidRPr="003231F7">
        <w:rPr>
          <w:rFonts w:eastAsiaTheme="majorEastAsia"/>
          <w:color w:val="0E101A"/>
          <w:kern w:val="2"/>
          <w14:ligatures w14:val="standardContextual"/>
        </w:rPr>
        <w:t>.</w:t>
      </w:r>
    </w:p>
    <w:p w14:paraId="42EE79B1" w14:textId="77777777" w:rsidR="008C2BA3" w:rsidRPr="003231F7" w:rsidRDefault="008C2BA3" w:rsidP="003231F7">
      <w:pPr>
        <w:pStyle w:val="NormalWeb"/>
        <w:spacing w:after="0" w:line="360" w:lineRule="auto"/>
        <w:ind w:firstLine="720"/>
        <w:contextualSpacing/>
        <w:jc w:val="both"/>
        <w:rPr>
          <w:rFonts w:eastAsiaTheme="majorEastAsia"/>
          <w:color w:val="0E101A"/>
          <w:kern w:val="2"/>
          <w14:ligatures w14:val="standardContextual"/>
        </w:rPr>
      </w:pPr>
    </w:p>
    <w:p w14:paraId="414DA251" w14:textId="19C2CF65" w:rsidR="004F6AFA" w:rsidRPr="003231F7" w:rsidRDefault="004F6AFA" w:rsidP="003231F7">
      <w:pPr>
        <w:pStyle w:val="NormalWeb"/>
        <w:numPr>
          <w:ilvl w:val="0"/>
          <w:numId w:val="17"/>
        </w:numPr>
        <w:spacing w:after="0"/>
        <w:contextualSpacing/>
        <w:rPr>
          <w:rFonts w:eastAsiaTheme="majorEastAsia"/>
          <w:b/>
          <w:bCs/>
          <w:color w:val="0E101A"/>
          <w:kern w:val="2"/>
          <w14:ligatures w14:val="standardContextual"/>
        </w:rPr>
      </w:pPr>
      <w:r w:rsidRPr="003231F7">
        <w:rPr>
          <w:rFonts w:eastAsiaTheme="majorEastAsia"/>
          <w:b/>
          <w:bCs/>
          <w:color w:val="0E101A"/>
          <w:kern w:val="2"/>
          <w14:ligatures w14:val="standardContextual"/>
        </w:rPr>
        <w:t>Environmental and Regulatory Risks</w:t>
      </w:r>
    </w:p>
    <w:p w14:paraId="367C7D5E" w14:textId="77777777" w:rsidR="008C2BA3" w:rsidRDefault="008C2BA3" w:rsidP="003231F7">
      <w:pPr>
        <w:pStyle w:val="NormalWeb"/>
        <w:spacing w:after="0"/>
        <w:contextualSpacing/>
        <w:rPr>
          <w:rFonts w:eastAsiaTheme="majorEastAsia"/>
          <w:b/>
          <w:bCs/>
          <w:color w:val="0E101A"/>
          <w:kern w:val="2"/>
          <w14:ligatures w14:val="standardContextual"/>
        </w:rPr>
      </w:pPr>
    </w:p>
    <w:p w14:paraId="5A58CB93" w14:textId="51BF646D" w:rsidR="004F6AFA" w:rsidRPr="003231F7" w:rsidRDefault="004F6AFA" w:rsidP="003231F7">
      <w:pPr>
        <w:pStyle w:val="NormalWeb"/>
        <w:spacing w:after="0"/>
        <w:contextualSpacing/>
        <w:rPr>
          <w:rFonts w:eastAsiaTheme="majorEastAsia"/>
          <w:b/>
          <w:bCs/>
          <w:color w:val="0E101A"/>
          <w:kern w:val="2"/>
          <w14:ligatures w14:val="standardContextual"/>
        </w:rPr>
      </w:pPr>
      <w:r w:rsidRPr="003231F7">
        <w:rPr>
          <w:rFonts w:eastAsiaTheme="majorEastAsia"/>
          <w:b/>
          <w:bCs/>
          <w:color w:val="0E101A"/>
          <w:kern w:val="2"/>
          <w14:ligatures w14:val="standardContextual"/>
        </w:rPr>
        <w:t>Environmental Compliance</w:t>
      </w:r>
    </w:p>
    <w:p w14:paraId="1B86B18D" w14:textId="2AB11D22" w:rsidR="004F6AFA" w:rsidRDefault="002D2096" w:rsidP="003231F7">
      <w:pPr>
        <w:pStyle w:val="NormalWeb"/>
        <w:spacing w:after="0" w:line="360" w:lineRule="auto"/>
        <w:ind w:firstLine="720"/>
        <w:contextualSpacing/>
        <w:jc w:val="both"/>
        <w:rPr>
          <w:rFonts w:eastAsiaTheme="majorEastAsia"/>
          <w:color w:val="0E101A"/>
          <w:kern w:val="2"/>
          <w14:ligatures w14:val="standardContextual"/>
        </w:rPr>
      </w:pPr>
      <w:r w:rsidRPr="003231F7">
        <w:rPr>
          <w:rFonts w:eastAsiaTheme="majorEastAsia"/>
          <w:color w:val="0E101A"/>
          <w:kern w:val="2"/>
          <w14:ligatures w14:val="standardContextual"/>
        </w:rPr>
        <w:t>Stricter environmental regulations or unforeseen challenges related to ecological aspects may necessitate adjustments to the project plan. These modifications can impact both cost and schedule, emphasizing the importance of continuous monitoring and adaptation to evolving environmental standards</w:t>
      </w:r>
      <w:r w:rsidR="004F6AFA" w:rsidRPr="003231F7">
        <w:rPr>
          <w:rFonts w:eastAsiaTheme="majorEastAsia"/>
          <w:color w:val="0E101A"/>
          <w:kern w:val="2"/>
          <w14:ligatures w14:val="standardContextual"/>
        </w:rPr>
        <w:t>.</w:t>
      </w:r>
    </w:p>
    <w:p w14:paraId="51FCC61B" w14:textId="77777777" w:rsidR="00FB5FAE" w:rsidRPr="003231F7" w:rsidRDefault="00FB5FAE" w:rsidP="003231F7">
      <w:pPr>
        <w:pStyle w:val="NormalWeb"/>
        <w:spacing w:after="0" w:line="360" w:lineRule="auto"/>
        <w:ind w:firstLine="720"/>
        <w:contextualSpacing/>
        <w:jc w:val="both"/>
        <w:rPr>
          <w:rFonts w:eastAsiaTheme="majorEastAsia"/>
          <w:color w:val="0E101A"/>
          <w:kern w:val="2"/>
          <w14:ligatures w14:val="standardContextual"/>
        </w:rPr>
      </w:pPr>
    </w:p>
    <w:p w14:paraId="19563E53" w14:textId="60E25BD5" w:rsidR="004F6AFA" w:rsidRDefault="004F6AFA" w:rsidP="003231F7">
      <w:pPr>
        <w:pStyle w:val="NormalWeb"/>
        <w:spacing w:after="0"/>
        <w:contextualSpacing/>
        <w:rPr>
          <w:rFonts w:eastAsiaTheme="majorEastAsia"/>
          <w:b/>
          <w:bCs/>
          <w:color w:val="0E101A"/>
          <w:kern w:val="2"/>
          <w14:ligatures w14:val="standardContextual"/>
        </w:rPr>
      </w:pPr>
      <w:r w:rsidRPr="003231F7">
        <w:rPr>
          <w:rFonts w:eastAsiaTheme="majorEastAsia"/>
          <w:b/>
          <w:bCs/>
          <w:color w:val="0E101A"/>
          <w:kern w:val="2"/>
          <w14:ligatures w14:val="standardContextual"/>
        </w:rPr>
        <w:t>Permitting and Approvals</w:t>
      </w:r>
      <w:r w:rsidR="008C2BA3">
        <w:rPr>
          <w:rFonts w:eastAsiaTheme="majorEastAsia"/>
          <w:b/>
          <w:bCs/>
          <w:color w:val="0E101A"/>
          <w:kern w:val="2"/>
          <w14:ligatures w14:val="standardContextual"/>
        </w:rPr>
        <w:t>\</w:t>
      </w:r>
    </w:p>
    <w:p w14:paraId="1C3F814D" w14:textId="77777777" w:rsidR="00FB5FAE" w:rsidRDefault="002D2096" w:rsidP="003231F7">
      <w:pPr>
        <w:pStyle w:val="NormalWeb"/>
        <w:spacing w:after="0" w:line="360" w:lineRule="auto"/>
        <w:ind w:firstLine="720"/>
        <w:contextualSpacing/>
        <w:jc w:val="both"/>
        <w:rPr>
          <w:rFonts w:eastAsiaTheme="majorEastAsia"/>
          <w:color w:val="0E101A"/>
          <w:kern w:val="2"/>
          <w14:ligatures w14:val="standardContextual"/>
        </w:rPr>
      </w:pPr>
      <w:r w:rsidRPr="003231F7">
        <w:rPr>
          <w:rFonts w:eastAsiaTheme="majorEastAsia"/>
          <w:color w:val="0E101A"/>
          <w:kern w:val="2"/>
          <w14:ligatures w14:val="standardContextual"/>
        </w:rPr>
        <w:t>Delays in obtaining necessary permits or unexpected regulatory hurdles pose risks to the project's progression and may increase costs.</w:t>
      </w:r>
    </w:p>
    <w:p w14:paraId="1CA1B04D" w14:textId="7E0B8D7A" w:rsidR="004F6AFA" w:rsidRPr="003231F7" w:rsidRDefault="002D2096" w:rsidP="003231F7">
      <w:pPr>
        <w:pStyle w:val="NormalWeb"/>
        <w:spacing w:after="0" w:line="360" w:lineRule="auto"/>
        <w:ind w:firstLine="720"/>
        <w:contextualSpacing/>
        <w:jc w:val="both"/>
        <w:rPr>
          <w:rFonts w:eastAsiaTheme="majorEastAsia"/>
          <w:color w:val="0E101A"/>
          <w:kern w:val="2"/>
          <w14:ligatures w14:val="standardContextual"/>
        </w:rPr>
      </w:pPr>
      <w:r w:rsidRPr="003231F7">
        <w:rPr>
          <w:rFonts w:eastAsiaTheme="majorEastAsia"/>
          <w:color w:val="0E101A"/>
          <w:kern w:val="2"/>
          <w14:ligatures w14:val="standardContextual"/>
        </w:rPr>
        <w:lastRenderedPageBreak/>
        <w:t xml:space="preserve"> Proactive engagement with regulatory bodies and a thorough understanding of the approval processes are crucial to mitigate these risks and ensure compliance</w:t>
      </w:r>
      <w:r w:rsidR="004F6AFA" w:rsidRPr="003231F7">
        <w:rPr>
          <w:rFonts w:eastAsiaTheme="majorEastAsia"/>
          <w:color w:val="0E101A"/>
          <w:kern w:val="2"/>
          <w14:ligatures w14:val="standardContextual"/>
        </w:rPr>
        <w:t>.</w:t>
      </w:r>
    </w:p>
    <w:p w14:paraId="01F52BA7" w14:textId="0E81EDBE" w:rsidR="004F6AFA" w:rsidRPr="003231F7" w:rsidRDefault="004F6AFA" w:rsidP="003231F7">
      <w:pPr>
        <w:pStyle w:val="NormalWeb"/>
        <w:numPr>
          <w:ilvl w:val="0"/>
          <w:numId w:val="17"/>
        </w:numPr>
        <w:spacing w:after="0"/>
        <w:contextualSpacing/>
        <w:rPr>
          <w:rFonts w:eastAsiaTheme="majorEastAsia"/>
          <w:b/>
          <w:bCs/>
          <w:color w:val="0E101A"/>
          <w:kern w:val="2"/>
          <w14:ligatures w14:val="standardContextual"/>
        </w:rPr>
      </w:pPr>
      <w:r w:rsidRPr="003231F7">
        <w:rPr>
          <w:rFonts w:eastAsiaTheme="majorEastAsia"/>
          <w:b/>
          <w:bCs/>
          <w:color w:val="0E101A"/>
          <w:kern w:val="2"/>
          <w14:ligatures w14:val="standardContextual"/>
        </w:rPr>
        <w:t>Stakeholder and Community Risks</w:t>
      </w:r>
    </w:p>
    <w:p w14:paraId="1CECB846" w14:textId="77777777" w:rsidR="008C2BA3" w:rsidRDefault="008C2BA3" w:rsidP="003231F7">
      <w:pPr>
        <w:pStyle w:val="NormalWeb"/>
        <w:spacing w:after="0"/>
        <w:contextualSpacing/>
        <w:rPr>
          <w:rFonts w:eastAsiaTheme="majorEastAsia"/>
          <w:b/>
          <w:bCs/>
          <w:color w:val="0E101A"/>
          <w:kern w:val="2"/>
          <w14:ligatures w14:val="standardContextual"/>
        </w:rPr>
      </w:pPr>
    </w:p>
    <w:p w14:paraId="3598698E" w14:textId="41F9883F" w:rsidR="004F6AFA" w:rsidRPr="003231F7" w:rsidRDefault="004F6AFA" w:rsidP="003231F7">
      <w:pPr>
        <w:pStyle w:val="NormalWeb"/>
        <w:spacing w:after="0"/>
        <w:contextualSpacing/>
        <w:rPr>
          <w:rFonts w:eastAsiaTheme="majorEastAsia"/>
          <w:color w:val="0E101A"/>
          <w:kern w:val="2"/>
          <w14:ligatures w14:val="standardContextual"/>
        </w:rPr>
      </w:pPr>
      <w:r w:rsidRPr="003231F7">
        <w:rPr>
          <w:rFonts w:eastAsiaTheme="majorEastAsia"/>
          <w:b/>
          <w:bCs/>
          <w:color w:val="0E101A"/>
          <w:kern w:val="2"/>
          <w14:ligatures w14:val="standardContextual"/>
        </w:rPr>
        <w:t>Community Opposition</w:t>
      </w:r>
    </w:p>
    <w:p w14:paraId="331635CB" w14:textId="0D2E7101" w:rsidR="004F6AFA" w:rsidRPr="003231F7" w:rsidRDefault="004F6AFA" w:rsidP="003231F7">
      <w:pPr>
        <w:pStyle w:val="NormalWeb"/>
        <w:spacing w:after="0" w:line="360" w:lineRule="auto"/>
        <w:ind w:firstLine="720"/>
        <w:contextualSpacing/>
        <w:jc w:val="both"/>
        <w:rPr>
          <w:rFonts w:eastAsiaTheme="majorEastAsia"/>
          <w:color w:val="0E101A"/>
          <w:kern w:val="2"/>
          <w14:ligatures w14:val="standardContextual"/>
        </w:rPr>
      </w:pPr>
      <w:r w:rsidRPr="003231F7">
        <w:rPr>
          <w:rFonts w:eastAsiaTheme="majorEastAsia"/>
          <w:color w:val="0E101A"/>
          <w:kern w:val="2"/>
          <w14:ligatures w14:val="standardContextual"/>
        </w:rPr>
        <w:t xml:space="preserve">Resistance from the local community or stakeholders has the potential to lead to legal challenges, necessitate project redesigns, or cause reputational damage. </w:t>
      </w:r>
    </w:p>
    <w:p w14:paraId="76C927D6" w14:textId="77777777" w:rsidR="008C2BA3" w:rsidRDefault="008C2BA3" w:rsidP="003231F7">
      <w:pPr>
        <w:pStyle w:val="NormalWeb"/>
        <w:spacing w:after="0"/>
        <w:contextualSpacing/>
        <w:rPr>
          <w:rFonts w:eastAsiaTheme="majorEastAsia"/>
          <w:b/>
          <w:bCs/>
          <w:color w:val="0E101A"/>
          <w:kern w:val="2"/>
          <w14:ligatures w14:val="standardContextual"/>
        </w:rPr>
      </w:pPr>
    </w:p>
    <w:p w14:paraId="09388898" w14:textId="77777777" w:rsidR="008C2BA3" w:rsidRDefault="008C2BA3" w:rsidP="003231F7">
      <w:pPr>
        <w:pStyle w:val="NormalWeb"/>
        <w:spacing w:after="0"/>
        <w:contextualSpacing/>
        <w:rPr>
          <w:rFonts w:eastAsiaTheme="majorEastAsia"/>
          <w:b/>
          <w:bCs/>
          <w:color w:val="0E101A"/>
          <w:kern w:val="2"/>
          <w14:ligatures w14:val="standardContextual"/>
        </w:rPr>
      </w:pPr>
    </w:p>
    <w:p w14:paraId="761A88FB" w14:textId="1E0A38FA" w:rsidR="004F6AFA" w:rsidRPr="003231F7" w:rsidRDefault="004F6AFA" w:rsidP="003231F7">
      <w:pPr>
        <w:pStyle w:val="NormalWeb"/>
        <w:spacing w:after="0"/>
        <w:contextualSpacing/>
        <w:rPr>
          <w:rFonts w:eastAsiaTheme="majorEastAsia"/>
          <w:b/>
          <w:bCs/>
          <w:color w:val="0E101A"/>
          <w:kern w:val="2"/>
          <w14:ligatures w14:val="standardContextual"/>
        </w:rPr>
      </w:pPr>
      <w:r w:rsidRPr="003231F7">
        <w:rPr>
          <w:rFonts w:eastAsiaTheme="majorEastAsia"/>
          <w:b/>
          <w:bCs/>
          <w:color w:val="0E101A"/>
          <w:kern w:val="2"/>
          <w14:ligatures w14:val="standardContextual"/>
        </w:rPr>
        <w:t>Stakeholder Communication Breakdown</w:t>
      </w:r>
    </w:p>
    <w:p w14:paraId="7305F606" w14:textId="77777777" w:rsidR="004F6AFA" w:rsidRDefault="004F6AFA" w:rsidP="003231F7">
      <w:pPr>
        <w:pStyle w:val="NormalWeb"/>
        <w:spacing w:after="0" w:line="360" w:lineRule="auto"/>
        <w:ind w:firstLine="720"/>
        <w:contextualSpacing/>
        <w:jc w:val="both"/>
        <w:rPr>
          <w:rFonts w:eastAsiaTheme="majorEastAsia"/>
          <w:color w:val="0E101A"/>
          <w:kern w:val="2"/>
          <w14:ligatures w14:val="standardContextual"/>
        </w:rPr>
      </w:pPr>
      <w:r w:rsidRPr="003231F7">
        <w:rPr>
          <w:rFonts w:eastAsiaTheme="majorEastAsia"/>
          <w:color w:val="0E101A"/>
          <w:kern w:val="2"/>
          <w14:ligatures w14:val="standardContextual"/>
        </w:rPr>
        <w:t>Ineffective communication with stakeholders, including residents, local businesses, and governmental bodies, may result in misunderstandings and conflicts. These communication breakdowns can adversely impact project momentum, making clear and consistent communication a critical aspect of risk management.</w:t>
      </w:r>
    </w:p>
    <w:p w14:paraId="2A17D8FD" w14:textId="77777777" w:rsidR="00FB5FAE" w:rsidRPr="003231F7" w:rsidRDefault="00FB5FAE" w:rsidP="003231F7">
      <w:pPr>
        <w:pStyle w:val="NormalWeb"/>
        <w:spacing w:after="0" w:line="360" w:lineRule="auto"/>
        <w:ind w:firstLine="720"/>
        <w:contextualSpacing/>
        <w:jc w:val="both"/>
        <w:rPr>
          <w:rFonts w:eastAsiaTheme="majorEastAsia"/>
          <w:color w:val="0E101A"/>
          <w:kern w:val="2"/>
          <w14:ligatures w14:val="standardContextual"/>
        </w:rPr>
      </w:pPr>
    </w:p>
    <w:p w14:paraId="46BC334C" w14:textId="0AA2FD26" w:rsidR="004F6AFA" w:rsidRPr="003231F7" w:rsidRDefault="004F6AFA" w:rsidP="003231F7">
      <w:pPr>
        <w:pStyle w:val="NormalWeb"/>
        <w:numPr>
          <w:ilvl w:val="0"/>
          <w:numId w:val="17"/>
        </w:numPr>
        <w:spacing w:after="0"/>
        <w:contextualSpacing/>
        <w:rPr>
          <w:rFonts w:eastAsiaTheme="majorEastAsia"/>
          <w:b/>
          <w:bCs/>
          <w:color w:val="0E101A"/>
          <w:kern w:val="2"/>
          <w14:ligatures w14:val="standardContextual"/>
        </w:rPr>
      </w:pPr>
      <w:r w:rsidRPr="003231F7">
        <w:rPr>
          <w:rFonts w:eastAsiaTheme="majorEastAsia"/>
          <w:b/>
          <w:bCs/>
          <w:color w:val="0E101A"/>
          <w:kern w:val="2"/>
          <w14:ligatures w14:val="standardContextual"/>
        </w:rPr>
        <w:t>Technological and Innovation Risks</w:t>
      </w:r>
    </w:p>
    <w:p w14:paraId="2D33B55D" w14:textId="77777777" w:rsidR="008C2BA3" w:rsidRDefault="008C2BA3" w:rsidP="003231F7">
      <w:pPr>
        <w:pStyle w:val="NormalWeb"/>
        <w:spacing w:after="0"/>
        <w:contextualSpacing/>
        <w:rPr>
          <w:rFonts w:eastAsiaTheme="majorEastAsia"/>
          <w:b/>
          <w:bCs/>
          <w:color w:val="0E101A"/>
          <w:kern w:val="2"/>
          <w14:ligatures w14:val="standardContextual"/>
        </w:rPr>
      </w:pPr>
    </w:p>
    <w:p w14:paraId="3D08D2D6" w14:textId="58DCE46B" w:rsidR="004F6AFA" w:rsidRPr="003231F7" w:rsidRDefault="004F6AFA" w:rsidP="003231F7">
      <w:pPr>
        <w:pStyle w:val="NormalWeb"/>
        <w:spacing w:after="0"/>
        <w:contextualSpacing/>
        <w:rPr>
          <w:rFonts w:eastAsiaTheme="majorEastAsia"/>
          <w:color w:val="0E101A"/>
          <w:kern w:val="2"/>
          <w14:ligatures w14:val="standardContextual"/>
        </w:rPr>
      </w:pPr>
      <w:r w:rsidRPr="003231F7">
        <w:rPr>
          <w:rFonts w:eastAsiaTheme="majorEastAsia"/>
          <w:b/>
          <w:bCs/>
          <w:color w:val="0E101A"/>
          <w:kern w:val="2"/>
          <w14:ligatures w14:val="standardContextual"/>
        </w:rPr>
        <w:t>Technological Dependencies</w:t>
      </w:r>
    </w:p>
    <w:p w14:paraId="405C1D2D" w14:textId="298A3D55" w:rsidR="004F6AFA" w:rsidRDefault="004F6AFA" w:rsidP="003231F7">
      <w:pPr>
        <w:pStyle w:val="NormalWeb"/>
        <w:spacing w:after="0" w:line="360" w:lineRule="auto"/>
        <w:ind w:firstLine="720"/>
        <w:contextualSpacing/>
        <w:jc w:val="both"/>
        <w:rPr>
          <w:rFonts w:eastAsiaTheme="majorEastAsia"/>
          <w:color w:val="0E101A"/>
          <w:kern w:val="2"/>
          <w14:ligatures w14:val="standardContextual"/>
        </w:rPr>
      </w:pPr>
      <w:r w:rsidRPr="003231F7">
        <w:rPr>
          <w:rFonts w:eastAsiaTheme="majorEastAsia"/>
          <w:color w:val="0E101A"/>
          <w:kern w:val="2"/>
          <w14:ligatures w14:val="standardContextual"/>
        </w:rPr>
        <w:t>Relying on innovative technologies for design or construction introduces risks associated with unproven methodologies or potential technical failures. Continuous monitoring of technological advancements and thorough testing are essential to mitigate risks and ensure the successful integration of innovative solutions.</w:t>
      </w:r>
    </w:p>
    <w:p w14:paraId="6DC20934" w14:textId="77777777" w:rsidR="00FB5FAE" w:rsidRPr="003231F7" w:rsidRDefault="00FB5FAE" w:rsidP="003231F7">
      <w:pPr>
        <w:pStyle w:val="NormalWeb"/>
        <w:spacing w:after="0" w:line="360" w:lineRule="auto"/>
        <w:ind w:firstLine="720"/>
        <w:contextualSpacing/>
        <w:jc w:val="both"/>
        <w:rPr>
          <w:rFonts w:eastAsiaTheme="majorEastAsia"/>
          <w:color w:val="0E101A"/>
          <w:kern w:val="2"/>
          <w14:ligatures w14:val="standardContextual"/>
        </w:rPr>
      </w:pPr>
    </w:p>
    <w:p w14:paraId="28D810C7" w14:textId="6AAEB2FA" w:rsidR="004F6AFA" w:rsidRPr="003231F7" w:rsidRDefault="004F6AFA" w:rsidP="003231F7">
      <w:pPr>
        <w:pStyle w:val="NormalWeb"/>
        <w:spacing w:after="0"/>
        <w:contextualSpacing/>
        <w:rPr>
          <w:rFonts w:eastAsiaTheme="majorEastAsia"/>
          <w:b/>
          <w:bCs/>
          <w:color w:val="0E101A"/>
          <w:kern w:val="2"/>
          <w14:ligatures w14:val="standardContextual"/>
        </w:rPr>
      </w:pPr>
      <w:r w:rsidRPr="003231F7">
        <w:rPr>
          <w:rFonts w:eastAsiaTheme="majorEastAsia"/>
          <w:b/>
          <w:bCs/>
          <w:color w:val="0E101A"/>
          <w:kern w:val="2"/>
          <w14:ligatures w14:val="standardContextual"/>
        </w:rPr>
        <w:t>Cybersecurity Threats</w:t>
      </w:r>
    </w:p>
    <w:p w14:paraId="549A7581" w14:textId="1886D2D3" w:rsidR="004F6AFA" w:rsidRDefault="002D2096" w:rsidP="003231F7">
      <w:pPr>
        <w:pStyle w:val="NormalWeb"/>
        <w:spacing w:after="0" w:line="360" w:lineRule="auto"/>
        <w:ind w:firstLine="720"/>
        <w:contextualSpacing/>
        <w:jc w:val="both"/>
        <w:rPr>
          <w:rFonts w:eastAsiaTheme="majorEastAsia"/>
          <w:color w:val="0E101A"/>
          <w:kern w:val="2"/>
          <w14:ligatures w14:val="standardContextual"/>
        </w:rPr>
      </w:pPr>
      <w:r w:rsidRPr="003231F7">
        <w:rPr>
          <w:rFonts w:eastAsiaTheme="majorEastAsia"/>
          <w:color w:val="0E101A"/>
          <w:kern w:val="2"/>
          <w14:ligatures w14:val="standardContextual"/>
        </w:rPr>
        <w:t>Given the substantial reliance on digital systems, the project is vulnerable to cybersecurity threats like data breaches or malfunctions. Implementing robust cybersecurity measures, including regular audits and updates, is imperative to safeguard project integrity and prevent potential disruptions</w:t>
      </w:r>
      <w:r w:rsidR="004F6AFA" w:rsidRPr="003231F7">
        <w:rPr>
          <w:rFonts w:eastAsiaTheme="majorEastAsia"/>
          <w:color w:val="0E101A"/>
          <w:kern w:val="2"/>
          <w14:ligatures w14:val="standardContextual"/>
        </w:rPr>
        <w:t>.</w:t>
      </w:r>
    </w:p>
    <w:p w14:paraId="0828250F" w14:textId="77777777" w:rsidR="008C2BA3" w:rsidRPr="003231F7" w:rsidRDefault="008C2BA3" w:rsidP="003231F7">
      <w:pPr>
        <w:pStyle w:val="NormalWeb"/>
        <w:spacing w:after="0" w:line="360" w:lineRule="auto"/>
        <w:ind w:firstLine="720"/>
        <w:contextualSpacing/>
        <w:jc w:val="both"/>
        <w:rPr>
          <w:rFonts w:eastAsiaTheme="majorEastAsia"/>
          <w:color w:val="0E101A"/>
          <w:kern w:val="2"/>
          <w14:ligatures w14:val="standardContextual"/>
        </w:rPr>
      </w:pPr>
    </w:p>
    <w:p w14:paraId="3115B451" w14:textId="2B7C1DD8" w:rsidR="008C2BA3" w:rsidRPr="008C2BA3" w:rsidRDefault="004F6AFA" w:rsidP="008C2BA3">
      <w:pPr>
        <w:pStyle w:val="NormalWeb"/>
        <w:numPr>
          <w:ilvl w:val="0"/>
          <w:numId w:val="17"/>
        </w:numPr>
        <w:spacing w:after="0"/>
        <w:contextualSpacing/>
        <w:rPr>
          <w:rFonts w:eastAsiaTheme="majorEastAsia"/>
          <w:b/>
          <w:bCs/>
          <w:color w:val="0E101A"/>
          <w:kern w:val="2"/>
          <w14:ligatures w14:val="standardContextual"/>
        </w:rPr>
      </w:pPr>
      <w:r w:rsidRPr="003231F7">
        <w:rPr>
          <w:rFonts w:eastAsiaTheme="majorEastAsia"/>
          <w:b/>
          <w:bCs/>
          <w:color w:val="0E101A"/>
          <w:kern w:val="2"/>
          <w14:ligatures w14:val="standardContextual"/>
        </w:rPr>
        <w:t>Quality and Safety Risks</w:t>
      </w:r>
    </w:p>
    <w:p w14:paraId="4579C31F" w14:textId="77777777" w:rsidR="008C2BA3" w:rsidRDefault="008C2BA3" w:rsidP="003231F7">
      <w:pPr>
        <w:pStyle w:val="NormalWeb"/>
        <w:spacing w:after="0"/>
        <w:contextualSpacing/>
        <w:rPr>
          <w:rFonts w:eastAsiaTheme="majorEastAsia"/>
          <w:b/>
          <w:bCs/>
          <w:color w:val="0E101A"/>
          <w:kern w:val="2"/>
          <w14:ligatures w14:val="standardContextual"/>
        </w:rPr>
      </w:pPr>
    </w:p>
    <w:p w14:paraId="34F6B1EF" w14:textId="4A62A5A7" w:rsidR="004F6AFA" w:rsidRPr="003231F7" w:rsidRDefault="004F6AFA" w:rsidP="003231F7">
      <w:pPr>
        <w:pStyle w:val="NormalWeb"/>
        <w:spacing w:after="0"/>
        <w:contextualSpacing/>
        <w:rPr>
          <w:rFonts w:eastAsiaTheme="majorEastAsia"/>
          <w:color w:val="0E101A"/>
          <w:kern w:val="2"/>
          <w14:ligatures w14:val="standardContextual"/>
        </w:rPr>
      </w:pPr>
      <w:r w:rsidRPr="003231F7">
        <w:rPr>
          <w:rFonts w:eastAsiaTheme="majorEastAsia"/>
          <w:b/>
          <w:bCs/>
          <w:color w:val="0E101A"/>
          <w:kern w:val="2"/>
          <w14:ligatures w14:val="standardContextual"/>
        </w:rPr>
        <w:t>Quality Control Issues</w:t>
      </w:r>
    </w:p>
    <w:p w14:paraId="777FD3AF" w14:textId="0DA6A24C" w:rsidR="004F6AFA" w:rsidRPr="003231F7" w:rsidRDefault="004F6AFA" w:rsidP="003231F7">
      <w:pPr>
        <w:pStyle w:val="NormalWeb"/>
        <w:spacing w:after="0" w:line="360" w:lineRule="auto"/>
        <w:ind w:firstLine="720"/>
        <w:contextualSpacing/>
        <w:jc w:val="both"/>
        <w:rPr>
          <w:rFonts w:eastAsiaTheme="majorEastAsia"/>
          <w:color w:val="0E101A"/>
          <w:kern w:val="2"/>
          <w14:ligatures w14:val="standardContextual"/>
        </w:rPr>
      </w:pPr>
      <w:r w:rsidRPr="003231F7">
        <w:rPr>
          <w:rFonts w:eastAsiaTheme="majorEastAsia"/>
          <w:color w:val="0E101A"/>
          <w:kern w:val="2"/>
          <w14:ligatures w14:val="standardContextual"/>
        </w:rPr>
        <w:t>Ensuring adherence to quality standards may pose challenges during construction, and deviations could lead to rework, delays, and increased costs. Rigorous quality control measures, including regular inspections and audits, are essential to maintain the project's quality standards.</w:t>
      </w:r>
    </w:p>
    <w:p w14:paraId="4E68C0DF" w14:textId="77777777" w:rsidR="008C2BA3" w:rsidRDefault="008C2BA3" w:rsidP="003231F7">
      <w:pPr>
        <w:pStyle w:val="NormalWeb"/>
        <w:spacing w:after="0"/>
        <w:contextualSpacing/>
        <w:rPr>
          <w:rFonts w:eastAsiaTheme="majorEastAsia"/>
          <w:b/>
          <w:bCs/>
          <w:color w:val="0E101A"/>
          <w:kern w:val="2"/>
          <w14:ligatures w14:val="standardContextual"/>
        </w:rPr>
      </w:pPr>
    </w:p>
    <w:p w14:paraId="7DE8CA25" w14:textId="07226AD2" w:rsidR="004F6AFA" w:rsidRPr="003231F7" w:rsidRDefault="004F6AFA" w:rsidP="003231F7">
      <w:pPr>
        <w:pStyle w:val="NormalWeb"/>
        <w:spacing w:after="0"/>
        <w:contextualSpacing/>
        <w:rPr>
          <w:rFonts w:eastAsiaTheme="majorEastAsia"/>
          <w:b/>
          <w:bCs/>
          <w:color w:val="0E101A"/>
          <w:kern w:val="2"/>
          <w14:ligatures w14:val="standardContextual"/>
        </w:rPr>
      </w:pPr>
      <w:r w:rsidRPr="003231F7">
        <w:rPr>
          <w:rFonts w:eastAsiaTheme="majorEastAsia"/>
          <w:b/>
          <w:bCs/>
          <w:color w:val="0E101A"/>
          <w:kern w:val="2"/>
          <w14:ligatures w14:val="standardContextual"/>
        </w:rPr>
        <w:t>Safety Incidents</w:t>
      </w:r>
    </w:p>
    <w:p w14:paraId="163F71F2" w14:textId="1F75D4A5" w:rsidR="00542EE6" w:rsidRPr="003231F7" w:rsidRDefault="004F6AFA" w:rsidP="003231F7">
      <w:pPr>
        <w:pStyle w:val="NormalWeb"/>
        <w:spacing w:before="0" w:beforeAutospacing="0" w:after="0" w:afterAutospacing="0" w:line="360" w:lineRule="auto"/>
        <w:ind w:firstLine="720"/>
        <w:contextualSpacing/>
        <w:jc w:val="both"/>
        <w:rPr>
          <w:rFonts w:eastAsiaTheme="majorEastAsia"/>
          <w:color w:val="0E101A"/>
          <w:kern w:val="2"/>
          <w14:ligatures w14:val="standardContextual"/>
        </w:rPr>
      </w:pPr>
      <w:r w:rsidRPr="003231F7">
        <w:rPr>
          <w:rFonts w:eastAsiaTheme="majorEastAsia"/>
          <w:color w:val="0E101A"/>
          <w:kern w:val="2"/>
          <w14:ligatures w14:val="standardContextual"/>
        </w:rPr>
        <w:t>Workplace accidents or safety lapses during construction could result in disruptions, legal consequences, and damage to the project's reputation. Prioritizing safety protocols, providing thorough training, and fostering a safety-conscious culture are critical elements in mitigating safety risks and ensuring a secure construction environment.</w:t>
      </w:r>
    </w:p>
    <w:p w14:paraId="5E5D21AC" w14:textId="35E1BEF8" w:rsidR="004C18E7" w:rsidRPr="003231F7" w:rsidRDefault="004C18E7" w:rsidP="003231F7">
      <w:pPr>
        <w:pStyle w:val="NormalWeb"/>
        <w:spacing w:before="0" w:beforeAutospacing="0" w:after="0" w:afterAutospacing="0"/>
        <w:contextualSpacing/>
        <w:rPr>
          <w:rFonts w:eastAsiaTheme="majorEastAsia"/>
          <w:color w:val="0E101A"/>
          <w:kern w:val="2"/>
          <w14:ligatures w14:val="standardContextual"/>
        </w:rPr>
      </w:pPr>
    </w:p>
    <w:p w14:paraId="618C9530" w14:textId="77777777" w:rsidR="008C2BA3" w:rsidRDefault="008C2BA3" w:rsidP="003231F7">
      <w:pPr>
        <w:pStyle w:val="NormalWeb"/>
        <w:spacing w:before="0" w:beforeAutospacing="0" w:after="0" w:afterAutospacing="0"/>
        <w:contextualSpacing/>
        <w:rPr>
          <w:rFonts w:eastAsiaTheme="majorEastAsia"/>
          <w:b/>
          <w:bCs/>
          <w:color w:val="0E101A"/>
          <w:kern w:val="2"/>
          <w14:ligatures w14:val="standardContextual"/>
        </w:rPr>
      </w:pPr>
    </w:p>
    <w:p w14:paraId="6F93C363" w14:textId="62BC0159" w:rsidR="004C18E7" w:rsidRPr="003231F7" w:rsidRDefault="00FD22AF" w:rsidP="003231F7">
      <w:pPr>
        <w:pStyle w:val="NormalWeb"/>
        <w:spacing w:before="0" w:beforeAutospacing="0" w:after="0" w:afterAutospacing="0"/>
        <w:contextualSpacing/>
        <w:rPr>
          <w:b/>
          <w:bCs/>
          <w:color w:val="0F0F0F"/>
        </w:rPr>
      </w:pPr>
      <w:r w:rsidRPr="003231F7">
        <w:rPr>
          <w:rFonts w:eastAsiaTheme="majorEastAsia"/>
          <w:b/>
          <w:bCs/>
          <w:color w:val="0E101A"/>
          <w:kern w:val="2"/>
          <w14:ligatures w14:val="standardContextual"/>
        </w:rPr>
        <w:t>Risks Register</w:t>
      </w:r>
    </w:p>
    <w:p w14:paraId="461786EC" w14:textId="77777777" w:rsidR="002D476F" w:rsidRPr="003231F7" w:rsidRDefault="002D476F" w:rsidP="003231F7">
      <w:pPr>
        <w:pStyle w:val="NormalWeb"/>
        <w:spacing w:before="0" w:beforeAutospacing="0" w:after="0" w:afterAutospacing="0"/>
        <w:contextualSpacing/>
        <w:rPr>
          <w:rFonts w:eastAsiaTheme="majorEastAsia"/>
          <w:color w:val="0E101A"/>
          <w:kern w:val="2"/>
          <w14:ligatures w14:val="standardContextual"/>
        </w:rPr>
      </w:pPr>
    </w:p>
    <w:tbl>
      <w:tblPr>
        <w:tblStyle w:val="TableGrid"/>
        <w:tblW w:w="10165" w:type="dxa"/>
        <w:tblLook w:val="04A0" w:firstRow="1" w:lastRow="0" w:firstColumn="1" w:lastColumn="0" w:noHBand="0" w:noVBand="1"/>
      </w:tblPr>
      <w:tblGrid>
        <w:gridCol w:w="1866"/>
        <w:gridCol w:w="1869"/>
        <w:gridCol w:w="1324"/>
        <w:gridCol w:w="1170"/>
        <w:gridCol w:w="3936"/>
      </w:tblGrid>
      <w:tr w:rsidR="004C18E7" w:rsidRPr="003231F7" w14:paraId="534D27E0" w14:textId="77777777" w:rsidTr="004C18E7">
        <w:tc>
          <w:tcPr>
            <w:tcW w:w="1870" w:type="dxa"/>
          </w:tcPr>
          <w:p w14:paraId="45994920" w14:textId="5E47839C" w:rsidR="004C18E7" w:rsidRPr="003231F7" w:rsidRDefault="004C18E7" w:rsidP="003231F7">
            <w:pPr>
              <w:contextualSpacing/>
              <w:rPr>
                <w:rFonts w:ascii="Times New Roman" w:hAnsi="Times New Roman" w:cs="Times New Roman"/>
                <w:b/>
                <w:bCs/>
                <w:sz w:val="24"/>
                <w:szCs w:val="24"/>
              </w:rPr>
            </w:pPr>
            <w:r w:rsidRPr="003231F7">
              <w:rPr>
                <w:rFonts w:ascii="Times New Roman" w:hAnsi="Times New Roman" w:cs="Times New Roman"/>
                <w:b/>
                <w:bCs/>
                <w:sz w:val="24"/>
                <w:szCs w:val="24"/>
              </w:rPr>
              <w:t>Risk Category</w:t>
            </w:r>
            <w:r w:rsidRPr="003231F7">
              <w:rPr>
                <w:rFonts w:ascii="Times New Roman" w:hAnsi="Times New Roman" w:cs="Times New Roman"/>
                <w:b/>
                <w:bCs/>
                <w:sz w:val="24"/>
                <w:szCs w:val="24"/>
              </w:rPr>
              <w:tab/>
            </w:r>
          </w:p>
        </w:tc>
        <w:tc>
          <w:tcPr>
            <w:tcW w:w="1870" w:type="dxa"/>
          </w:tcPr>
          <w:p w14:paraId="24972705" w14:textId="697871F7" w:rsidR="004C18E7" w:rsidRPr="003231F7" w:rsidRDefault="004C18E7" w:rsidP="003231F7">
            <w:pPr>
              <w:contextualSpacing/>
              <w:rPr>
                <w:rFonts w:ascii="Times New Roman" w:hAnsi="Times New Roman" w:cs="Times New Roman"/>
                <w:b/>
                <w:bCs/>
                <w:sz w:val="24"/>
                <w:szCs w:val="24"/>
              </w:rPr>
            </w:pPr>
            <w:r w:rsidRPr="003231F7">
              <w:rPr>
                <w:rFonts w:ascii="Times New Roman" w:hAnsi="Times New Roman" w:cs="Times New Roman"/>
                <w:b/>
                <w:bCs/>
                <w:sz w:val="24"/>
                <w:szCs w:val="24"/>
              </w:rPr>
              <w:t>Risk Description</w:t>
            </w:r>
          </w:p>
        </w:tc>
        <w:tc>
          <w:tcPr>
            <w:tcW w:w="1295" w:type="dxa"/>
          </w:tcPr>
          <w:p w14:paraId="55C0AEDA" w14:textId="35A86467" w:rsidR="004C18E7" w:rsidRPr="003231F7" w:rsidRDefault="004C18E7" w:rsidP="003231F7">
            <w:pPr>
              <w:contextualSpacing/>
              <w:rPr>
                <w:rFonts w:ascii="Times New Roman" w:hAnsi="Times New Roman" w:cs="Times New Roman"/>
                <w:b/>
                <w:bCs/>
                <w:sz w:val="24"/>
                <w:szCs w:val="24"/>
              </w:rPr>
            </w:pPr>
            <w:r w:rsidRPr="003231F7">
              <w:rPr>
                <w:rFonts w:ascii="Times New Roman" w:hAnsi="Times New Roman" w:cs="Times New Roman"/>
                <w:b/>
                <w:bCs/>
                <w:sz w:val="24"/>
                <w:szCs w:val="24"/>
              </w:rPr>
              <w:t>Likelihood</w:t>
            </w:r>
          </w:p>
        </w:tc>
        <w:tc>
          <w:tcPr>
            <w:tcW w:w="1170" w:type="dxa"/>
          </w:tcPr>
          <w:p w14:paraId="5C00B856" w14:textId="63D28B02" w:rsidR="004C18E7" w:rsidRPr="003231F7" w:rsidRDefault="004C18E7" w:rsidP="003231F7">
            <w:pPr>
              <w:contextualSpacing/>
              <w:rPr>
                <w:rFonts w:ascii="Times New Roman" w:hAnsi="Times New Roman" w:cs="Times New Roman"/>
                <w:b/>
                <w:bCs/>
                <w:sz w:val="24"/>
                <w:szCs w:val="24"/>
              </w:rPr>
            </w:pPr>
            <w:r w:rsidRPr="003231F7">
              <w:rPr>
                <w:rFonts w:ascii="Times New Roman" w:hAnsi="Times New Roman" w:cs="Times New Roman"/>
                <w:b/>
                <w:bCs/>
                <w:sz w:val="24"/>
                <w:szCs w:val="24"/>
              </w:rPr>
              <w:t>Impact</w:t>
            </w:r>
            <w:r w:rsidRPr="003231F7">
              <w:rPr>
                <w:rFonts w:ascii="Times New Roman" w:hAnsi="Times New Roman" w:cs="Times New Roman"/>
                <w:b/>
                <w:bCs/>
                <w:sz w:val="24"/>
                <w:szCs w:val="24"/>
              </w:rPr>
              <w:tab/>
            </w:r>
          </w:p>
        </w:tc>
        <w:tc>
          <w:tcPr>
            <w:tcW w:w="3960" w:type="dxa"/>
          </w:tcPr>
          <w:p w14:paraId="22AC9E99" w14:textId="1F2BAC29" w:rsidR="004C18E7" w:rsidRPr="003231F7" w:rsidRDefault="004C18E7" w:rsidP="003231F7">
            <w:pPr>
              <w:contextualSpacing/>
              <w:rPr>
                <w:rFonts w:ascii="Times New Roman" w:hAnsi="Times New Roman" w:cs="Times New Roman"/>
                <w:b/>
                <w:bCs/>
                <w:sz w:val="24"/>
                <w:szCs w:val="24"/>
              </w:rPr>
            </w:pPr>
            <w:r w:rsidRPr="003231F7">
              <w:rPr>
                <w:rFonts w:ascii="Times New Roman" w:hAnsi="Times New Roman" w:cs="Times New Roman"/>
                <w:b/>
                <w:bCs/>
                <w:sz w:val="24"/>
                <w:szCs w:val="24"/>
              </w:rPr>
              <w:t>Mitigation</w:t>
            </w:r>
          </w:p>
        </w:tc>
      </w:tr>
      <w:tr w:rsidR="004C18E7" w:rsidRPr="003231F7" w14:paraId="1860AC5E" w14:textId="77777777" w:rsidTr="004C18E7">
        <w:tc>
          <w:tcPr>
            <w:tcW w:w="1870" w:type="dxa"/>
          </w:tcPr>
          <w:p w14:paraId="51FFA37A" w14:textId="4C1B0BE9" w:rsidR="004C18E7" w:rsidRPr="003231F7" w:rsidRDefault="004C18E7" w:rsidP="003231F7">
            <w:pPr>
              <w:contextualSpacing/>
              <w:rPr>
                <w:rFonts w:ascii="Times New Roman" w:hAnsi="Times New Roman" w:cs="Times New Roman"/>
                <w:sz w:val="24"/>
                <w:szCs w:val="24"/>
              </w:rPr>
            </w:pPr>
            <w:r w:rsidRPr="003231F7">
              <w:rPr>
                <w:rFonts w:ascii="Times New Roman" w:hAnsi="Times New Roman" w:cs="Times New Roman"/>
                <w:sz w:val="24"/>
                <w:szCs w:val="24"/>
              </w:rPr>
              <w:t>Market and Economic Risks</w:t>
            </w:r>
          </w:p>
        </w:tc>
        <w:tc>
          <w:tcPr>
            <w:tcW w:w="1870" w:type="dxa"/>
          </w:tcPr>
          <w:p w14:paraId="572F56C3" w14:textId="4A136CD0" w:rsidR="004C18E7" w:rsidRPr="003231F7" w:rsidRDefault="004C18E7" w:rsidP="003231F7">
            <w:pPr>
              <w:contextualSpacing/>
              <w:rPr>
                <w:rFonts w:ascii="Times New Roman" w:hAnsi="Times New Roman" w:cs="Times New Roman"/>
                <w:sz w:val="24"/>
                <w:szCs w:val="24"/>
              </w:rPr>
            </w:pPr>
            <w:r w:rsidRPr="003231F7">
              <w:rPr>
                <w:rFonts w:ascii="Times New Roman" w:hAnsi="Times New Roman" w:cs="Times New Roman"/>
                <w:sz w:val="24"/>
                <w:szCs w:val="24"/>
              </w:rPr>
              <w:t>UK High Inflation</w:t>
            </w:r>
          </w:p>
        </w:tc>
        <w:tc>
          <w:tcPr>
            <w:tcW w:w="1295" w:type="dxa"/>
          </w:tcPr>
          <w:p w14:paraId="4E204FB4" w14:textId="595F2880" w:rsidR="004C18E7" w:rsidRPr="003231F7" w:rsidRDefault="004C18E7" w:rsidP="003231F7">
            <w:pPr>
              <w:contextualSpacing/>
              <w:rPr>
                <w:rFonts w:ascii="Times New Roman" w:hAnsi="Times New Roman" w:cs="Times New Roman"/>
                <w:sz w:val="24"/>
                <w:szCs w:val="24"/>
              </w:rPr>
            </w:pPr>
            <w:r w:rsidRPr="003231F7">
              <w:rPr>
                <w:rFonts w:ascii="Times New Roman" w:hAnsi="Times New Roman" w:cs="Times New Roman"/>
                <w:sz w:val="24"/>
                <w:szCs w:val="24"/>
              </w:rPr>
              <w:t>Moderate</w:t>
            </w:r>
            <w:r w:rsidRPr="003231F7">
              <w:rPr>
                <w:rFonts w:ascii="Times New Roman" w:hAnsi="Times New Roman" w:cs="Times New Roman"/>
                <w:sz w:val="24"/>
                <w:szCs w:val="24"/>
              </w:rPr>
              <w:tab/>
            </w:r>
          </w:p>
        </w:tc>
        <w:tc>
          <w:tcPr>
            <w:tcW w:w="1170" w:type="dxa"/>
          </w:tcPr>
          <w:p w14:paraId="489E9690" w14:textId="32A1A506" w:rsidR="004C18E7" w:rsidRPr="003231F7" w:rsidRDefault="004C18E7" w:rsidP="003231F7">
            <w:pPr>
              <w:contextualSpacing/>
              <w:rPr>
                <w:rFonts w:ascii="Times New Roman" w:hAnsi="Times New Roman" w:cs="Times New Roman"/>
                <w:sz w:val="24"/>
                <w:szCs w:val="24"/>
              </w:rPr>
            </w:pPr>
            <w:r w:rsidRPr="003231F7">
              <w:rPr>
                <w:rFonts w:ascii="Times New Roman" w:hAnsi="Times New Roman" w:cs="Times New Roman"/>
                <w:sz w:val="24"/>
                <w:szCs w:val="24"/>
              </w:rPr>
              <w:t>High</w:t>
            </w:r>
          </w:p>
        </w:tc>
        <w:tc>
          <w:tcPr>
            <w:tcW w:w="3960" w:type="dxa"/>
          </w:tcPr>
          <w:p w14:paraId="0702FAEB" w14:textId="648579B2" w:rsidR="004C18E7" w:rsidRPr="003231F7" w:rsidRDefault="004C18E7" w:rsidP="003231F7">
            <w:pPr>
              <w:contextualSpacing/>
              <w:rPr>
                <w:rFonts w:ascii="Times New Roman" w:hAnsi="Times New Roman" w:cs="Times New Roman"/>
                <w:sz w:val="24"/>
                <w:szCs w:val="24"/>
              </w:rPr>
            </w:pPr>
            <w:r w:rsidRPr="003231F7">
              <w:rPr>
                <w:rFonts w:ascii="Times New Roman" w:hAnsi="Times New Roman" w:cs="Times New Roman"/>
                <w:sz w:val="24"/>
                <w:szCs w:val="24"/>
              </w:rPr>
              <w:t>Regular monitoring, transparent communication, escalation clauses, and flexibility in project plans.</w:t>
            </w:r>
          </w:p>
        </w:tc>
      </w:tr>
      <w:tr w:rsidR="004C18E7" w:rsidRPr="003231F7" w14:paraId="699DA774" w14:textId="77777777" w:rsidTr="004C18E7">
        <w:tc>
          <w:tcPr>
            <w:tcW w:w="1870" w:type="dxa"/>
          </w:tcPr>
          <w:p w14:paraId="4FC13EF4" w14:textId="5B18AA19" w:rsidR="004C18E7" w:rsidRPr="003231F7" w:rsidRDefault="004C18E7" w:rsidP="003231F7">
            <w:pPr>
              <w:contextualSpacing/>
              <w:rPr>
                <w:rFonts w:ascii="Times New Roman" w:hAnsi="Times New Roman" w:cs="Times New Roman"/>
                <w:sz w:val="24"/>
                <w:szCs w:val="24"/>
              </w:rPr>
            </w:pPr>
            <w:r w:rsidRPr="003231F7">
              <w:rPr>
                <w:rFonts w:ascii="Times New Roman" w:hAnsi="Times New Roman" w:cs="Times New Roman"/>
                <w:sz w:val="24"/>
                <w:szCs w:val="24"/>
              </w:rPr>
              <w:t>Project Execution Risks</w:t>
            </w:r>
          </w:p>
        </w:tc>
        <w:tc>
          <w:tcPr>
            <w:tcW w:w="1870" w:type="dxa"/>
          </w:tcPr>
          <w:p w14:paraId="4399084F" w14:textId="38B1BA16" w:rsidR="004C18E7" w:rsidRPr="003231F7" w:rsidRDefault="004C18E7" w:rsidP="003231F7">
            <w:pPr>
              <w:contextualSpacing/>
              <w:rPr>
                <w:rFonts w:ascii="Times New Roman" w:hAnsi="Times New Roman" w:cs="Times New Roman"/>
                <w:sz w:val="24"/>
                <w:szCs w:val="24"/>
              </w:rPr>
            </w:pPr>
            <w:r w:rsidRPr="003231F7">
              <w:rPr>
                <w:rFonts w:ascii="Times New Roman" w:hAnsi="Times New Roman" w:cs="Times New Roman"/>
                <w:sz w:val="24"/>
                <w:szCs w:val="24"/>
              </w:rPr>
              <w:t>Construction Delays</w:t>
            </w:r>
          </w:p>
        </w:tc>
        <w:tc>
          <w:tcPr>
            <w:tcW w:w="1295" w:type="dxa"/>
          </w:tcPr>
          <w:p w14:paraId="60E0873A" w14:textId="223CA8EB" w:rsidR="004C18E7" w:rsidRPr="003231F7" w:rsidRDefault="004C18E7" w:rsidP="003231F7">
            <w:pPr>
              <w:contextualSpacing/>
              <w:rPr>
                <w:rFonts w:ascii="Times New Roman" w:hAnsi="Times New Roman" w:cs="Times New Roman"/>
                <w:sz w:val="24"/>
                <w:szCs w:val="24"/>
              </w:rPr>
            </w:pPr>
            <w:r w:rsidRPr="003231F7">
              <w:rPr>
                <w:rFonts w:ascii="Times New Roman" w:hAnsi="Times New Roman" w:cs="Times New Roman"/>
                <w:sz w:val="24"/>
                <w:szCs w:val="24"/>
              </w:rPr>
              <w:t>High</w:t>
            </w:r>
            <w:r w:rsidRPr="003231F7">
              <w:rPr>
                <w:rFonts w:ascii="Times New Roman" w:hAnsi="Times New Roman" w:cs="Times New Roman"/>
                <w:sz w:val="24"/>
                <w:szCs w:val="24"/>
              </w:rPr>
              <w:tab/>
            </w:r>
          </w:p>
        </w:tc>
        <w:tc>
          <w:tcPr>
            <w:tcW w:w="1170" w:type="dxa"/>
          </w:tcPr>
          <w:p w14:paraId="20B0B5AE" w14:textId="0C28F21A" w:rsidR="004C18E7" w:rsidRPr="003231F7" w:rsidRDefault="004C18E7" w:rsidP="003231F7">
            <w:pPr>
              <w:contextualSpacing/>
              <w:rPr>
                <w:rFonts w:ascii="Times New Roman" w:hAnsi="Times New Roman" w:cs="Times New Roman"/>
                <w:sz w:val="24"/>
                <w:szCs w:val="24"/>
              </w:rPr>
            </w:pPr>
            <w:r w:rsidRPr="003231F7">
              <w:rPr>
                <w:rFonts w:ascii="Times New Roman" w:hAnsi="Times New Roman" w:cs="Times New Roman"/>
                <w:sz w:val="24"/>
                <w:szCs w:val="24"/>
              </w:rPr>
              <w:t>High</w:t>
            </w:r>
          </w:p>
        </w:tc>
        <w:tc>
          <w:tcPr>
            <w:tcW w:w="3960" w:type="dxa"/>
          </w:tcPr>
          <w:p w14:paraId="3636A67C" w14:textId="3B204EFA"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Proactive identification, robust project management, and contingency plans for adverse weather, supply chain, or labor challenges.</w:t>
            </w:r>
          </w:p>
        </w:tc>
      </w:tr>
      <w:tr w:rsidR="004C18E7" w:rsidRPr="003231F7" w14:paraId="2A733E3E" w14:textId="77777777" w:rsidTr="004C18E7">
        <w:tc>
          <w:tcPr>
            <w:tcW w:w="1870" w:type="dxa"/>
          </w:tcPr>
          <w:p w14:paraId="602E071F" w14:textId="77777777" w:rsidR="004C18E7" w:rsidRPr="003231F7" w:rsidRDefault="004C18E7" w:rsidP="003231F7">
            <w:pPr>
              <w:contextualSpacing/>
              <w:rPr>
                <w:rFonts w:ascii="Times New Roman" w:hAnsi="Times New Roman" w:cs="Times New Roman"/>
                <w:sz w:val="24"/>
                <w:szCs w:val="24"/>
              </w:rPr>
            </w:pPr>
          </w:p>
        </w:tc>
        <w:tc>
          <w:tcPr>
            <w:tcW w:w="1870" w:type="dxa"/>
          </w:tcPr>
          <w:p w14:paraId="60D4255F" w14:textId="7FC966C7"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Design Changes</w:t>
            </w:r>
          </w:p>
        </w:tc>
        <w:tc>
          <w:tcPr>
            <w:tcW w:w="1295" w:type="dxa"/>
          </w:tcPr>
          <w:p w14:paraId="45AAAA0B" w14:textId="47052F3B"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Moderate</w:t>
            </w:r>
            <w:r w:rsidRPr="003231F7">
              <w:rPr>
                <w:rFonts w:ascii="Times New Roman" w:hAnsi="Times New Roman" w:cs="Times New Roman"/>
                <w:sz w:val="24"/>
                <w:szCs w:val="24"/>
              </w:rPr>
              <w:tab/>
            </w:r>
          </w:p>
        </w:tc>
        <w:tc>
          <w:tcPr>
            <w:tcW w:w="1170" w:type="dxa"/>
          </w:tcPr>
          <w:p w14:paraId="3F4A3D7D" w14:textId="2CF1CC11"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Moderate</w:t>
            </w:r>
          </w:p>
        </w:tc>
        <w:tc>
          <w:tcPr>
            <w:tcW w:w="3960" w:type="dxa"/>
          </w:tcPr>
          <w:p w14:paraId="1E25C7EB" w14:textId="7CEF560D"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Regular communication, stakeholder engagement, and design phase flexibility for necessary modifications.</w:t>
            </w:r>
          </w:p>
        </w:tc>
      </w:tr>
      <w:tr w:rsidR="004C18E7" w:rsidRPr="003231F7" w14:paraId="2BA4ABBD" w14:textId="77777777" w:rsidTr="004C18E7">
        <w:tc>
          <w:tcPr>
            <w:tcW w:w="1870" w:type="dxa"/>
          </w:tcPr>
          <w:p w14:paraId="22278906" w14:textId="3FB70304"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Environmental and Regulatory Risks</w:t>
            </w:r>
          </w:p>
        </w:tc>
        <w:tc>
          <w:tcPr>
            <w:tcW w:w="1870" w:type="dxa"/>
          </w:tcPr>
          <w:p w14:paraId="61C05D01" w14:textId="7E22A3AA"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Environmental Compliance</w:t>
            </w:r>
          </w:p>
        </w:tc>
        <w:tc>
          <w:tcPr>
            <w:tcW w:w="1295" w:type="dxa"/>
          </w:tcPr>
          <w:p w14:paraId="2BBCE78D" w14:textId="1CE48E2F"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Moderate</w:t>
            </w:r>
            <w:r w:rsidRPr="003231F7">
              <w:rPr>
                <w:rFonts w:ascii="Times New Roman" w:hAnsi="Times New Roman" w:cs="Times New Roman"/>
                <w:sz w:val="24"/>
                <w:szCs w:val="24"/>
              </w:rPr>
              <w:tab/>
            </w:r>
          </w:p>
        </w:tc>
        <w:tc>
          <w:tcPr>
            <w:tcW w:w="1170" w:type="dxa"/>
          </w:tcPr>
          <w:p w14:paraId="090BCD30" w14:textId="072F4FC2"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High</w:t>
            </w:r>
          </w:p>
        </w:tc>
        <w:tc>
          <w:tcPr>
            <w:tcW w:w="3960" w:type="dxa"/>
          </w:tcPr>
          <w:p w14:paraId="24CB706C" w14:textId="6D4AFD60"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Regular monitoring of regulations, collaboration with environmental consultants, and adaptability in project plans.</w:t>
            </w:r>
          </w:p>
        </w:tc>
      </w:tr>
      <w:tr w:rsidR="004C18E7" w:rsidRPr="003231F7" w14:paraId="5846C363" w14:textId="77777777" w:rsidTr="004C18E7">
        <w:tc>
          <w:tcPr>
            <w:tcW w:w="1870" w:type="dxa"/>
          </w:tcPr>
          <w:p w14:paraId="675D3698" w14:textId="77777777" w:rsidR="004C18E7" w:rsidRPr="003231F7" w:rsidRDefault="004C18E7" w:rsidP="003231F7">
            <w:pPr>
              <w:contextualSpacing/>
              <w:rPr>
                <w:rFonts w:ascii="Times New Roman" w:hAnsi="Times New Roman" w:cs="Times New Roman"/>
                <w:sz w:val="24"/>
                <w:szCs w:val="24"/>
              </w:rPr>
            </w:pPr>
          </w:p>
        </w:tc>
        <w:tc>
          <w:tcPr>
            <w:tcW w:w="1870" w:type="dxa"/>
          </w:tcPr>
          <w:p w14:paraId="7E044340" w14:textId="5838B013"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Permitting and Approvals</w:t>
            </w:r>
          </w:p>
        </w:tc>
        <w:tc>
          <w:tcPr>
            <w:tcW w:w="1295" w:type="dxa"/>
          </w:tcPr>
          <w:p w14:paraId="0494ECE2" w14:textId="09BEF7F0"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Moderate</w:t>
            </w:r>
            <w:r w:rsidRPr="003231F7">
              <w:rPr>
                <w:rFonts w:ascii="Times New Roman" w:hAnsi="Times New Roman" w:cs="Times New Roman"/>
                <w:sz w:val="24"/>
                <w:szCs w:val="24"/>
              </w:rPr>
              <w:tab/>
            </w:r>
          </w:p>
        </w:tc>
        <w:tc>
          <w:tcPr>
            <w:tcW w:w="1170" w:type="dxa"/>
          </w:tcPr>
          <w:p w14:paraId="60504CAD" w14:textId="7E3A6583"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High</w:t>
            </w:r>
          </w:p>
        </w:tc>
        <w:tc>
          <w:tcPr>
            <w:tcW w:w="3960" w:type="dxa"/>
          </w:tcPr>
          <w:p w14:paraId="039A79FE" w14:textId="29436784"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Proactive engagement, adherence to compliance timelines, and budget adjustments based on regulatory requirements.</w:t>
            </w:r>
          </w:p>
        </w:tc>
      </w:tr>
      <w:tr w:rsidR="004C18E7" w:rsidRPr="003231F7" w14:paraId="0219A8EF" w14:textId="77777777" w:rsidTr="004C18E7">
        <w:tc>
          <w:tcPr>
            <w:tcW w:w="1870" w:type="dxa"/>
          </w:tcPr>
          <w:p w14:paraId="2DC29D0F" w14:textId="4549958A"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Stakeholder and Community Risks</w:t>
            </w:r>
          </w:p>
        </w:tc>
        <w:tc>
          <w:tcPr>
            <w:tcW w:w="1870" w:type="dxa"/>
          </w:tcPr>
          <w:p w14:paraId="1E10181A" w14:textId="2D154FBC"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Community Opposition</w:t>
            </w:r>
          </w:p>
        </w:tc>
        <w:tc>
          <w:tcPr>
            <w:tcW w:w="1295" w:type="dxa"/>
          </w:tcPr>
          <w:p w14:paraId="6A795424" w14:textId="20D0B1DF"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Moderate</w:t>
            </w:r>
            <w:r w:rsidRPr="003231F7">
              <w:rPr>
                <w:rFonts w:ascii="Times New Roman" w:hAnsi="Times New Roman" w:cs="Times New Roman"/>
                <w:sz w:val="24"/>
                <w:szCs w:val="24"/>
              </w:rPr>
              <w:tab/>
            </w:r>
          </w:p>
        </w:tc>
        <w:tc>
          <w:tcPr>
            <w:tcW w:w="1170" w:type="dxa"/>
          </w:tcPr>
          <w:p w14:paraId="4B9DD9D8" w14:textId="01446C8A"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High</w:t>
            </w:r>
          </w:p>
        </w:tc>
        <w:tc>
          <w:tcPr>
            <w:tcW w:w="3960" w:type="dxa"/>
          </w:tcPr>
          <w:p w14:paraId="01BB1B79" w14:textId="72B06B57"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Transparent communication, community outreach, and prompt addressing of concerns to minimize legal challenges or project redesigns.</w:t>
            </w:r>
          </w:p>
        </w:tc>
      </w:tr>
      <w:tr w:rsidR="004C18E7" w:rsidRPr="003231F7" w14:paraId="7A503A22" w14:textId="77777777" w:rsidTr="004C18E7">
        <w:tc>
          <w:tcPr>
            <w:tcW w:w="1870" w:type="dxa"/>
          </w:tcPr>
          <w:p w14:paraId="2D72803E" w14:textId="77777777" w:rsidR="004C18E7" w:rsidRPr="003231F7" w:rsidRDefault="004C18E7" w:rsidP="003231F7">
            <w:pPr>
              <w:contextualSpacing/>
              <w:rPr>
                <w:rFonts w:ascii="Times New Roman" w:hAnsi="Times New Roman" w:cs="Times New Roman"/>
                <w:sz w:val="24"/>
                <w:szCs w:val="24"/>
              </w:rPr>
            </w:pPr>
          </w:p>
        </w:tc>
        <w:tc>
          <w:tcPr>
            <w:tcW w:w="1870" w:type="dxa"/>
          </w:tcPr>
          <w:p w14:paraId="1CAE8377" w14:textId="0DFBE0E2" w:rsidR="004C18E7" w:rsidRPr="003231F7" w:rsidRDefault="00CE061B" w:rsidP="003231F7">
            <w:pPr>
              <w:contextualSpacing/>
              <w:rPr>
                <w:rFonts w:ascii="Times New Roman" w:hAnsi="Times New Roman" w:cs="Times New Roman"/>
                <w:sz w:val="24"/>
                <w:szCs w:val="24"/>
              </w:rPr>
            </w:pPr>
            <w:r w:rsidRPr="003231F7">
              <w:rPr>
                <w:rFonts w:ascii="Times New Roman" w:hAnsi="Times New Roman" w:cs="Times New Roman"/>
                <w:sz w:val="24"/>
                <w:szCs w:val="24"/>
              </w:rPr>
              <w:t>Stakeholder Communication Breakdown</w:t>
            </w:r>
          </w:p>
        </w:tc>
        <w:tc>
          <w:tcPr>
            <w:tcW w:w="1295" w:type="dxa"/>
          </w:tcPr>
          <w:p w14:paraId="6DF64039" w14:textId="3F2B4068"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Low</w:t>
            </w:r>
            <w:r w:rsidRPr="003231F7">
              <w:rPr>
                <w:rFonts w:ascii="Times New Roman" w:hAnsi="Times New Roman" w:cs="Times New Roman"/>
                <w:sz w:val="24"/>
                <w:szCs w:val="24"/>
              </w:rPr>
              <w:tab/>
            </w:r>
          </w:p>
        </w:tc>
        <w:tc>
          <w:tcPr>
            <w:tcW w:w="1170" w:type="dxa"/>
          </w:tcPr>
          <w:p w14:paraId="1B0ABC4D" w14:textId="18B6DBEF"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Moderate</w:t>
            </w:r>
          </w:p>
        </w:tc>
        <w:tc>
          <w:tcPr>
            <w:tcW w:w="3960" w:type="dxa"/>
          </w:tcPr>
          <w:p w14:paraId="05E6978A" w14:textId="65507AB4"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Regular and clear communication channels with stakeholders to avoid misunderstandings.</w:t>
            </w:r>
          </w:p>
        </w:tc>
      </w:tr>
      <w:tr w:rsidR="004C18E7" w:rsidRPr="003231F7" w14:paraId="3B2C0F71" w14:textId="77777777" w:rsidTr="004C18E7">
        <w:tc>
          <w:tcPr>
            <w:tcW w:w="1870" w:type="dxa"/>
          </w:tcPr>
          <w:p w14:paraId="483415F4" w14:textId="1E6D0EF0"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Technological and Innovation Risks</w:t>
            </w:r>
          </w:p>
        </w:tc>
        <w:tc>
          <w:tcPr>
            <w:tcW w:w="1870" w:type="dxa"/>
          </w:tcPr>
          <w:p w14:paraId="113B1A2B" w14:textId="2660ADE8"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Technological Dependencies</w:t>
            </w:r>
          </w:p>
        </w:tc>
        <w:tc>
          <w:tcPr>
            <w:tcW w:w="1295" w:type="dxa"/>
          </w:tcPr>
          <w:p w14:paraId="2367A602" w14:textId="042B3B89"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Low</w:t>
            </w:r>
            <w:r w:rsidRPr="003231F7">
              <w:rPr>
                <w:rFonts w:ascii="Times New Roman" w:hAnsi="Times New Roman" w:cs="Times New Roman"/>
                <w:sz w:val="24"/>
                <w:szCs w:val="24"/>
              </w:rPr>
              <w:tab/>
            </w:r>
          </w:p>
        </w:tc>
        <w:tc>
          <w:tcPr>
            <w:tcW w:w="1170" w:type="dxa"/>
          </w:tcPr>
          <w:p w14:paraId="5A587204" w14:textId="0997B497"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Moderate</w:t>
            </w:r>
          </w:p>
        </w:tc>
        <w:tc>
          <w:tcPr>
            <w:tcW w:w="3960" w:type="dxa"/>
          </w:tcPr>
          <w:p w14:paraId="0E1AF4C0" w14:textId="2889486C"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Thorough assessment, reliance on proven methodologies, and contingency plans for potential technical failures.</w:t>
            </w:r>
          </w:p>
        </w:tc>
      </w:tr>
      <w:tr w:rsidR="004C18E7" w:rsidRPr="003231F7" w14:paraId="3B18E67D" w14:textId="77777777" w:rsidTr="004C18E7">
        <w:tc>
          <w:tcPr>
            <w:tcW w:w="1870" w:type="dxa"/>
          </w:tcPr>
          <w:p w14:paraId="2459238A" w14:textId="77777777" w:rsidR="004C18E7" w:rsidRPr="003231F7" w:rsidRDefault="004C18E7" w:rsidP="003231F7">
            <w:pPr>
              <w:contextualSpacing/>
              <w:rPr>
                <w:rFonts w:ascii="Times New Roman" w:hAnsi="Times New Roman" w:cs="Times New Roman"/>
                <w:sz w:val="24"/>
                <w:szCs w:val="24"/>
              </w:rPr>
            </w:pPr>
          </w:p>
        </w:tc>
        <w:tc>
          <w:tcPr>
            <w:tcW w:w="1870" w:type="dxa"/>
          </w:tcPr>
          <w:p w14:paraId="0AB53589" w14:textId="3BE8492F"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Cybersecurity Threats</w:t>
            </w:r>
            <w:r w:rsidRPr="003231F7">
              <w:rPr>
                <w:rFonts w:ascii="Times New Roman" w:hAnsi="Times New Roman" w:cs="Times New Roman"/>
                <w:sz w:val="24"/>
                <w:szCs w:val="24"/>
              </w:rPr>
              <w:tab/>
            </w:r>
          </w:p>
        </w:tc>
        <w:tc>
          <w:tcPr>
            <w:tcW w:w="1295" w:type="dxa"/>
          </w:tcPr>
          <w:p w14:paraId="64D3786C" w14:textId="621E9561"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Low</w:t>
            </w:r>
            <w:r w:rsidRPr="003231F7">
              <w:rPr>
                <w:rFonts w:ascii="Times New Roman" w:hAnsi="Times New Roman" w:cs="Times New Roman"/>
                <w:sz w:val="24"/>
                <w:szCs w:val="24"/>
              </w:rPr>
              <w:tab/>
            </w:r>
          </w:p>
        </w:tc>
        <w:tc>
          <w:tcPr>
            <w:tcW w:w="1170" w:type="dxa"/>
          </w:tcPr>
          <w:p w14:paraId="1FBFB528" w14:textId="4A55A3FF"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High</w:t>
            </w:r>
            <w:r w:rsidRPr="003231F7">
              <w:rPr>
                <w:rFonts w:ascii="Times New Roman" w:hAnsi="Times New Roman" w:cs="Times New Roman"/>
                <w:sz w:val="24"/>
                <w:szCs w:val="24"/>
              </w:rPr>
              <w:tab/>
            </w:r>
          </w:p>
        </w:tc>
        <w:tc>
          <w:tcPr>
            <w:tcW w:w="3960" w:type="dxa"/>
          </w:tcPr>
          <w:p w14:paraId="189584EB" w14:textId="6281E65E"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 xml:space="preserve">Implementation of robust cybersecurity measures, regular </w:t>
            </w:r>
            <w:r w:rsidRPr="003231F7">
              <w:rPr>
                <w:rFonts w:ascii="Times New Roman" w:hAnsi="Times New Roman" w:cs="Times New Roman"/>
                <w:sz w:val="24"/>
                <w:szCs w:val="24"/>
              </w:rPr>
              <w:lastRenderedPageBreak/>
              <w:t>assessments, and response plans in case of breaches.</w:t>
            </w:r>
          </w:p>
        </w:tc>
      </w:tr>
      <w:tr w:rsidR="004C18E7" w:rsidRPr="003231F7" w14:paraId="6352AB31" w14:textId="77777777" w:rsidTr="004C18E7">
        <w:tc>
          <w:tcPr>
            <w:tcW w:w="1870" w:type="dxa"/>
          </w:tcPr>
          <w:p w14:paraId="454F2F50" w14:textId="4868EFFF"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lastRenderedPageBreak/>
              <w:t>Quality and Safety Risks</w:t>
            </w:r>
          </w:p>
        </w:tc>
        <w:tc>
          <w:tcPr>
            <w:tcW w:w="1870" w:type="dxa"/>
          </w:tcPr>
          <w:p w14:paraId="09D6EB1B" w14:textId="1BE9F50B"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Quality Control Issues</w:t>
            </w:r>
          </w:p>
        </w:tc>
        <w:tc>
          <w:tcPr>
            <w:tcW w:w="1295" w:type="dxa"/>
          </w:tcPr>
          <w:p w14:paraId="15061286" w14:textId="157ECC3D"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Moderate</w:t>
            </w:r>
            <w:r w:rsidRPr="003231F7">
              <w:rPr>
                <w:rFonts w:ascii="Times New Roman" w:hAnsi="Times New Roman" w:cs="Times New Roman"/>
                <w:sz w:val="24"/>
                <w:szCs w:val="24"/>
              </w:rPr>
              <w:tab/>
            </w:r>
          </w:p>
        </w:tc>
        <w:tc>
          <w:tcPr>
            <w:tcW w:w="1170" w:type="dxa"/>
          </w:tcPr>
          <w:p w14:paraId="25015C7F" w14:textId="3C6DED44"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Moderate</w:t>
            </w:r>
          </w:p>
        </w:tc>
        <w:tc>
          <w:tcPr>
            <w:tcW w:w="3960" w:type="dxa"/>
          </w:tcPr>
          <w:p w14:paraId="4046485B" w14:textId="45ACB48C" w:rsidR="004C18E7" w:rsidRPr="003231F7" w:rsidRDefault="00F92715" w:rsidP="003231F7">
            <w:pPr>
              <w:contextualSpacing/>
              <w:rPr>
                <w:rFonts w:ascii="Times New Roman" w:hAnsi="Times New Roman" w:cs="Times New Roman"/>
                <w:sz w:val="24"/>
                <w:szCs w:val="24"/>
              </w:rPr>
            </w:pPr>
            <w:r w:rsidRPr="003231F7">
              <w:rPr>
                <w:rFonts w:ascii="Times New Roman" w:hAnsi="Times New Roman" w:cs="Times New Roman"/>
                <w:sz w:val="24"/>
                <w:szCs w:val="24"/>
              </w:rPr>
              <w:t>Stringent quality control measures, regular inspections, and corrective actions for deviations from standards.</w:t>
            </w:r>
          </w:p>
        </w:tc>
      </w:tr>
      <w:tr w:rsidR="002D476F" w:rsidRPr="003231F7" w14:paraId="5E795FE2" w14:textId="77777777" w:rsidTr="004C18E7">
        <w:tc>
          <w:tcPr>
            <w:tcW w:w="1870" w:type="dxa"/>
          </w:tcPr>
          <w:p w14:paraId="757E525C" w14:textId="2DA72A9D" w:rsidR="002D476F" w:rsidRPr="003231F7" w:rsidRDefault="002D476F" w:rsidP="003231F7">
            <w:pPr>
              <w:contextualSpacing/>
              <w:rPr>
                <w:rFonts w:ascii="Times New Roman" w:hAnsi="Times New Roman" w:cs="Times New Roman"/>
                <w:sz w:val="24"/>
                <w:szCs w:val="24"/>
              </w:rPr>
            </w:pPr>
          </w:p>
        </w:tc>
        <w:tc>
          <w:tcPr>
            <w:tcW w:w="1870" w:type="dxa"/>
          </w:tcPr>
          <w:p w14:paraId="0A2A9247" w14:textId="54CE8950" w:rsidR="002D476F" w:rsidRPr="003231F7" w:rsidRDefault="002D476F" w:rsidP="003231F7">
            <w:pPr>
              <w:contextualSpacing/>
              <w:rPr>
                <w:rFonts w:ascii="Times New Roman" w:hAnsi="Times New Roman" w:cs="Times New Roman"/>
                <w:sz w:val="24"/>
                <w:szCs w:val="24"/>
              </w:rPr>
            </w:pPr>
            <w:r w:rsidRPr="003231F7">
              <w:rPr>
                <w:rFonts w:ascii="Times New Roman" w:hAnsi="Times New Roman" w:cs="Times New Roman"/>
                <w:sz w:val="24"/>
                <w:szCs w:val="24"/>
              </w:rPr>
              <w:t>Safety Incidents</w:t>
            </w:r>
          </w:p>
        </w:tc>
        <w:tc>
          <w:tcPr>
            <w:tcW w:w="1295" w:type="dxa"/>
          </w:tcPr>
          <w:p w14:paraId="1E3A7534" w14:textId="1276A8F1" w:rsidR="002D476F" w:rsidRPr="003231F7" w:rsidRDefault="002D476F" w:rsidP="003231F7">
            <w:pPr>
              <w:contextualSpacing/>
              <w:rPr>
                <w:rFonts w:ascii="Times New Roman" w:hAnsi="Times New Roman" w:cs="Times New Roman"/>
                <w:sz w:val="24"/>
                <w:szCs w:val="24"/>
              </w:rPr>
            </w:pPr>
            <w:r w:rsidRPr="003231F7">
              <w:rPr>
                <w:rFonts w:ascii="Times New Roman" w:hAnsi="Times New Roman" w:cs="Times New Roman"/>
                <w:sz w:val="24"/>
                <w:szCs w:val="24"/>
              </w:rPr>
              <w:t>Moderate</w:t>
            </w:r>
            <w:r w:rsidRPr="003231F7">
              <w:rPr>
                <w:rFonts w:ascii="Times New Roman" w:hAnsi="Times New Roman" w:cs="Times New Roman"/>
                <w:sz w:val="24"/>
                <w:szCs w:val="24"/>
              </w:rPr>
              <w:tab/>
            </w:r>
          </w:p>
        </w:tc>
        <w:tc>
          <w:tcPr>
            <w:tcW w:w="1170" w:type="dxa"/>
          </w:tcPr>
          <w:p w14:paraId="43AF0356" w14:textId="6D3BE816" w:rsidR="002D476F" w:rsidRPr="003231F7" w:rsidRDefault="002D476F" w:rsidP="003231F7">
            <w:pPr>
              <w:contextualSpacing/>
              <w:rPr>
                <w:rFonts w:ascii="Times New Roman" w:hAnsi="Times New Roman" w:cs="Times New Roman"/>
                <w:sz w:val="24"/>
                <w:szCs w:val="24"/>
              </w:rPr>
            </w:pPr>
            <w:r w:rsidRPr="003231F7">
              <w:rPr>
                <w:rFonts w:ascii="Times New Roman" w:hAnsi="Times New Roman" w:cs="Times New Roman"/>
                <w:sz w:val="24"/>
                <w:szCs w:val="24"/>
              </w:rPr>
              <w:t>High</w:t>
            </w:r>
          </w:p>
        </w:tc>
        <w:tc>
          <w:tcPr>
            <w:tcW w:w="3960" w:type="dxa"/>
          </w:tcPr>
          <w:p w14:paraId="2C1FE3F8" w14:textId="724C34E5" w:rsidR="002D476F" w:rsidRPr="003231F7" w:rsidRDefault="002D476F" w:rsidP="003231F7">
            <w:pPr>
              <w:contextualSpacing/>
              <w:rPr>
                <w:rFonts w:ascii="Times New Roman" w:hAnsi="Times New Roman" w:cs="Times New Roman"/>
                <w:sz w:val="24"/>
                <w:szCs w:val="24"/>
              </w:rPr>
            </w:pPr>
            <w:r w:rsidRPr="003231F7">
              <w:rPr>
                <w:rFonts w:ascii="Times New Roman" w:hAnsi="Times New Roman" w:cs="Times New Roman"/>
                <w:sz w:val="24"/>
                <w:szCs w:val="24"/>
              </w:rPr>
              <w:t>Strict adherence to safety protocols, regular safety training, and immediate response plans for workplace incidents.</w:t>
            </w:r>
          </w:p>
        </w:tc>
      </w:tr>
    </w:tbl>
    <w:p w14:paraId="4314D1C8" w14:textId="77777777" w:rsidR="004C18E7" w:rsidRPr="003231F7" w:rsidRDefault="004C18E7" w:rsidP="003231F7">
      <w:pPr>
        <w:pStyle w:val="NormalWeb"/>
        <w:spacing w:before="0" w:beforeAutospacing="0" w:after="0" w:afterAutospacing="0"/>
        <w:contextualSpacing/>
        <w:rPr>
          <w:color w:val="0E101A"/>
        </w:rPr>
      </w:pPr>
    </w:p>
    <w:p w14:paraId="2FC42D6C" w14:textId="77777777" w:rsidR="00067216" w:rsidRPr="003231F7" w:rsidRDefault="00067216" w:rsidP="003231F7">
      <w:pPr>
        <w:spacing w:after="0" w:line="240" w:lineRule="auto"/>
        <w:contextualSpacing/>
        <w:rPr>
          <w:rFonts w:ascii="Times New Roman" w:hAnsi="Times New Roman" w:cs="Times New Roman"/>
          <w:color w:val="0E101A"/>
          <w:sz w:val="24"/>
          <w:szCs w:val="24"/>
        </w:rPr>
      </w:pPr>
    </w:p>
    <w:p w14:paraId="299A17F2" w14:textId="533EEAD7" w:rsidR="00B607B6" w:rsidRPr="003231F7" w:rsidRDefault="00B607B6" w:rsidP="003231F7">
      <w:pPr>
        <w:spacing w:after="0" w:line="240" w:lineRule="auto"/>
        <w:contextualSpacing/>
        <w:rPr>
          <w:rFonts w:ascii="Times New Roman" w:hAnsi="Times New Roman" w:cs="Times New Roman"/>
          <w:b/>
          <w:bCs/>
          <w:color w:val="0E101A"/>
          <w:sz w:val="24"/>
          <w:szCs w:val="24"/>
        </w:rPr>
      </w:pPr>
      <w:r w:rsidRPr="003231F7">
        <w:rPr>
          <w:rFonts w:ascii="Times New Roman" w:hAnsi="Times New Roman" w:cs="Times New Roman"/>
          <w:b/>
          <w:bCs/>
          <w:color w:val="0E101A"/>
          <w:sz w:val="24"/>
          <w:szCs w:val="24"/>
        </w:rPr>
        <w:t>Progress Review</w:t>
      </w:r>
    </w:p>
    <w:p w14:paraId="4AC9EC7D" w14:textId="1AD609AE" w:rsidR="00067216" w:rsidRPr="003231F7" w:rsidRDefault="00067216" w:rsidP="003231F7">
      <w:pPr>
        <w:pStyle w:val="NormalWeb"/>
        <w:spacing w:after="0" w:line="360" w:lineRule="auto"/>
        <w:ind w:firstLine="720"/>
        <w:contextualSpacing/>
        <w:jc w:val="both"/>
        <w:rPr>
          <w:color w:val="0E101A"/>
        </w:rPr>
      </w:pPr>
      <w:r w:rsidRPr="003231F7">
        <w:rPr>
          <w:color w:val="0E101A"/>
        </w:rPr>
        <w:t xml:space="preserve">The ongoing progress of the Google Headquarters Project at King's Cross reflects a dynamic narrative of achievements and challenges. A keen examination of the implementation phase provides critical insights into the project's status, serving as a valuable snapshot for present and future project management. As of the current update, construction is advancing according to the project timeline. Key milestones, including completing foundational work and initiating vertical structure, signify significant progress. </w:t>
      </w:r>
    </w:p>
    <w:p w14:paraId="6DF335A3" w14:textId="77777777" w:rsidR="00067216" w:rsidRDefault="00067216" w:rsidP="003231F7">
      <w:pPr>
        <w:pStyle w:val="NormalWeb"/>
        <w:spacing w:after="0" w:line="360" w:lineRule="auto"/>
        <w:ind w:firstLine="720"/>
        <w:contextualSpacing/>
        <w:jc w:val="both"/>
        <w:rPr>
          <w:color w:val="0E101A"/>
        </w:rPr>
      </w:pPr>
      <w:r w:rsidRPr="003231F7">
        <w:rPr>
          <w:color w:val="0E101A"/>
        </w:rPr>
        <w:t>Despite many challenges, like the COVID-19 pandemic, the project has overcome initial hurdles through proactive management strategies. Contingency plans were activated to promptly address delays, ensuring that the project timeline remains manageable. Additionally, ongoing collaboration with construction stakeholders has facilitated swift problem-solving, underscoring the importance of open communication channels</w:t>
      </w:r>
      <w:r w:rsidR="004F6AFA" w:rsidRPr="003231F7">
        <w:rPr>
          <w:color w:val="0E101A"/>
        </w:rPr>
        <w:t>.</w:t>
      </w:r>
    </w:p>
    <w:p w14:paraId="093942D8" w14:textId="77777777" w:rsidR="00FB5FAE" w:rsidRPr="003231F7" w:rsidRDefault="00FB5FAE" w:rsidP="003231F7">
      <w:pPr>
        <w:pStyle w:val="NormalWeb"/>
        <w:spacing w:after="0" w:line="360" w:lineRule="auto"/>
        <w:ind w:firstLine="720"/>
        <w:contextualSpacing/>
        <w:jc w:val="both"/>
        <w:rPr>
          <w:color w:val="0E101A"/>
        </w:rPr>
      </w:pPr>
    </w:p>
    <w:p w14:paraId="5B5D8042" w14:textId="05D24023" w:rsidR="00B607B6" w:rsidRPr="003231F7" w:rsidRDefault="00B607B6" w:rsidP="003231F7">
      <w:pPr>
        <w:pStyle w:val="NormalWeb"/>
        <w:spacing w:after="0" w:line="360" w:lineRule="auto"/>
        <w:contextualSpacing/>
        <w:jc w:val="both"/>
        <w:rPr>
          <w:color w:val="0E101A"/>
        </w:rPr>
      </w:pPr>
      <w:r w:rsidRPr="003231F7">
        <w:rPr>
          <w:b/>
          <w:bCs/>
          <w:color w:val="0E101A"/>
        </w:rPr>
        <w:t>Critical Success/Failure Factors</w:t>
      </w:r>
    </w:p>
    <w:p w14:paraId="3D3CE7E3" w14:textId="77777777" w:rsidR="00067216" w:rsidRDefault="00B607B6" w:rsidP="003231F7">
      <w:pPr>
        <w:pStyle w:val="NormalWeb"/>
        <w:spacing w:before="0" w:beforeAutospacing="0" w:after="0" w:afterAutospacing="0" w:line="360" w:lineRule="auto"/>
        <w:contextualSpacing/>
        <w:rPr>
          <w:rStyle w:val="Strong"/>
          <w:rFonts w:eastAsiaTheme="majorEastAsia"/>
          <w:color w:val="0E101A"/>
        </w:rPr>
      </w:pPr>
      <w:r w:rsidRPr="003231F7">
        <w:rPr>
          <w:rStyle w:val="Strong"/>
          <w:rFonts w:eastAsiaTheme="majorEastAsia"/>
          <w:color w:val="0E101A"/>
        </w:rPr>
        <w:t>Success Factors:</w:t>
      </w:r>
    </w:p>
    <w:p w14:paraId="2C8B6F84" w14:textId="77777777" w:rsidR="00FB5FAE" w:rsidRPr="003231F7" w:rsidRDefault="00FB5FAE" w:rsidP="003231F7">
      <w:pPr>
        <w:pStyle w:val="NormalWeb"/>
        <w:spacing w:before="0" w:beforeAutospacing="0" w:after="0" w:afterAutospacing="0" w:line="360" w:lineRule="auto"/>
        <w:contextualSpacing/>
        <w:rPr>
          <w:b/>
          <w:bCs/>
          <w:color w:val="0E101A"/>
        </w:rPr>
      </w:pPr>
    </w:p>
    <w:p w14:paraId="419BE6FF" w14:textId="6E0B2951" w:rsidR="00067216" w:rsidRPr="003231F7" w:rsidRDefault="004722F1" w:rsidP="003231F7">
      <w:pPr>
        <w:pStyle w:val="NormalWeb"/>
        <w:spacing w:before="0" w:beforeAutospacing="0" w:after="0" w:afterAutospacing="0" w:line="360" w:lineRule="auto"/>
        <w:contextualSpacing/>
        <w:rPr>
          <w:b/>
          <w:bCs/>
          <w:color w:val="0E101A"/>
        </w:rPr>
      </w:pPr>
      <w:r w:rsidRPr="003231F7">
        <w:rPr>
          <w:b/>
          <w:bCs/>
          <w:color w:val="0E101A"/>
        </w:rPr>
        <w:t>Innovative Design and Functionality</w:t>
      </w:r>
    </w:p>
    <w:p w14:paraId="2B115CF6" w14:textId="4E7C421D" w:rsidR="00067216" w:rsidRDefault="004722F1" w:rsidP="003231F7">
      <w:pPr>
        <w:pStyle w:val="NormalWeb"/>
        <w:spacing w:before="0" w:beforeAutospacing="0" w:after="0" w:afterAutospacing="0" w:line="360" w:lineRule="auto"/>
        <w:ind w:firstLine="720"/>
        <w:contextualSpacing/>
        <w:jc w:val="both"/>
        <w:rPr>
          <w:color w:val="0E101A"/>
        </w:rPr>
      </w:pPr>
      <w:r w:rsidRPr="003231F7">
        <w:rPr>
          <w:color w:val="0E101A"/>
        </w:rPr>
        <w:t>The unique and innovative design of the headquarters, featuring a multi-lane upper-story swimming pool, sports facilities, theaters, cafes, and a rooftop garden with various zones, contributes to the project's success</w:t>
      </w:r>
      <w:r w:rsidR="00552572" w:rsidRPr="003231F7">
        <w:rPr>
          <w:color w:val="0E101A"/>
        </w:rPr>
        <w:t xml:space="preserve"> </w:t>
      </w:r>
      <w:r w:rsidR="00552572" w:rsidRPr="003231F7">
        <w:t>(Frearson, 2017)</w:t>
      </w:r>
      <w:r w:rsidRPr="003231F7">
        <w:rPr>
          <w:color w:val="0E101A"/>
        </w:rPr>
        <w:t>. The design emphasizes creating a variety of spaces for different purposes, fostering a dynamic and human-centered environment.</w:t>
      </w:r>
    </w:p>
    <w:p w14:paraId="2D2770FE" w14:textId="77777777" w:rsidR="00FB5FAE" w:rsidRDefault="00FB5FAE" w:rsidP="003231F7">
      <w:pPr>
        <w:pStyle w:val="NormalWeb"/>
        <w:spacing w:before="0" w:beforeAutospacing="0" w:after="0" w:afterAutospacing="0" w:line="360" w:lineRule="auto"/>
        <w:ind w:firstLine="720"/>
        <w:contextualSpacing/>
        <w:jc w:val="both"/>
        <w:rPr>
          <w:color w:val="0E101A"/>
        </w:rPr>
      </w:pPr>
    </w:p>
    <w:p w14:paraId="5A61D22B" w14:textId="77777777" w:rsidR="00FB5FAE" w:rsidRPr="003231F7" w:rsidRDefault="00FB5FAE" w:rsidP="003231F7">
      <w:pPr>
        <w:pStyle w:val="NormalWeb"/>
        <w:spacing w:before="0" w:beforeAutospacing="0" w:after="0" w:afterAutospacing="0" w:line="360" w:lineRule="auto"/>
        <w:ind w:firstLine="720"/>
        <w:contextualSpacing/>
        <w:jc w:val="both"/>
        <w:rPr>
          <w:b/>
          <w:bCs/>
          <w:color w:val="0E101A"/>
        </w:rPr>
      </w:pPr>
    </w:p>
    <w:p w14:paraId="595DC6EA" w14:textId="3908A407" w:rsidR="00067216" w:rsidRPr="003231F7" w:rsidRDefault="004722F1" w:rsidP="003231F7">
      <w:pPr>
        <w:pStyle w:val="NormalWeb"/>
        <w:spacing w:before="0" w:beforeAutospacing="0" w:after="0" w:afterAutospacing="0" w:line="360" w:lineRule="auto"/>
        <w:contextualSpacing/>
        <w:rPr>
          <w:b/>
          <w:bCs/>
          <w:color w:val="0E101A"/>
        </w:rPr>
      </w:pPr>
      <w:r w:rsidRPr="003231F7">
        <w:rPr>
          <w:b/>
          <w:bCs/>
          <w:color w:val="0E101A"/>
        </w:rPr>
        <w:lastRenderedPageBreak/>
        <w:t>Location and Accessibility</w:t>
      </w:r>
    </w:p>
    <w:p w14:paraId="5C77EF69" w14:textId="77777777" w:rsidR="00FB5FAE" w:rsidRDefault="00067216" w:rsidP="003231F7">
      <w:pPr>
        <w:pStyle w:val="NormalWeb"/>
        <w:spacing w:before="0" w:beforeAutospacing="0" w:after="0" w:afterAutospacing="0" w:line="360" w:lineRule="auto"/>
        <w:ind w:firstLine="720"/>
        <w:contextualSpacing/>
        <w:jc w:val="both"/>
        <w:rPr>
          <w:color w:val="0E101A"/>
        </w:rPr>
      </w:pPr>
      <w:r w:rsidRPr="003231F7">
        <w:rPr>
          <w:color w:val="0E101A"/>
        </w:rPr>
        <w:t xml:space="preserve">The selection of Kings Cross as the project site is purposeful. Its historical importance, in combination with its reformation since 2000, renders it an attractive and conveniently </w:t>
      </w:r>
      <w:proofErr w:type="gramStart"/>
      <w:r w:rsidRPr="003231F7">
        <w:rPr>
          <w:color w:val="0E101A"/>
        </w:rPr>
        <w:t>situated</w:t>
      </w:r>
      <w:proofErr w:type="gramEnd"/>
      <w:r w:rsidRPr="003231F7">
        <w:rPr>
          <w:color w:val="0E101A"/>
        </w:rPr>
        <w:t xml:space="preserve"> </w:t>
      </w:r>
    </w:p>
    <w:p w14:paraId="3ABA8999" w14:textId="5D267D57" w:rsidR="00FB5FAE" w:rsidRDefault="00067216" w:rsidP="00FB5FAE">
      <w:pPr>
        <w:pStyle w:val="NormalWeb"/>
        <w:spacing w:before="0" w:beforeAutospacing="0" w:after="0" w:afterAutospacing="0" w:line="360" w:lineRule="auto"/>
        <w:ind w:firstLine="720"/>
        <w:contextualSpacing/>
        <w:jc w:val="both"/>
        <w:rPr>
          <w:color w:val="0E101A"/>
        </w:rPr>
      </w:pPr>
      <w:proofErr w:type="spellStart"/>
      <w:r w:rsidRPr="003231F7">
        <w:rPr>
          <w:color w:val="0E101A"/>
        </w:rPr>
        <w:t>centre</w:t>
      </w:r>
      <w:proofErr w:type="spellEnd"/>
      <w:r w:rsidRPr="003231F7">
        <w:rPr>
          <w:color w:val="0E101A"/>
        </w:rPr>
        <w:t>. The vicinity of public transport, cultural centres, and renowned universities further elevate the appeal of this area</w:t>
      </w:r>
      <w:r w:rsidR="00F71A57" w:rsidRPr="003231F7">
        <w:rPr>
          <w:color w:val="0E101A"/>
        </w:rPr>
        <w:t xml:space="preserve"> </w:t>
      </w:r>
      <w:r w:rsidR="00F71A57" w:rsidRPr="003231F7">
        <w:t>(</w:t>
      </w:r>
      <w:proofErr w:type="spellStart"/>
      <w:r w:rsidR="00F71A57" w:rsidRPr="003231F7">
        <w:t>Adelfio</w:t>
      </w:r>
      <w:proofErr w:type="spellEnd"/>
      <w:r w:rsidR="00F71A57" w:rsidRPr="003231F7">
        <w:t xml:space="preserve">, </w:t>
      </w:r>
      <w:proofErr w:type="spellStart"/>
      <w:r w:rsidR="00F71A57" w:rsidRPr="003231F7">
        <w:t>Hamiduddin</w:t>
      </w:r>
      <w:proofErr w:type="spellEnd"/>
      <w:r w:rsidR="00F71A57" w:rsidRPr="003231F7">
        <w:t xml:space="preserve"> and </w:t>
      </w:r>
      <w:proofErr w:type="spellStart"/>
      <w:r w:rsidR="00F71A57" w:rsidRPr="003231F7">
        <w:t>Miedema</w:t>
      </w:r>
      <w:proofErr w:type="spellEnd"/>
      <w:r w:rsidR="00F71A57" w:rsidRPr="003231F7">
        <w:t>, 2020)</w:t>
      </w:r>
      <w:r w:rsidR="004722F1" w:rsidRPr="003231F7">
        <w:rPr>
          <w:color w:val="0E101A"/>
        </w:rPr>
        <w:t>.</w:t>
      </w:r>
    </w:p>
    <w:p w14:paraId="4E07E206" w14:textId="77777777" w:rsidR="00FB5FAE" w:rsidRDefault="00FB5FAE" w:rsidP="003231F7">
      <w:pPr>
        <w:pStyle w:val="NormalWeb"/>
        <w:spacing w:before="0" w:beforeAutospacing="0" w:after="0" w:afterAutospacing="0" w:line="360" w:lineRule="auto"/>
        <w:ind w:firstLine="720"/>
        <w:contextualSpacing/>
        <w:jc w:val="both"/>
        <w:rPr>
          <w:color w:val="0E101A"/>
        </w:rPr>
      </w:pPr>
    </w:p>
    <w:p w14:paraId="25C813E0" w14:textId="77777777" w:rsidR="00FB5FAE" w:rsidRPr="003231F7" w:rsidRDefault="00FB5FAE" w:rsidP="003231F7">
      <w:pPr>
        <w:pStyle w:val="NormalWeb"/>
        <w:spacing w:before="0" w:beforeAutospacing="0" w:after="0" w:afterAutospacing="0" w:line="360" w:lineRule="auto"/>
        <w:ind w:firstLine="720"/>
        <w:contextualSpacing/>
        <w:jc w:val="both"/>
        <w:rPr>
          <w:b/>
          <w:bCs/>
          <w:color w:val="0E101A"/>
        </w:rPr>
      </w:pPr>
    </w:p>
    <w:p w14:paraId="770409E4" w14:textId="232BC74F" w:rsidR="004722F1" w:rsidRPr="003231F7" w:rsidRDefault="004722F1" w:rsidP="003231F7">
      <w:pPr>
        <w:pStyle w:val="NormalWeb"/>
        <w:spacing w:after="0"/>
        <w:contextualSpacing/>
        <w:rPr>
          <w:b/>
          <w:bCs/>
          <w:color w:val="0E101A"/>
        </w:rPr>
      </w:pPr>
      <w:r w:rsidRPr="003231F7">
        <w:rPr>
          <w:b/>
          <w:bCs/>
          <w:color w:val="0E101A"/>
        </w:rPr>
        <w:t>Environmental Sustainability</w:t>
      </w:r>
    </w:p>
    <w:p w14:paraId="70FC7460" w14:textId="4E9C9742" w:rsidR="004722F1" w:rsidRDefault="000367D2" w:rsidP="003231F7">
      <w:pPr>
        <w:pStyle w:val="NormalWeb"/>
        <w:spacing w:after="0" w:line="360" w:lineRule="auto"/>
        <w:ind w:firstLine="720"/>
        <w:contextualSpacing/>
        <w:jc w:val="both"/>
        <w:rPr>
          <w:color w:val="0E101A"/>
        </w:rPr>
      </w:pPr>
      <w:r w:rsidRPr="003231F7">
        <w:rPr>
          <w:color w:val="0E101A"/>
        </w:rPr>
        <w:t>Google's commitment to environmental sustainability indicates the success achieved through initiatives that promote eco-friendly features, adherence to certifications such as BREEAM and LEED, and a focus on 'healthy materials' in design and construction practices. This alignment with its corporate values demonstrates how Google strives for more significant global sustainability goals</w:t>
      </w:r>
      <w:r w:rsidR="004722F1" w:rsidRPr="003231F7">
        <w:rPr>
          <w:color w:val="0E101A"/>
        </w:rPr>
        <w:t>.</w:t>
      </w:r>
    </w:p>
    <w:p w14:paraId="5855DFF4" w14:textId="77777777" w:rsidR="00FB5FAE" w:rsidRPr="003231F7" w:rsidRDefault="00FB5FAE" w:rsidP="003231F7">
      <w:pPr>
        <w:pStyle w:val="NormalWeb"/>
        <w:spacing w:after="0" w:line="360" w:lineRule="auto"/>
        <w:ind w:firstLine="720"/>
        <w:contextualSpacing/>
        <w:jc w:val="both"/>
        <w:rPr>
          <w:color w:val="0E101A"/>
        </w:rPr>
      </w:pPr>
    </w:p>
    <w:p w14:paraId="24AD48C3" w14:textId="061DFC57" w:rsidR="004722F1" w:rsidRPr="003231F7" w:rsidRDefault="004722F1" w:rsidP="003231F7">
      <w:pPr>
        <w:pStyle w:val="NormalWeb"/>
        <w:spacing w:after="0"/>
        <w:contextualSpacing/>
        <w:rPr>
          <w:b/>
          <w:bCs/>
          <w:color w:val="0E101A"/>
        </w:rPr>
      </w:pPr>
      <w:r w:rsidRPr="003231F7">
        <w:rPr>
          <w:b/>
          <w:bCs/>
          <w:color w:val="0E101A"/>
        </w:rPr>
        <w:t>Employee Well-being and Engagement</w:t>
      </w:r>
    </w:p>
    <w:p w14:paraId="26CD2148" w14:textId="7AF4F836" w:rsidR="004722F1" w:rsidRDefault="000367D2" w:rsidP="003231F7">
      <w:pPr>
        <w:pStyle w:val="NormalWeb"/>
        <w:spacing w:after="0" w:line="360" w:lineRule="auto"/>
        <w:ind w:firstLine="720"/>
        <w:contextualSpacing/>
        <w:jc w:val="both"/>
        <w:rPr>
          <w:color w:val="0E101A"/>
        </w:rPr>
      </w:pPr>
      <w:r w:rsidRPr="003231F7">
        <w:rPr>
          <w:color w:val="0E101A"/>
        </w:rPr>
        <w:t xml:space="preserve">The project places a high emphasis on enhancing employee satisfaction and well-being through the provision of various amenities, including nap pods, a gym facility, and a multi-use games area. The prioritization of establishing a workplace environment that promotes well-being and motivation, exemplified by the inclusion of amenities such as a jogging track and outdoor recreational areas, plays a significant role in fostering a favorable </w:t>
      </w:r>
      <w:proofErr w:type="spellStart"/>
      <w:r w:rsidRPr="003231F7">
        <w:rPr>
          <w:color w:val="0E101A"/>
        </w:rPr>
        <w:t>o</w:t>
      </w:r>
      <w:r w:rsidR="003231F7">
        <w:rPr>
          <w:color w:val="0E101A"/>
        </w:rPr>
        <w:t>rganis</w:t>
      </w:r>
      <w:r w:rsidRPr="003231F7">
        <w:rPr>
          <w:color w:val="0E101A"/>
        </w:rPr>
        <w:t>ational</w:t>
      </w:r>
      <w:proofErr w:type="spellEnd"/>
      <w:r w:rsidRPr="003231F7">
        <w:rPr>
          <w:color w:val="0E101A"/>
        </w:rPr>
        <w:t xml:space="preserve"> culture</w:t>
      </w:r>
      <w:r w:rsidR="004722F1" w:rsidRPr="003231F7">
        <w:rPr>
          <w:color w:val="0E101A"/>
        </w:rPr>
        <w:t>.</w:t>
      </w:r>
    </w:p>
    <w:p w14:paraId="3B488838" w14:textId="77777777" w:rsidR="00FB5FAE" w:rsidRPr="003231F7" w:rsidRDefault="00FB5FAE" w:rsidP="003231F7">
      <w:pPr>
        <w:pStyle w:val="NormalWeb"/>
        <w:spacing w:after="0" w:line="360" w:lineRule="auto"/>
        <w:ind w:firstLine="720"/>
        <w:contextualSpacing/>
        <w:jc w:val="both"/>
        <w:rPr>
          <w:color w:val="0E101A"/>
        </w:rPr>
      </w:pPr>
    </w:p>
    <w:p w14:paraId="314F56AE" w14:textId="7E52A8CC" w:rsidR="004722F1" w:rsidRPr="003231F7" w:rsidRDefault="004722F1" w:rsidP="003231F7">
      <w:pPr>
        <w:pStyle w:val="NormalWeb"/>
        <w:spacing w:after="0"/>
        <w:contextualSpacing/>
        <w:rPr>
          <w:b/>
          <w:bCs/>
          <w:color w:val="0E101A"/>
        </w:rPr>
      </w:pPr>
      <w:r w:rsidRPr="003231F7">
        <w:rPr>
          <w:b/>
          <w:bCs/>
          <w:color w:val="0E101A"/>
        </w:rPr>
        <w:t>Strategic Collaboration and Architectural Expertise:</w:t>
      </w:r>
    </w:p>
    <w:p w14:paraId="452168DC" w14:textId="77777777" w:rsidR="005B0265" w:rsidRDefault="000367D2" w:rsidP="003231F7">
      <w:pPr>
        <w:pStyle w:val="NormalWeb"/>
        <w:spacing w:after="0" w:line="360" w:lineRule="auto"/>
        <w:ind w:firstLine="720"/>
        <w:contextualSpacing/>
        <w:jc w:val="both"/>
        <w:rPr>
          <w:color w:val="0E101A"/>
        </w:rPr>
      </w:pPr>
      <w:r w:rsidRPr="003231F7">
        <w:rPr>
          <w:color w:val="0E101A"/>
        </w:rPr>
        <w:t>The successful execution of the project has been made possible through the collaboration between renowned architects Bjarke Ingels and Heatherwick Studios, who bring their architectural expertise to the project</w:t>
      </w:r>
      <w:r w:rsidR="004722F1" w:rsidRPr="003231F7">
        <w:rPr>
          <w:color w:val="0E101A"/>
        </w:rPr>
        <w:t>.</w:t>
      </w:r>
    </w:p>
    <w:p w14:paraId="4713DA4F" w14:textId="77777777" w:rsidR="00FB5FAE" w:rsidRPr="003231F7" w:rsidRDefault="00FB5FAE" w:rsidP="003231F7">
      <w:pPr>
        <w:pStyle w:val="NormalWeb"/>
        <w:spacing w:after="0" w:line="360" w:lineRule="auto"/>
        <w:ind w:firstLine="720"/>
        <w:contextualSpacing/>
        <w:jc w:val="both"/>
        <w:rPr>
          <w:color w:val="0E101A"/>
        </w:rPr>
      </w:pPr>
    </w:p>
    <w:p w14:paraId="23631230" w14:textId="2DC09844" w:rsidR="004F6AFA" w:rsidRPr="003231F7" w:rsidRDefault="00B607B6" w:rsidP="003231F7">
      <w:pPr>
        <w:pStyle w:val="NormalWeb"/>
        <w:spacing w:after="0" w:line="360" w:lineRule="auto"/>
        <w:contextualSpacing/>
        <w:jc w:val="both"/>
        <w:rPr>
          <w:color w:val="0E101A"/>
        </w:rPr>
      </w:pPr>
      <w:r w:rsidRPr="003231F7">
        <w:rPr>
          <w:rStyle w:val="Strong"/>
          <w:rFonts w:eastAsiaTheme="majorEastAsia"/>
          <w:color w:val="0E101A"/>
        </w:rPr>
        <w:t>Failure Factors</w:t>
      </w:r>
    </w:p>
    <w:p w14:paraId="2231C962" w14:textId="01DD8297" w:rsidR="00FB5FAE" w:rsidRDefault="005B0265" w:rsidP="00FB5FAE">
      <w:pPr>
        <w:pStyle w:val="NormalWeb"/>
        <w:spacing w:after="0" w:line="360" w:lineRule="auto"/>
        <w:ind w:firstLine="720"/>
        <w:contextualSpacing/>
        <w:jc w:val="both"/>
        <w:rPr>
          <w:color w:val="0E101A"/>
        </w:rPr>
      </w:pPr>
      <w:r w:rsidRPr="003231F7">
        <w:rPr>
          <w:color w:val="0E101A"/>
        </w:rPr>
        <w:t xml:space="preserve">Equally crucial are the elements that have the potential to result in the failure of a project. </w:t>
      </w:r>
      <w:r w:rsidR="002326E0" w:rsidRPr="003231F7">
        <w:rPr>
          <w:color w:val="0E101A"/>
        </w:rPr>
        <w:t>It is essential to put forth solutions to mitigate or address possible risk management deficits, budget limitations, and unforeseen external circumstances to complete projects and establish resilience for future challenges successfully. By doing so, long-term success can be achieved despite any difficulties</w:t>
      </w:r>
      <w:r w:rsidRPr="003231F7">
        <w:rPr>
          <w:color w:val="0E101A"/>
        </w:rPr>
        <w:t>.</w:t>
      </w:r>
    </w:p>
    <w:p w14:paraId="17B4A77B" w14:textId="77777777" w:rsidR="00FB5FAE" w:rsidRDefault="00FB5FAE" w:rsidP="003231F7">
      <w:pPr>
        <w:pStyle w:val="NormalWeb"/>
        <w:spacing w:after="0" w:line="360" w:lineRule="auto"/>
        <w:ind w:firstLine="720"/>
        <w:contextualSpacing/>
        <w:jc w:val="both"/>
        <w:rPr>
          <w:color w:val="0E101A"/>
        </w:rPr>
      </w:pPr>
    </w:p>
    <w:p w14:paraId="2C5F0F3D" w14:textId="77777777" w:rsidR="00FB5FAE" w:rsidRDefault="00FB5FAE" w:rsidP="003231F7">
      <w:pPr>
        <w:pStyle w:val="NormalWeb"/>
        <w:spacing w:after="0" w:line="360" w:lineRule="auto"/>
        <w:ind w:firstLine="720"/>
        <w:contextualSpacing/>
        <w:jc w:val="both"/>
        <w:rPr>
          <w:color w:val="0E101A"/>
        </w:rPr>
      </w:pPr>
    </w:p>
    <w:p w14:paraId="66779817" w14:textId="77777777" w:rsidR="00FB5FAE" w:rsidRPr="003231F7" w:rsidRDefault="00FB5FAE" w:rsidP="003231F7">
      <w:pPr>
        <w:pStyle w:val="NormalWeb"/>
        <w:spacing w:after="0" w:line="360" w:lineRule="auto"/>
        <w:ind w:firstLine="720"/>
        <w:contextualSpacing/>
        <w:jc w:val="both"/>
        <w:rPr>
          <w:color w:val="0E101A"/>
        </w:rPr>
      </w:pPr>
    </w:p>
    <w:p w14:paraId="7C8D1A19" w14:textId="3659F218" w:rsidR="005B0265" w:rsidRPr="003231F7" w:rsidRDefault="00B607B6" w:rsidP="003231F7">
      <w:pPr>
        <w:pStyle w:val="NormalWeb"/>
        <w:spacing w:after="0" w:line="360" w:lineRule="auto"/>
        <w:contextualSpacing/>
        <w:jc w:val="center"/>
        <w:rPr>
          <w:b/>
          <w:bCs/>
          <w:color w:val="0E101A"/>
        </w:rPr>
      </w:pPr>
      <w:r w:rsidRPr="003231F7">
        <w:rPr>
          <w:b/>
          <w:bCs/>
          <w:color w:val="0E101A"/>
        </w:rPr>
        <w:t>Conclusion</w:t>
      </w:r>
    </w:p>
    <w:p w14:paraId="608BC893" w14:textId="31CCA9F0" w:rsidR="00122FFD" w:rsidRDefault="002326E0" w:rsidP="003231F7">
      <w:pPr>
        <w:pStyle w:val="NormalWeb"/>
        <w:spacing w:after="0" w:line="360" w:lineRule="auto"/>
        <w:ind w:firstLine="720"/>
        <w:contextualSpacing/>
        <w:jc w:val="both"/>
      </w:pPr>
      <w:r w:rsidRPr="003231F7">
        <w:t>The Google Headquarters Project at King's Cross is a significant architectural and infrastructure investment. It emphasizes innovative design, environmental sustainability initiatives, stakeholder engagement, and community involvement. Ensuring the project meets its budget constraints while maintaining quality standards requires careful governance of financials, timeline milestones, risk management strategies, and collaborative problem-solving with stakeholders for success in both the short-term and long-term development objectives</w:t>
      </w:r>
      <w:r w:rsidR="00122FFD" w:rsidRPr="003231F7">
        <w:t>.</w:t>
      </w:r>
    </w:p>
    <w:p w14:paraId="06545693" w14:textId="77777777" w:rsidR="00FB5FAE" w:rsidRDefault="00FB5FAE" w:rsidP="003231F7">
      <w:pPr>
        <w:pStyle w:val="NormalWeb"/>
        <w:spacing w:after="0" w:line="360" w:lineRule="auto"/>
        <w:ind w:firstLine="720"/>
        <w:contextualSpacing/>
        <w:jc w:val="both"/>
      </w:pPr>
    </w:p>
    <w:p w14:paraId="065C878C" w14:textId="77777777" w:rsidR="00FB5FAE" w:rsidRPr="003231F7" w:rsidRDefault="00FB5FAE" w:rsidP="003231F7">
      <w:pPr>
        <w:pStyle w:val="NormalWeb"/>
        <w:spacing w:after="0" w:line="360" w:lineRule="auto"/>
        <w:ind w:firstLine="720"/>
        <w:contextualSpacing/>
        <w:jc w:val="both"/>
        <w:rPr>
          <w:color w:val="0E101A"/>
        </w:rPr>
      </w:pPr>
    </w:p>
    <w:p w14:paraId="5FDA1B4D" w14:textId="3D9FD4F5" w:rsidR="00122FFD" w:rsidRDefault="00122FFD" w:rsidP="003231F7">
      <w:pPr>
        <w:spacing w:line="360" w:lineRule="auto"/>
        <w:contextualSpacing/>
        <w:jc w:val="center"/>
        <w:rPr>
          <w:rFonts w:ascii="Times New Roman" w:hAnsi="Times New Roman" w:cs="Times New Roman"/>
          <w:b/>
          <w:bCs/>
          <w:sz w:val="24"/>
          <w:szCs w:val="24"/>
        </w:rPr>
      </w:pPr>
      <w:r w:rsidRPr="003231F7">
        <w:rPr>
          <w:rFonts w:ascii="Times New Roman" w:hAnsi="Times New Roman" w:cs="Times New Roman"/>
          <w:b/>
          <w:bCs/>
          <w:sz w:val="24"/>
          <w:szCs w:val="24"/>
        </w:rPr>
        <w:t>Recommendations</w:t>
      </w:r>
    </w:p>
    <w:p w14:paraId="025B1614" w14:textId="77777777" w:rsidR="00FB5FAE" w:rsidRPr="003231F7" w:rsidRDefault="00FB5FAE" w:rsidP="003231F7">
      <w:pPr>
        <w:spacing w:line="360" w:lineRule="auto"/>
        <w:contextualSpacing/>
        <w:jc w:val="center"/>
        <w:rPr>
          <w:rFonts w:ascii="Times New Roman" w:hAnsi="Times New Roman" w:cs="Times New Roman"/>
          <w:b/>
          <w:bCs/>
          <w:sz w:val="24"/>
          <w:szCs w:val="24"/>
        </w:rPr>
      </w:pPr>
    </w:p>
    <w:p w14:paraId="334C8687" w14:textId="658D5CA7" w:rsidR="00122FFD" w:rsidRPr="003231F7" w:rsidRDefault="00122FFD" w:rsidP="003231F7">
      <w:pPr>
        <w:spacing w:line="360" w:lineRule="auto"/>
        <w:contextualSpacing/>
        <w:jc w:val="both"/>
        <w:rPr>
          <w:rFonts w:ascii="Times New Roman" w:hAnsi="Times New Roman" w:cs="Times New Roman"/>
          <w:b/>
          <w:bCs/>
          <w:sz w:val="24"/>
          <w:szCs w:val="24"/>
        </w:rPr>
      </w:pPr>
      <w:r w:rsidRPr="003231F7">
        <w:rPr>
          <w:rFonts w:ascii="Times New Roman" w:hAnsi="Times New Roman" w:cs="Times New Roman"/>
          <w:b/>
          <w:bCs/>
          <w:sz w:val="24"/>
          <w:szCs w:val="24"/>
        </w:rPr>
        <w:t>Enhanced Budget Monitoring</w:t>
      </w:r>
    </w:p>
    <w:p w14:paraId="63D33552" w14:textId="0D0122DF" w:rsidR="00122FFD" w:rsidRDefault="002326E0" w:rsidP="003231F7">
      <w:pPr>
        <w:spacing w:line="360" w:lineRule="auto"/>
        <w:ind w:firstLine="720"/>
        <w:contextualSpacing/>
        <w:jc w:val="both"/>
        <w:rPr>
          <w:rFonts w:ascii="Times New Roman" w:hAnsi="Times New Roman" w:cs="Times New Roman"/>
          <w:sz w:val="24"/>
          <w:szCs w:val="24"/>
        </w:rPr>
      </w:pPr>
      <w:r w:rsidRPr="003231F7">
        <w:rPr>
          <w:rFonts w:ascii="Times New Roman" w:hAnsi="Times New Roman" w:cs="Times New Roman"/>
          <w:sz w:val="24"/>
          <w:szCs w:val="24"/>
        </w:rPr>
        <w:t>Regular budget assessments, coupled with the adoption of advanced financial monitoring systems, are crucial for ensuring sufficient oversight and management of budgetary elements. By implementing this approach, it will facilitate timely identification and mitigation of potential instances of exceeding budgetary limits</w:t>
      </w:r>
      <w:r w:rsidR="00122FFD" w:rsidRPr="003231F7">
        <w:rPr>
          <w:rFonts w:ascii="Times New Roman" w:hAnsi="Times New Roman" w:cs="Times New Roman"/>
          <w:sz w:val="24"/>
          <w:szCs w:val="24"/>
        </w:rPr>
        <w:t>.</w:t>
      </w:r>
    </w:p>
    <w:p w14:paraId="6D5D4A36" w14:textId="77777777" w:rsidR="00FB5FAE" w:rsidRPr="003231F7" w:rsidRDefault="00FB5FAE" w:rsidP="003231F7">
      <w:pPr>
        <w:spacing w:line="360" w:lineRule="auto"/>
        <w:ind w:firstLine="720"/>
        <w:contextualSpacing/>
        <w:jc w:val="both"/>
        <w:rPr>
          <w:rFonts w:ascii="Times New Roman" w:hAnsi="Times New Roman" w:cs="Times New Roman"/>
          <w:sz w:val="24"/>
          <w:szCs w:val="24"/>
        </w:rPr>
      </w:pPr>
    </w:p>
    <w:p w14:paraId="38B16F32" w14:textId="7D9FCA70" w:rsidR="00122FFD" w:rsidRPr="003231F7" w:rsidRDefault="00122FFD" w:rsidP="003231F7">
      <w:pPr>
        <w:spacing w:line="360" w:lineRule="auto"/>
        <w:contextualSpacing/>
        <w:jc w:val="both"/>
        <w:rPr>
          <w:rFonts w:ascii="Times New Roman" w:hAnsi="Times New Roman" w:cs="Times New Roman"/>
          <w:b/>
          <w:bCs/>
          <w:sz w:val="24"/>
          <w:szCs w:val="24"/>
        </w:rPr>
      </w:pPr>
      <w:r w:rsidRPr="003231F7">
        <w:rPr>
          <w:rFonts w:ascii="Times New Roman" w:hAnsi="Times New Roman" w:cs="Times New Roman"/>
          <w:b/>
          <w:bCs/>
          <w:sz w:val="24"/>
          <w:szCs w:val="24"/>
        </w:rPr>
        <w:t>Proactive Risk Mitigation</w:t>
      </w:r>
    </w:p>
    <w:p w14:paraId="5FEA4303" w14:textId="3F2A49E9" w:rsidR="00C04F70" w:rsidRDefault="002326E0" w:rsidP="003231F7">
      <w:pPr>
        <w:spacing w:line="360" w:lineRule="auto"/>
        <w:ind w:firstLine="720"/>
        <w:contextualSpacing/>
        <w:jc w:val="both"/>
        <w:rPr>
          <w:rFonts w:ascii="Times New Roman" w:hAnsi="Times New Roman" w:cs="Times New Roman"/>
          <w:sz w:val="24"/>
          <w:szCs w:val="24"/>
        </w:rPr>
      </w:pPr>
      <w:r w:rsidRPr="003231F7">
        <w:rPr>
          <w:rFonts w:ascii="Times New Roman" w:hAnsi="Times New Roman" w:cs="Times New Roman"/>
          <w:sz w:val="24"/>
          <w:szCs w:val="24"/>
        </w:rPr>
        <w:t>It is necessary to build a proactive risk management approach to prepare for unexpected obstacles effectively. There needs to be periodic evaluations of market and economic risks to facilitate prompt adjustments to the project plan</w:t>
      </w:r>
      <w:r w:rsidR="00122FFD" w:rsidRPr="003231F7">
        <w:rPr>
          <w:rFonts w:ascii="Times New Roman" w:hAnsi="Times New Roman" w:cs="Times New Roman"/>
          <w:sz w:val="24"/>
          <w:szCs w:val="24"/>
        </w:rPr>
        <w:t>.</w:t>
      </w:r>
    </w:p>
    <w:p w14:paraId="51047F6B" w14:textId="77777777" w:rsidR="00FB5FAE" w:rsidRPr="003231F7" w:rsidRDefault="00FB5FAE" w:rsidP="003231F7">
      <w:pPr>
        <w:spacing w:line="360" w:lineRule="auto"/>
        <w:ind w:firstLine="720"/>
        <w:contextualSpacing/>
        <w:jc w:val="both"/>
        <w:rPr>
          <w:rFonts w:ascii="Times New Roman" w:hAnsi="Times New Roman" w:cs="Times New Roman"/>
          <w:sz w:val="24"/>
          <w:szCs w:val="24"/>
        </w:rPr>
      </w:pPr>
    </w:p>
    <w:p w14:paraId="146E23C5" w14:textId="62F8CB65" w:rsidR="00122FFD" w:rsidRPr="003231F7" w:rsidRDefault="00122FFD" w:rsidP="003231F7">
      <w:pPr>
        <w:spacing w:line="360" w:lineRule="auto"/>
        <w:contextualSpacing/>
        <w:jc w:val="both"/>
        <w:rPr>
          <w:rFonts w:ascii="Times New Roman" w:hAnsi="Times New Roman" w:cs="Times New Roman"/>
          <w:b/>
          <w:bCs/>
          <w:sz w:val="24"/>
          <w:szCs w:val="24"/>
        </w:rPr>
      </w:pPr>
      <w:r w:rsidRPr="003231F7">
        <w:rPr>
          <w:rFonts w:ascii="Times New Roman" w:hAnsi="Times New Roman" w:cs="Times New Roman"/>
          <w:b/>
          <w:bCs/>
          <w:sz w:val="24"/>
          <w:szCs w:val="24"/>
        </w:rPr>
        <w:t>Stakeholder Communication Optimization</w:t>
      </w:r>
    </w:p>
    <w:p w14:paraId="391F7A25" w14:textId="1CBEFECD" w:rsidR="00122FFD" w:rsidRDefault="005E1D1E" w:rsidP="003231F7">
      <w:pPr>
        <w:spacing w:line="360" w:lineRule="auto"/>
        <w:ind w:firstLine="720"/>
        <w:contextualSpacing/>
        <w:jc w:val="both"/>
        <w:rPr>
          <w:rFonts w:ascii="Times New Roman" w:hAnsi="Times New Roman" w:cs="Times New Roman"/>
          <w:sz w:val="24"/>
          <w:szCs w:val="24"/>
        </w:rPr>
      </w:pPr>
      <w:proofErr w:type="gramStart"/>
      <w:r w:rsidRPr="003231F7">
        <w:rPr>
          <w:rFonts w:ascii="Times New Roman" w:hAnsi="Times New Roman" w:cs="Times New Roman"/>
          <w:sz w:val="24"/>
          <w:szCs w:val="24"/>
        </w:rPr>
        <w:t>In order to</w:t>
      </w:r>
      <w:proofErr w:type="gramEnd"/>
      <w:r w:rsidRPr="003231F7">
        <w:rPr>
          <w:rFonts w:ascii="Times New Roman" w:hAnsi="Times New Roman" w:cs="Times New Roman"/>
          <w:sz w:val="24"/>
          <w:szCs w:val="24"/>
        </w:rPr>
        <w:t xml:space="preserve"> foster constructive relationships and mitigate the risk of disagreements, opposition, or delays, it is imperative to enhance the transparency and accessibility of communication channels with all relevant parties</w:t>
      </w:r>
      <w:r w:rsidR="00122FFD" w:rsidRPr="003231F7">
        <w:rPr>
          <w:rFonts w:ascii="Times New Roman" w:hAnsi="Times New Roman" w:cs="Times New Roman"/>
          <w:sz w:val="24"/>
          <w:szCs w:val="24"/>
        </w:rPr>
        <w:t>.</w:t>
      </w:r>
    </w:p>
    <w:p w14:paraId="545F5A35" w14:textId="77777777" w:rsidR="00FB5FAE" w:rsidRPr="003231F7" w:rsidRDefault="00FB5FAE" w:rsidP="003231F7">
      <w:pPr>
        <w:spacing w:line="360" w:lineRule="auto"/>
        <w:ind w:firstLine="720"/>
        <w:contextualSpacing/>
        <w:jc w:val="both"/>
        <w:rPr>
          <w:rFonts w:ascii="Times New Roman" w:hAnsi="Times New Roman" w:cs="Times New Roman"/>
          <w:sz w:val="24"/>
          <w:szCs w:val="24"/>
        </w:rPr>
      </w:pPr>
    </w:p>
    <w:p w14:paraId="079DBE07" w14:textId="2A99A26C" w:rsidR="00122FFD" w:rsidRPr="003231F7" w:rsidRDefault="00122FFD" w:rsidP="003231F7">
      <w:pPr>
        <w:spacing w:line="360" w:lineRule="auto"/>
        <w:contextualSpacing/>
        <w:jc w:val="both"/>
        <w:rPr>
          <w:rFonts w:ascii="Times New Roman" w:hAnsi="Times New Roman" w:cs="Times New Roman"/>
          <w:b/>
          <w:bCs/>
          <w:sz w:val="24"/>
          <w:szCs w:val="24"/>
        </w:rPr>
      </w:pPr>
      <w:r w:rsidRPr="003231F7">
        <w:rPr>
          <w:rFonts w:ascii="Times New Roman" w:hAnsi="Times New Roman" w:cs="Times New Roman"/>
          <w:b/>
          <w:bCs/>
          <w:sz w:val="24"/>
          <w:szCs w:val="24"/>
        </w:rPr>
        <w:lastRenderedPageBreak/>
        <w:t>Continuous Quality Control</w:t>
      </w:r>
    </w:p>
    <w:p w14:paraId="2C72D691" w14:textId="256B114B" w:rsidR="00122FFD" w:rsidRDefault="005B0265" w:rsidP="003231F7">
      <w:pPr>
        <w:spacing w:line="360" w:lineRule="auto"/>
        <w:ind w:firstLine="720"/>
        <w:contextualSpacing/>
        <w:jc w:val="both"/>
        <w:rPr>
          <w:rFonts w:ascii="Times New Roman" w:hAnsi="Times New Roman" w:cs="Times New Roman"/>
          <w:sz w:val="24"/>
          <w:szCs w:val="24"/>
        </w:rPr>
      </w:pPr>
      <w:r w:rsidRPr="003231F7">
        <w:rPr>
          <w:rFonts w:ascii="Times New Roman" w:hAnsi="Times New Roman" w:cs="Times New Roman"/>
          <w:sz w:val="24"/>
          <w:szCs w:val="24"/>
        </w:rPr>
        <w:t>Ensuring the highest quality standards are met throughout the construction process is essential. Regular inspections and adherence to set quality standards should be conducted to achieve this, while any deviations noted must be resolved promptly. Doing so will help ensure a successful project with desirable results is achieved</w:t>
      </w:r>
      <w:r w:rsidR="00122FFD" w:rsidRPr="003231F7">
        <w:rPr>
          <w:rFonts w:ascii="Times New Roman" w:hAnsi="Times New Roman" w:cs="Times New Roman"/>
          <w:sz w:val="24"/>
          <w:szCs w:val="24"/>
        </w:rPr>
        <w:t>.</w:t>
      </w:r>
    </w:p>
    <w:p w14:paraId="0066484B" w14:textId="77777777" w:rsidR="00FB5FAE" w:rsidRDefault="00FB5FAE" w:rsidP="003231F7">
      <w:pPr>
        <w:spacing w:line="360" w:lineRule="auto"/>
        <w:ind w:firstLine="720"/>
        <w:contextualSpacing/>
        <w:jc w:val="both"/>
        <w:rPr>
          <w:rFonts w:ascii="Times New Roman" w:hAnsi="Times New Roman" w:cs="Times New Roman"/>
          <w:sz w:val="24"/>
          <w:szCs w:val="24"/>
        </w:rPr>
      </w:pPr>
    </w:p>
    <w:p w14:paraId="0C477F01" w14:textId="77777777" w:rsidR="00FB5FAE" w:rsidRPr="003231F7" w:rsidRDefault="00FB5FAE" w:rsidP="003231F7">
      <w:pPr>
        <w:spacing w:line="360" w:lineRule="auto"/>
        <w:ind w:firstLine="720"/>
        <w:contextualSpacing/>
        <w:jc w:val="both"/>
        <w:rPr>
          <w:rFonts w:ascii="Times New Roman" w:hAnsi="Times New Roman" w:cs="Times New Roman"/>
          <w:sz w:val="24"/>
          <w:szCs w:val="24"/>
        </w:rPr>
      </w:pPr>
    </w:p>
    <w:p w14:paraId="4C9E4241" w14:textId="72C5D56D" w:rsidR="00122FFD" w:rsidRPr="003231F7" w:rsidRDefault="00122FFD" w:rsidP="003231F7">
      <w:pPr>
        <w:spacing w:line="360" w:lineRule="auto"/>
        <w:contextualSpacing/>
        <w:jc w:val="both"/>
        <w:rPr>
          <w:rFonts w:ascii="Times New Roman" w:hAnsi="Times New Roman" w:cs="Times New Roman"/>
          <w:b/>
          <w:bCs/>
          <w:sz w:val="24"/>
          <w:szCs w:val="24"/>
        </w:rPr>
      </w:pPr>
      <w:r w:rsidRPr="003231F7">
        <w:rPr>
          <w:rFonts w:ascii="Times New Roman" w:hAnsi="Times New Roman" w:cs="Times New Roman"/>
          <w:b/>
          <w:bCs/>
          <w:sz w:val="24"/>
          <w:szCs w:val="24"/>
        </w:rPr>
        <w:t>Adaptive Project Planning</w:t>
      </w:r>
    </w:p>
    <w:p w14:paraId="0BDB083E" w14:textId="6719F561" w:rsidR="00122FFD" w:rsidRDefault="005B0265" w:rsidP="003231F7">
      <w:pPr>
        <w:spacing w:line="360" w:lineRule="auto"/>
        <w:ind w:firstLine="720"/>
        <w:contextualSpacing/>
        <w:jc w:val="both"/>
        <w:rPr>
          <w:rFonts w:ascii="Times New Roman" w:hAnsi="Times New Roman" w:cs="Times New Roman"/>
          <w:sz w:val="24"/>
          <w:szCs w:val="24"/>
        </w:rPr>
      </w:pPr>
      <w:r w:rsidRPr="003231F7">
        <w:rPr>
          <w:rFonts w:ascii="Times New Roman" w:hAnsi="Times New Roman" w:cs="Times New Roman"/>
          <w:sz w:val="24"/>
          <w:szCs w:val="24"/>
        </w:rPr>
        <w:t>Ensuring the project plan remains flexible is crucial. The capacity to effectively respond to unanticipated alterations, encompassing modifications in design, laws, or external variables, guarantees the project's continuity and progress in the face of developing conditions</w:t>
      </w:r>
      <w:r w:rsidR="00122FFD" w:rsidRPr="003231F7">
        <w:rPr>
          <w:rFonts w:ascii="Times New Roman" w:hAnsi="Times New Roman" w:cs="Times New Roman"/>
          <w:sz w:val="24"/>
          <w:szCs w:val="24"/>
        </w:rPr>
        <w:t>.</w:t>
      </w:r>
    </w:p>
    <w:p w14:paraId="05C28C78" w14:textId="77777777" w:rsidR="00FB5FAE" w:rsidRPr="003231F7" w:rsidRDefault="00FB5FAE" w:rsidP="003231F7">
      <w:pPr>
        <w:spacing w:line="360" w:lineRule="auto"/>
        <w:ind w:firstLine="720"/>
        <w:contextualSpacing/>
        <w:jc w:val="both"/>
        <w:rPr>
          <w:rFonts w:ascii="Times New Roman" w:hAnsi="Times New Roman" w:cs="Times New Roman"/>
          <w:sz w:val="24"/>
          <w:szCs w:val="24"/>
        </w:rPr>
      </w:pPr>
    </w:p>
    <w:p w14:paraId="6CD7FC2D" w14:textId="17832C30" w:rsidR="00122FFD" w:rsidRPr="003231F7" w:rsidRDefault="00122FFD" w:rsidP="003231F7">
      <w:pPr>
        <w:spacing w:line="360" w:lineRule="auto"/>
        <w:contextualSpacing/>
        <w:jc w:val="both"/>
        <w:rPr>
          <w:rFonts w:ascii="Times New Roman" w:hAnsi="Times New Roman" w:cs="Times New Roman"/>
          <w:sz w:val="24"/>
          <w:szCs w:val="24"/>
        </w:rPr>
      </w:pPr>
      <w:r w:rsidRPr="003231F7">
        <w:rPr>
          <w:rFonts w:ascii="Times New Roman" w:hAnsi="Times New Roman" w:cs="Times New Roman"/>
          <w:b/>
          <w:bCs/>
          <w:sz w:val="24"/>
          <w:szCs w:val="24"/>
        </w:rPr>
        <w:t>Community Engagement Programs</w:t>
      </w:r>
    </w:p>
    <w:p w14:paraId="4B9092A9" w14:textId="35E92D01" w:rsidR="00122FFD" w:rsidRDefault="00E34833" w:rsidP="003231F7">
      <w:pPr>
        <w:spacing w:line="360" w:lineRule="auto"/>
        <w:ind w:firstLine="720"/>
        <w:contextualSpacing/>
        <w:jc w:val="both"/>
        <w:rPr>
          <w:rFonts w:ascii="Times New Roman" w:hAnsi="Times New Roman" w:cs="Times New Roman"/>
          <w:sz w:val="24"/>
          <w:szCs w:val="24"/>
        </w:rPr>
      </w:pPr>
      <w:r w:rsidRPr="003231F7">
        <w:rPr>
          <w:rFonts w:ascii="Times New Roman" w:hAnsi="Times New Roman" w:cs="Times New Roman"/>
          <w:sz w:val="24"/>
          <w:szCs w:val="24"/>
        </w:rPr>
        <w:t>Enhancing community involvement initiatives can effectively reduce the potential dangers associated with community opposition. The implementation of regular updates, collaborative design workshops, and activities aimed at fostering beneficial contributions to the local economy can effectively bolster community relations</w:t>
      </w:r>
      <w:r w:rsidR="00122FFD" w:rsidRPr="003231F7">
        <w:rPr>
          <w:rFonts w:ascii="Times New Roman" w:hAnsi="Times New Roman" w:cs="Times New Roman"/>
          <w:sz w:val="24"/>
          <w:szCs w:val="24"/>
        </w:rPr>
        <w:t>.</w:t>
      </w:r>
    </w:p>
    <w:p w14:paraId="1FC0B267" w14:textId="77777777" w:rsidR="00FB5FAE" w:rsidRPr="003231F7" w:rsidRDefault="00FB5FAE" w:rsidP="003231F7">
      <w:pPr>
        <w:spacing w:line="360" w:lineRule="auto"/>
        <w:ind w:firstLine="720"/>
        <w:contextualSpacing/>
        <w:jc w:val="both"/>
        <w:rPr>
          <w:rFonts w:ascii="Times New Roman" w:hAnsi="Times New Roman" w:cs="Times New Roman"/>
          <w:sz w:val="24"/>
          <w:szCs w:val="24"/>
        </w:rPr>
      </w:pPr>
    </w:p>
    <w:p w14:paraId="0457355D" w14:textId="563CBA59" w:rsidR="00122FFD" w:rsidRPr="003231F7" w:rsidRDefault="00122FFD" w:rsidP="003231F7">
      <w:pPr>
        <w:spacing w:line="360" w:lineRule="auto"/>
        <w:contextualSpacing/>
        <w:jc w:val="both"/>
        <w:rPr>
          <w:rFonts w:ascii="Times New Roman" w:hAnsi="Times New Roman" w:cs="Times New Roman"/>
          <w:b/>
          <w:bCs/>
          <w:sz w:val="24"/>
          <w:szCs w:val="24"/>
        </w:rPr>
      </w:pPr>
      <w:r w:rsidRPr="003231F7">
        <w:rPr>
          <w:rFonts w:ascii="Times New Roman" w:hAnsi="Times New Roman" w:cs="Times New Roman"/>
          <w:b/>
          <w:bCs/>
          <w:sz w:val="24"/>
          <w:szCs w:val="24"/>
        </w:rPr>
        <w:t>Technology Security Measures</w:t>
      </w:r>
    </w:p>
    <w:p w14:paraId="3EF9DFB8" w14:textId="3F1690D7" w:rsidR="00122FFD" w:rsidRPr="003231F7" w:rsidRDefault="00E34833" w:rsidP="003231F7">
      <w:pPr>
        <w:spacing w:line="360" w:lineRule="auto"/>
        <w:ind w:firstLine="720"/>
        <w:contextualSpacing/>
        <w:jc w:val="both"/>
        <w:rPr>
          <w:rFonts w:ascii="Times New Roman" w:hAnsi="Times New Roman" w:cs="Times New Roman"/>
          <w:sz w:val="24"/>
          <w:szCs w:val="24"/>
        </w:rPr>
      </w:pPr>
      <w:r w:rsidRPr="003231F7">
        <w:rPr>
          <w:rFonts w:ascii="Times New Roman" w:hAnsi="Times New Roman" w:cs="Times New Roman"/>
          <w:sz w:val="24"/>
          <w:szCs w:val="24"/>
        </w:rPr>
        <w:t>The implementation of comprehensive cybersecurity measures is of utmost importance due to the project's dependence on digital technology. The implementation of preventative measures serves to safeguard project data integrity and mitigate the likelihood of disruptions</w:t>
      </w:r>
      <w:r w:rsidR="00122FFD" w:rsidRPr="003231F7">
        <w:rPr>
          <w:rFonts w:ascii="Times New Roman" w:hAnsi="Times New Roman" w:cs="Times New Roman"/>
          <w:sz w:val="24"/>
          <w:szCs w:val="24"/>
        </w:rPr>
        <w:t>.</w:t>
      </w:r>
    </w:p>
    <w:p w14:paraId="1EA13C86" w14:textId="55DEBBE1" w:rsidR="00122FFD" w:rsidRPr="003231F7" w:rsidRDefault="00E34833" w:rsidP="003231F7">
      <w:pPr>
        <w:spacing w:line="360" w:lineRule="auto"/>
        <w:ind w:firstLine="720"/>
        <w:contextualSpacing/>
        <w:jc w:val="both"/>
        <w:rPr>
          <w:rFonts w:ascii="Times New Roman" w:hAnsi="Times New Roman" w:cs="Times New Roman"/>
          <w:sz w:val="24"/>
          <w:szCs w:val="24"/>
        </w:rPr>
      </w:pPr>
      <w:r w:rsidRPr="003231F7">
        <w:rPr>
          <w:rFonts w:ascii="Times New Roman" w:hAnsi="Times New Roman" w:cs="Times New Roman"/>
          <w:sz w:val="24"/>
          <w:szCs w:val="24"/>
        </w:rPr>
        <w:t>By implementing these recommendations, the Google Headquarters Project can effectively address the challenges associated with extensive developments, thereby promoting success and creating a sustainable and beneficial influence on both the nearby neighborhood and Google's worldwide presence</w:t>
      </w:r>
      <w:r w:rsidR="00122FFD" w:rsidRPr="003231F7">
        <w:rPr>
          <w:rFonts w:ascii="Times New Roman" w:hAnsi="Times New Roman" w:cs="Times New Roman"/>
          <w:sz w:val="24"/>
          <w:szCs w:val="24"/>
        </w:rPr>
        <w:t>.</w:t>
      </w:r>
    </w:p>
    <w:p w14:paraId="73E94212" w14:textId="0FE7D63D" w:rsidR="00B607B6" w:rsidRPr="003231F7" w:rsidRDefault="00B607B6" w:rsidP="003231F7">
      <w:pPr>
        <w:pStyle w:val="NormalWeb"/>
        <w:spacing w:before="0" w:beforeAutospacing="0" w:after="0" w:afterAutospacing="0"/>
        <w:contextualSpacing/>
        <w:rPr>
          <w:color w:val="0E101A"/>
        </w:rPr>
      </w:pPr>
    </w:p>
    <w:p w14:paraId="4C129F4D" w14:textId="01762F35" w:rsidR="009A62A4" w:rsidRPr="003231F7" w:rsidRDefault="009A62A4" w:rsidP="003231F7">
      <w:pPr>
        <w:pStyle w:val="NormalWeb"/>
        <w:spacing w:before="0" w:beforeAutospacing="0" w:after="0" w:afterAutospacing="0"/>
        <w:contextualSpacing/>
        <w:rPr>
          <w:color w:val="0E101A"/>
        </w:rPr>
      </w:pPr>
    </w:p>
    <w:p w14:paraId="2DFDBCC0" w14:textId="34CE5072" w:rsidR="009A62A4" w:rsidRPr="003231F7" w:rsidRDefault="009A62A4" w:rsidP="003231F7">
      <w:pPr>
        <w:pStyle w:val="NormalWeb"/>
        <w:spacing w:before="0" w:beforeAutospacing="0" w:after="0" w:afterAutospacing="0"/>
        <w:contextualSpacing/>
        <w:rPr>
          <w:color w:val="0E101A"/>
        </w:rPr>
      </w:pPr>
    </w:p>
    <w:p w14:paraId="69F0F476" w14:textId="5BDF44E8" w:rsidR="009A62A4" w:rsidRPr="003231F7" w:rsidRDefault="009A62A4" w:rsidP="003231F7">
      <w:pPr>
        <w:pStyle w:val="NormalWeb"/>
        <w:spacing w:before="0" w:beforeAutospacing="0" w:after="0" w:afterAutospacing="0"/>
        <w:contextualSpacing/>
        <w:rPr>
          <w:color w:val="0E101A"/>
        </w:rPr>
      </w:pPr>
    </w:p>
    <w:p w14:paraId="1F6363A8" w14:textId="263D072C" w:rsidR="009A62A4" w:rsidRPr="003231F7" w:rsidRDefault="009A62A4" w:rsidP="003231F7">
      <w:pPr>
        <w:pStyle w:val="NormalWeb"/>
        <w:spacing w:before="0" w:beforeAutospacing="0" w:after="0" w:afterAutospacing="0"/>
        <w:contextualSpacing/>
        <w:rPr>
          <w:color w:val="0E101A"/>
        </w:rPr>
      </w:pPr>
    </w:p>
    <w:p w14:paraId="3BD8F142" w14:textId="0CAC3A2F" w:rsidR="00122FFD" w:rsidRPr="003231F7" w:rsidRDefault="00122FFD" w:rsidP="003231F7">
      <w:pPr>
        <w:pStyle w:val="NormalWeb"/>
        <w:spacing w:before="0" w:beforeAutospacing="0" w:after="0" w:afterAutospacing="0"/>
        <w:contextualSpacing/>
        <w:rPr>
          <w:color w:val="0E101A"/>
        </w:rPr>
      </w:pPr>
    </w:p>
    <w:p w14:paraId="4640E24F" w14:textId="4236C43F" w:rsidR="00122FFD" w:rsidRPr="003231F7" w:rsidRDefault="00122FFD" w:rsidP="003231F7">
      <w:pPr>
        <w:pStyle w:val="NormalWeb"/>
        <w:spacing w:before="0" w:beforeAutospacing="0" w:after="0" w:afterAutospacing="0"/>
        <w:contextualSpacing/>
        <w:rPr>
          <w:color w:val="0E101A"/>
        </w:rPr>
      </w:pPr>
    </w:p>
    <w:p w14:paraId="7F508814" w14:textId="531B353D" w:rsidR="00122FFD" w:rsidRPr="003231F7" w:rsidRDefault="00122FFD" w:rsidP="003231F7">
      <w:pPr>
        <w:pStyle w:val="NormalWeb"/>
        <w:spacing w:before="0" w:beforeAutospacing="0" w:after="0" w:afterAutospacing="0"/>
        <w:contextualSpacing/>
        <w:rPr>
          <w:color w:val="0E101A"/>
        </w:rPr>
      </w:pPr>
    </w:p>
    <w:p w14:paraId="55D63987" w14:textId="1669DE1E" w:rsidR="00F0632F" w:rsidRPr="003231F7" w:rsidRDefault="00F0632F" w:rsidP="003231F7">
      <w:pPr>
        <w:pStyle w:val="NormalWeb"/>
        <w:spacing w:before="0" w:beforeAutospacing="0" w:after="0" w:afterAutospacing="0"/>
        <w:contextualSpacing/>
        <w:rPr>
          <w:color w:val="0E101A"/>
        </w:rPr>
      </w:pPr>
    </w:p>
    <w:p w14:paraId="767AD1DA" w14:textId="60D197CC" w:rsidR="00F0632F" w:rsidRPr="003231F7" w:rsidRDefault="00F0632F" w:rsidP="003231F7">
      <w:pPr>
        <w:pStyle w:val="NormalWeb"/>
        <w:spacing w:before="0" w:beforeAutospacing="0" w:after="0" w:afterAutospacing="0"/>
        <w:contextualSpacing/>
        <w:rPr>
          <w:color w:val="0E101A"/>
        </w:rPr>
      </w:pPr>
    </w:p>
    <w:p w14:paraId="63B953D6" w14:textId="57D213B4" w:rsidR="00F0632F" w:rsidRPr="003231F7" w:rsidRDefault="00F0632F" w:rsidP="003231F7">
      <w:pPr>
        <w:pStyle w:val="NormalWeb"/>
        <w:spacing w:before="0" w:beforeAutospacing="0" w:after="0" w:afterAutospacing="0"/>
        <w:contextualSpacing/>
        <w:rPr>
          <w:color w:val="0E101A"/>
        </w:rPr>
      </w:pPr>
    </w:p>
    <w:p w14:paraId="314ACDDD" w14:textId="1DC85939" w:rsidR="00F0632F" w:rsidRPr="003231F7" w:rsidRDefault="00F0632F" w:rsidP="003231F7">
      <w:pPr>
        <w:pStyle w:val="NormalWeb"/>
        <w:spacing w:before="0" w:beforeAutospacing="0" w:after="0" w:afterAutospacing="0"/>
        <w:contextualSpacing/>
        <w:rPr>
          <w:color w:val="0E101A"/>
        </w:rPr>
      </w:pPr>
    </w:p>
    <w:p w14:paraId="4E1FB7DD" w14:textId="77777777" w:rsidR="00FB5FAE" w:rsidRDefault="00FB5FAE" w:rsidP="00FB5FAE">
      <w:pPr>
        <w:contextualSpacing/>
        <w:rPr>
          <w:b/>
          <w:bCs/>
          <w:color w:val="0E101A"/>
        </w:rPr>
      </w:pPr>
    </w:p>
    <w:p w14:paraId="530C1D71" w14:textId="1987CD97" w:rsidR="00F71A57" w:rsidRDefault="00FB5FAE" w:rsidP="00FB5FAE">
      <w:pPr>
        <w:contextualSpacing/>
        <w:rPr>
          <w:b/>
          <w:bCs/>
          <w:color w:val="0E101A"/>
          <w:sz w:val="28"/>
          <w:szCs w:val="28"/>
        </w:rPr>
      </w:pPr>
      <w:r w:rsidRPr="00FB5FAE">
        <w:rPr>
          <w:b/>
          <w:bCs/>
          <w:color w:val="0E101A"/>
          <w:sz w:val="28"/>
          <w:szCs w:val="28"/>
        </w:rPr>
        <w:t xml:space="preserve">                                                           </w:t>
      </w:r>
      <w:r w:rsidR="009A62A4" w:rsidRPr="00FB5FAE">
        <w:rPr>
          <w:b/>
          <w:bCs/>
          <w:color w:val="0E101A"/>
          <w:sz w:val="28"/>
          <w:szCs w:val="28"/>
        </w:rPr>
        <w:t>Reference List</w:t>
      </w:r>
    </w:p>
    <w:p w14:paraId="7779BAE0" w14:textId="77777777" w:rsidR="00FB5FAE" w:rsidRPr="00FB5FAE" w:rsidRDefault="00FB5FAE" w:rsidP="00FB5FAE">
      <w:pPr>
        <w:contextualSpacing/>
        <w:rPr>
          <w:rFonts w:ascii="Times New Roman" w:eastAsia="Times New Roman" w:hAnsi="Times New Roman" w:cs="Times New Roman"/>
          <w:b/>
          <w:bCs/>
          <w:color w:val="0E101A"/>
          <w:kern w:val="0"/>
          <w:sz w:val="28"/>
          <w:szCs w:val="28"/>
          <w14:ligatures w14:val="none"/>
        </w:rPr>
      </w:pPr>
    </w:p>
    <w:p w14:paraId="21960C10" w14:textId="542B6C92" w:rsidR="00F71A57" w:rsidRPr="003231F7" w:rsidRDefault="00F71A57" w:rsidP="003231F7">
      <w:pPr>
        <w:pStyle w:val="NormalWeb"/>
        <w:spacing w:line="360" w:lineRule="auto"/>
        <w:ind w:left="567" w:hanging="567"/>
        <w:contextualSpacing/>
        <w:jc w:val="both"/>
      </w:pPr>
      <w:r w:rsidRPr="003231F7">
        <w:t xml:space="preserve">Adelfio, M., </w:t>
      </w:r>
      <w:proofErr w:type="spellStart"/>
      <w:r w:rsidRPr="003231F7">
        <w:t>Hamiduddin</w:t>
      </w:r>
      <w:proofErr w:type="spellEnd"/>
      <w:r w:rsidRPr="003231F7">
        <w:t>, I. and Miedema, E. (2020) 'London’s King’s Cross redevelopment: a compact, resource efficient and ‘</w:t>
      </w:r>
      <w:proofErr w:type="spellStart"/>
      <w:r w:rsidRPr="003231F7">
        <w:t>liveable</w:t>
      </w:r>
      <w:proofErr w:type="spellEnd"/>
      <w:r w:rsidRPr="003231F7">
        <w:t xml:space="preserve">’ global city model for an era of climate </w:t>
      </w:r>
      <w:proofErr w:type="gramStart"/>
      <w:r w:rsidRPr="003231F7">
        <w:t>emergency?,</w:t>
      </w:r>
      <w:proofErr w:type="gramEnd"/>
      <w:r w:rsidRPr="003231F7">
        <w:t xml:space="preserve">' </w:t>
      </w:r>
      <w:r w:rsidRPr="003231F7">
        <w:rPr>
          <w:i/>
          <w:iCs/>
        </w:rPr>
        <w:t>Urban Research &amp; Practice</w:t>
      </w:r>
      <w:r w:rsidRPr="003231F7">
        <w:t xml:space="preserve">, 14(2), pp. 180–200. </w:t>
      </w:r>
      <w:hyperlink r:id="rId8" w:history="1">
        <w:r w:rsidRPr="003231F7">
          <w:rPr>
            <w:rStyle w:val="Hyperlink"/>
          </w:rPr>
          <w:t>https://doi.org/10.1080/17535069.2019.1710860</w:t>
        </w:r>
      </w:hyperlink>
      <w:r w:rsidRPr="003231F7">
        <w:t>.</w:t>
      </w:r>
    </w:p>
    <w:p w14:paraId="2C3DC09C" w14:textId="2DF5EAD5" w:rsidR="00F71A57" w:rsidRPr="003231F7" w:rsidRDefault="00F71A57" w:rsidP="003231F7">
      <w:pPr>
        <w:pStyle w:val="NormalWeb"/>
        <w:spacing w:line="360" w:lineRule="auto"/>
        <w:ind w:left="567" w:hanging="567"/>
        <w:contextualSpacing/>
        <w:jc w:val="both"/>
      </w:pPr>
      <w:r w:rsidRPr="003231F7">
        <w:t xml:space="preserve">BDP (2023) </w:t>
      </w:r>
      <w:r w:rsidRPr="003231F7">
        <w:rPr>
          <w:i/>
          <w:iCs/>
        </w:rPr>
        <w:t>Google HQ King’s Cross</w:t>
      </w:r>
      <w:r w:rsidRPr="003231F7">
        <w:t xml:space="preserve">. </w:t>
      </w:r>
      <w:hyperlink r:id="rId9" w:history="1">
        <w:r w:rsidRPr="003231F7">
          <w:rPr>
            <w:rStyle w:val="Hyperlink"/>
          </w:rPr>
          <w:t>https://www.bdp.com/en/projects/f-l/google-hq-kings-cross/</w:t>
        </w:r>
      </w:hyperlink>
      <w:r w:rsidRPr="003231F7">
        <w:t xml:space="preserve"> (Accessed: November 16, 2023). </w:t>
      </w:r>
    </w:p>
    <w:p w14:paraId="2A7B60E4" w14:textId="65F25B88" w:rsidR="00663647" w:rsidRPr="003231F7" w:rsidRDefault="009A62A4" w:rsidP="003231F7">
      <w:pPr>
        <w:pStyle w:val="NormalWeb"/>
        <w:ind w:left="567" w:hanging="567"/>
        <w:contextualSpacing/>
        <w:jc w:val="both"/>
      </w:pPr>
      <w:r w:rsidRPr="003231F7">
        <w:t xml:space="preserve">Clark, D. (2023) </w:t>
      </w:r>
      <w:r w:rsidRPr="003231F7">
        <w:rPr>
          <w:i/>
          <w:iCs/>
        </w:rPr>
        <w:t>UK inflation rate 2023</w:t>
      </w:r>
      <w:r w:rsidRPr="003231F7">
        <w:t xml:space="preserve">, </w:t>
      </w:r>
      <w:r w:rsidRPr="003231F7">
        <w:rPr>
          <w:i/>
          <w:iCs/>
        </w:rPr>
        <w:t>Statista</w:t>
      </w:r>
      <w:r w:rsidRPr="003231F7">
        <w:t xml:space="preserve">. Available at: </w:t>
      </w:r>
      <w:hyperlink r:id="rId10" w:history="1">
        <w:r w:rsidR="00A85ACA" w:rsidRPr="003231F7">
          <w:rPr>
            <w:rStyle w:val="Hyperlink"/>
          </w:rPr>
          <w:t>https://www.statista.com/statistics/306648/inflation-rate-consumer-price-index-cpi-united-kingdom-uk/</w:t>
        </w:r>
      </w:hyperlink>
      <w:r w:rsidR="00A85ACA" w:rsidRPr="003231F7">
        <w:t xml:space="preserve"> </w:t>
      </w:r>
      <w:r w:rsidRPr="003231F7">
        <w:t>(Accessed: 15 November 2023).</w:t>
      </w:r>
    </w:p>
    <w:p w14:paraId="4229266B" w14:textId="10012F60" w:rsidR="00316C35" w:rsidRPr="003231F7" w:rsidRDefault="00122FFD" w:rsidP="003231F7">
      <w:pPr>
        <w:pStyle w:val="NormalWeb"/>
        <w:ind w:left="567" w:hanging="567"/>
        <w:contextualSpacing/>
        <w:jc w:val="both"/>
      </w:pPr>
      <w:r w:rsidRPr="003231F7">
        <w:t xml:space="preserve">Elliott, L. (2022) </w:t>
      </w:r>
      <w:r w:rsidRPr="003231F7">
        <w:rPr>
          <w:i/>
          <w:iCs/>
        </w:rPr>
        <w:t>UK inflation jumps to 11.1% on back of energy and food price rises</w:t>
      </w:r>
      <w:r w:rsidRPr="003231F7">
        <w:t xml:space="preserve">, </w:t>
      </w:r>
      <w:r w:rsidRPr="003231F7">
        <w:rPr>
          <w:i/>
          <w:iCs/>
        </w:rPr>
        <w:t>The Guardian</w:t>
      </w:r>
      <w:r w:rsidRPr="003231F7">
        <w:t xml:space="preserve">. Available at: </w:t>
      </w:r>
      <w:hyperlink r:id="rId11" w:history="1">
        <w:r w:rsidR="00A85ACA" w:rsidRPr="003231F7">
          <w:rPr>
            <w:rStyle w:val="Hyperlink"/>
          </w:rPr>
          <w:t>https://www.theguardian.com/business/2022/nov/16/uk-inflation-rate-energy-price-rises</w:t>
        </w:r>
      </w:hyperlink>
      <w:r w:rsidR="00A85ACA" w:rsidRPr="003231F7">
        <w:t xml:space="preserve"> </w:t>
      </w:r>
      <w:r w:rsidRPr="003231F7">
        <w:t xml:space="preserve">(Accessed: 15 November 2023). </w:t>
      </w:r>
    </w:p>
    <w:p w14:paraId="18832B60" w14:textId="5F78E224" w:rsidR="00552572" w:rsidRPr="003231F7" w:rsidRDefault="00552572" w:rsidP="003231F7">
      <w:pPr>
        <w:spacing w:before="100" w:beforeAutospacing="1" w:after="100" w:afterAutospacing="1" w:line="240" w:lineRule="auto"/>
        <w:ind w:left="567" w:hanging="567"/>
        <w:contextualSpacing/>
        <w:jc w:val="both"/>
        <w:rPr>
          <w:rFonts w:ascii="Times New Roman" w:eastAsia="Times New Roman" w:hAnsi="Times New Roman" w:cs="Times New Roman"/>
          <w:kern w:val="0"/>
          <w:sz w:val="24"/>
          <w:szCs w:val="24"/>
          <w14:ligatures w14:val="none"/>
        </w:rPr>
      </w:pPr>
      <w:r w:rsidRPr="003231F7">
        <w:rPr>
          <w:rFonts w:ascii="Times New Roman" w:eastAsia="Times New Roman" w:hAnsi="Times New Roman" w:cs="Times New Roman"/>
          <w:kern w:val="0"/>
          <w:sz w:val="24"/>
          <w:szCs w:val="24"/>
          <w14:ligatures w14:val="none"/>
        </w:rPr>
        <w:t xml:space="preserve">Frearson, A. (2017) </w:t>
      </w:r>
      <w:r w:rsidRPr="003231F7">
        <w:rPr>
          <w:rFonts w:ascii="Times New Roman" w:eastAsia="Times New Roman" w:hAnsi="Times New Roman" w:cs="Times New Roman"/>
          <w:i/>
          <w:iCs/>
          <w:kern w:val="0"/>
          <w:sz w:val="24"/>
          <w:szCs w:val="24"/>
          <w14:ligatures w14:val="none"/>
        </w:rPr>
        <w:t>Google finally reveals its plans for London HQ by big and Heatherwick</w:t>
      </w:r>
      <w:r w:rsidRPr="003231F7">
        <w:rPr>
          <w:rFonts w:ascii="Times New Roman" w:eastAsia="Times New Roman" w:hAnsi="Times New Roman" w:cs="Times New Roman"/>
          <w:kern w:val="0"/>
          <w:sz w:val="24"/>
          <w:szCs w:val="24"/>
          <w14:ligatures w14:val="none"/>
        </w:rPr>
        <w:t xml:space="preserve">, </w:t>
      </w:r>
      <w:proofErr w:type="spellStart"/>
      <w:r w:rsidRPr="003231F7">
        <w:rPr>
          <w:rFonts w:ascii="Times New Roman" w:eastAsia="Times New Roman" w:hAnsi="Times New Roman" w:cs="Times New Roman"/>
          <w:i/>
          <w:iCs/>
          <w:kern w:val="0"/>
          <w:sz w:val="24"/>
          <w:szCs w:val="24"/>
          <w14:ligatures w14:val="none"/>
        </w:rPr>
        <w:t>Dezeen</w:t>
      </w:r>
      <w:proofErr w:type="spellEnd"/>
      <w:r w:rsidRPr="003231F7">
        <w:rPr>
          <w:rFonts w:ascii="Times New Roman" w:eastAsia="Times New Roman" w:hAnsi="Times New Roman" w:cs="Times New Roman"/>
          <w:kern w:val="0"/>
          <w:sz w:val="24"/>
          <w:szCs w:val="24"/>
          <w14:ligatures w14:val="none"/>
        </w:rPr>
        <w:t xml:space="preserve">. Available at: </w:t>
      </w:r>
      <w:hyperlink r:id="rId12" w:history="1">
        <w:r w:rsidRPr="003231F7">
          <w:rPr>
            <w:rStyle w:val="Hyperlink"/>
            <w:rFonts w:ascii="Times New Roman" w:eastAsia="Times New Roman" w:hAnsi="Times New Roman" w:cs="Times New Roman"/>
            <w:kern w:val="0"/>
            <w:sz w:val="24"/>
            <w:szCs w:val="24"/>
            <w14:ligatures w14:val="none"/>
          </w:rPr>
          <w:t>https://www.dezeen.com/2017/06/01/google-finally-reveals-plans-london-hq-big-heatherwick-architecture-news/</w:t>
        </w:r>
      </w:hyperlink>
      <w:r w:rsidRPr="003231F7">
        <w:rPr>
          <w:rFonts w:ascii="Times New Roman" w:eastAsia="Times New Roman" w:hAnsi="Times New Roman" w:cs="Times New Roman"/>
          <w:kern w:val="0"/>
          <w:sz w:val="24"/>
          <w:szCs w:val="24"/>
          <w14:ligatures w14:val="none"/>
        </w:rPr>
        <w:t xml:space="preserve"> (Accessed: 16 November 2023). </w:t>
      </w:r>
    </w:p>
    <w:p w14:paraId="0AF00489" w14:textId="51C36727" w:rsidR="00316C35" w:rsidRPr="003231F7" w:rsidRDefault="00316C35" w:rsidP="003231F7">
      <w:pPr>
        <w:pStyle w:val="NormalWeb"/>
        <w:ind w:left="567" w:hanging="567"/>
        <w:contextualSpacing/>
        <w:jc w:val="both"/>
      </w:pPr>
      <w:r w:rsidRPr="003231F7">
        <w:t xml:space="preserve">Google (2023) </w:t>
      </w:r>
      <w:r w:rsidRPr="003231F7">
        <w:rPr>
          <w:i/>
          <w:iCs/>
        </w:rPr>
        <w:t>Our goals for sustainable operations - Google Sustainability</w:t>
      </w:r>
      <w:r w:rsidRPr="003231F7">
        <w:t xml:space="preserve">. </w:t>
      </w:r>
      <w:hyperlink r:id="rId13" w:anchor=":~:text=Run%20on%20carbon%2Dfree%20energy,where%20we%20operate%20by%202030.&amp;text=64%25%20global%20average%20carbon%2Dfree,our%20data%20centers%20and%20offices.&amp;text=Replenish%20120%25%20of%20the%20freshwater,and%20data%20centers%20by%202030" w:history="1">
        <w:r w:rsidRPr="003231F7">
          <w:rPr>
            <w:rStyle w:val="Hyperlink"/>
          </w:rPr>
          <w:t>https://sustainability.google/operating-sustainably/#:~:text=Run%20on%20carbon%2Dfree%20energy,where%20we%20operate%20by%202030.&amp;text=64%25%20global%20average%20carbon%2Dfree,our%20data%20centers%20and%20offices.&amp;text=Replenish%20120%25%20of%20the%20freshwater,and%20data%20centers%20by%202030</w:t>
        </w:r>
      </w:hyperlink>
      <w:r w:rsidRPr="003231F7">
        <w:t>. (Accessed: November 16, 2023).</w:t>
      </w:r>
    </w:p>
    <w:p w14:paraId="3142C960" w14:textId="5E47E294" w:rsidR="00861873" w:rsidRPr="003231F7" w:rsidRDefault="00861873" w:rsidP="003231F7">
      <w:pPr>
        <w:spacing w:before="100" w:beforeAutospacing="1" w:after="100" w:afterAutospacing="1" w:line="240" w:lineRule="auto"/>
        <w:ind w:left="567" w:hanging="567"/>
        <w:contextualSpacing/>
        <w:jc w:val="both"/>
        <w:rPr>
          <w:rFonts w:ascii="Times New Roman" w:eastAsia="Times New Roman" w:hAnsi="Times New Roman" w:cs="Times New Roman"/>
          <w:kern w:val="0"/>
          <w:sz w:val="24"/>
          <w:szCs w:val="24"/>
          <w14:ligatures w14:val="none"/>
        </w:rPr>
      </w:pPr>
      <w:r w:rsidRPr="003231F7">
        <w:rPr>
          <w:rFonts w:ascii="Times New Roman" w:eastAsia="Times New Roman" w:hAnsi="Times New Roman" w:cs="Times New Roman"/>
          <w:kern w:val="0"/>
          <w:sz w:val="24"/>
          <w:szCs w:val="24"/>
          <w14:ligatures w14:val="none"/>
        </w:rPr>
        <w:t xml:space="preserve">Partridge, J. (2022) </w:t>
      </w:r>
      <w:r w:rsidRPr="003231F7">
        <w:rPr>
          <w:rFonts w:ascii="Times New Roman" w:eastAsia="Times New Roman" w:hAnsi="Times New Roman" w:cs="Times New Roman"/>
          <w:i/>
          <w:iCs/>
          <w:kern w:val="0"/>
          <w:sz w:val="24"/>
          <w:szCs w:val="24"/>
          <w14:ligatures w14:val="none"/>
        </w:rPr>
        <w:t>Behold London’s ’Landscraper’! Google’s new UK HQ – as long as the shard is tall</w:t>
      </w:r>
      <w:r w:rsidRPr="003231F7">
        <w:rPr>
          <w:rFonts w:ascii="Times New Roman" w:eastAsia="Times New Roman" w:hAnsi="Times New Roman" w:cs="Times New Roman"/>
          <w:kern w:val="0"/>
          <w:sz w:val="24"/>
          <w:szCs w:val="24"/>
          <w14:ligatures w14:val="none"/>
        </w:rPr>
        <w:t xml:space="preserve">, </w:t>
      </w:r>
      <w:r w:rsidRPr="003231F7">
        <w:rPr>
          <w:rFonts w:ascii="Times New Roman" w:eastAsia="Times New Roman" w:hAnsi="Times New Roman" w:cs="Times New Roman"/>
          <w:i/>
          <w:iCs/>
          <w:kern w:val="0"/>
          <w:sz w:val="24"/>
          <w:szCs w:val="24"/>
          <w14:ligatures w14:val="none"/>
        </w:rPr>
        <w:t>The Guardian</w:t>
      </w:r>
      <w:r w:rsidRPr="003231F7">
        <w:rPr>
          <w:rFonts w:ascii="Times New Roman" w:eastAsia="Times New Roman" w:hAnsi="Times New Roman" w:cs="Times New Roman"/>
          <w:kern w:val="0"/>
          <w:sz w:val="24"/>
          <w:szCs w:val="24"/>
          <w14:ligatures w14:val="none"/>
        </w:rPr>
        <w:t xml:space="preserve">. Available at: </w:t>
      </w:r>
      <w:hyperlink r:id="rId14" w:history="1">
        <w:r w:rsidRPr="003231F7">
          <w:rPr>
            <w:rStyle w:val="Hyperlink"/>
            <w:rFonts w:ascii="Times New Roman" w:eastAsia="Times New Roman" w:hAnsi="Times New Roman" w:cs="Times New Roman"/>
            <w:kern w:val="0"/>
            <w:sz w:val="24"/>
            <w:szCs w:val="24"/>
            <w14:ligatures w14:val="none"/>
          </w:rPr>
          <w:t>https://www.theguardian.com/business/2022/jul/01/behold-londons-landscraper-googles-new-uk-hq-as-long-as-the-shard-is-tall</w:t>
        </w:r>
      </w:hyperlink>
      <w:r w:rsidRPr="003231F7">
        <w:rPr>
          <w:rFonts w:ascii="Times New Roman" w:eastAsia="Times New Roman" w:hAnsi="Times New Roman" w:cs="Times New Roman"/>
          <w:kern w:val="0"/>
          <w:sz w:val="24"/>
          <w:szCs w:val="24"/>
          <w14:ligatures w14:val="none"/>
        </w:rPr>
        <w:t xml:space="preserve"> (Accessed: 16 November 2023). </w:t>
      </w:r>
    </w:p>
    <w:p w14:paraId="430130A6" w14:textId="120B419A" w:rsidR="00023E6A" w:rsidRPr="003231F7" w:rsidRDefault="00023E6A" w:rsidP="003231F7">
      <w:pPr>
        <w:spacing w:before="100" w:beforeAutospacing="1" w:after="100" w:afterAutospacing="1" w:line="240" w:lineRule="auto"/>
        <w:ind w:left="567" w:hanging="567"/>
        <w:contextualSpacing/>
        <w:jc w:val="both"/>
        <w:rPr>
          <w:rFonts w:ascii="Times New Roman" w:eastAsia="Times New Roman" w:hAnsi="Times New Roman" w:cs="Times New Roman"/>
          <w:kern w:val="0"/>
          <w:sz w:val="24"/>
          <w:szCs w:val="24"/>
          <w14:ligatures w14:val="none"/>
        </w:rPr>
      </w:pPr>
      <w:r w:rsidRPr="003231F7">
        <w:rPr>
          <w:rFonts w:ascii="Times New Roman" w:eastAsia="Times New Roman" w:hAnsi="Times New Roman" w:cs="Times New Roman"/>
          <w:kern w:val="0"/>
          <w:sz w:val="24"/>
          <w:szCs w:val="24"/>
          <w14:ligatures w14:val="none"/>
        </w:rPr>
        <w:t xml:space="preserve">Soliman, A.M. </w:t>
      </w:r>
      <w:r w:rsidRPr="003231F7">
        <w:rPr>
          <w:rFonts w:ascii="Times New Roman" w:eastAsia="Times New Roman" w:hAnsi="Times New Roman" w:cs="Times New Roman"/>
          <w:i/>
          <w:iCs/>
          <w:kern w:val="0"/>
          <w:sz w:val="24"/>
          <w:szCs w:val="24"/>
          <w14:ligatures w14:val="none"/>
        </w:rPr>
        <w:t>et al.</w:t>
      </w:r>
      <w:r w:rsidRPr="003231F7">
        <w:rPr>
          <w:rFonts w:ascii="Times New Roman" w:eastAsia="Times New Roman" w:hAnsi="Times New Roman" w:cs="Times New Roman"/>
          <w:kern w:val="0"/>
          <w:sz w:val="24"/>
          <w:szCs w:val="24"/>
          <w14:ligatures w14:val="none"/>
        </w:rPr>
        <w:t xml:space="preserve"> (2023) ‘Asymmetric effects of energy inflation, </w:t>
      </w:r>
      <w:proofErr w:type="spellStart"/>
      <w:r w:rsidRPr="003231F7">
        <w:rPr>
          <w:rFonts w:ascii="Times New Roman" w:eastAsia="Times New Roman" w:hAnsi="Times New Roman" w:cs="Times New Roman"/>
          <w:kern w:val="0"/>
          <w:sz w:val="24"/>
          <w:szCs w:val="24"/>
          <w14:ligatures w14:val="none"/>
        </w:rPr>
        <w:t>agri</w:t>
      </w:r>
      <w:proofErr w:type="spellEnd"/>
      <w:r w:rsidRPr="003231F7">
        <w:rPr>
          <w:rFonts w:ascii="Times New Roman" w:eastAsia="Times New Roman" w:hAnsi="Times New Roman" w:cs="Times New Roman"/>
          <w:kern w:val="0"/>
          <w:sz w:val="24"/>
          <w:szCs w:val="24"/>
          <w14:ligatures w14:val="none"/>
        </w:rPr>
        <w:t xml:space="preserve">-inflation and CPI on agricultural output: Evidence from NARDL and SVAR models for the UK’, </w:t>
      </w:r>
      <w:r w:rsidRPr="003231F7">
        <w:rPr>
          <w:rFonts w:ascii="Times New Roman" w:eastAsia="Times New Roman" w:hAnsi="Times New Roman" w:cs="Times New Roman"/>
          <w:i/>
          <w:iCs/>
          <w:kern w:val="0"/>
          <w:sz w:val="24"/>
          <w:szCs w:val="24"/>
          <w14:ligatures w14:val="none"/>
        </w:rPr>
        <w:t>Energy Economics</w:t>
      </w:r>
      <w:r w:rsidRPr="003231F7">
        <w:rPr>
          <w:rFonts w:ascii="Times New Roman" w:eastAsia="Times New Roman" w:hAnsi="Times New Roman" w:cs="Times New Roman"/>
          <w:kern w:val="0"/>
          <w:sz w:val="24"/>
          <w:szCs w:val="24"/>
          <w14:ligatures w14:val="none"/>
        </w:rPr>
        <w:t xml:space="preserve">, 126, p. 106920. doi:10.1016/j.eneco.2023.106920.  </w:t>
      </w:r>
    </w:p>
    <w:p w14:paraId="3E04F493" w14:textId="77777777" w:rsidR="00316C35" w:rsidRPr="003231F7" w:rsidRDefault="00316C35" w:rsidP="003231F7">
      <w:pPr>
        <w:pStyle w:val="NormalWeb"/>
        <w:ind w:left="567" w:hanging="567"/>
        <w:contextualSpacing/>
        <w:jc w:val="both"/>
      </w:pPr>
    </w:p>
    <w:p w14:paraId="2154F2F3" w14:textId="77777777" w:rsidR="00122FFD" w:rsidRPr="003231F7" w:rsidRDefault="00122FFD" w:rsidP="003231F7">
      <w:pPr>
        <w:pStyle w:val="NormalWeb"/>
        <w:ind w:left="567" w:hanging="567"/>
        <w:contextualSpacing/>
        <w:jc w:val="both"/>
      </w:pPr>
    </w:p>
    <w:p w14:paraId="65C7116F" w14:textId="02D657A8" w:rsidR="006E6E04" w:rsidRPr="003231F7" w:rsidRDefault="006E6E04" w:rsidP="003231F7">
      <w:pPr>
        <w:contextualSpacing/>
        <w:jc w:val="both"/>
        <w:rPr>
          <w:rFonts w:ascii="Times New Roman" w:hAnsi="Times New Roman" w:cs="Times New Roman"/>
          <w:sz w:val="24"/>
          <w:szCs w:val="24"/>
        </w:rPr>
      </w:pPr>
    </w:p>
    <w:sectPr w:rsidR="006E6E04" w:rsidRPr="003231F7">
      <w:head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26A4D" w14:textId="77777777" w:rsidR="009F2E95" w:rsidRDefault="009F2E95" w:rsidP="003231F7">
      <w:pPr>
        <w:spacing w:after="0" w:line="240" w:lineRule="auto"/>
      </w:pPr>
      <w:r>
        <w:separator/>
      </w:r>
    </w:p>
  </w:endnote>
  <w:endnote w:type="continuationSeparator" w:id="0">
    <w:p w14:paraId="61052401" w14:textId="77777777" w:rsidR="009F2E95" w:rsidRDefault="009F2E95" w:rsidP="003231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2E9D1C" w14:textId="77777777" w:rsidR="009F2E95" w:rsidRDefault="009F2E95" w:rsidP="003231F7">
      <w:pPr>
        <w:spacing w:after="0" w:line="240" w:lineRule="auto"/>
      </w:pPr>
      <w:r>
        <w:separator/>
      </w:r>
    </w:p>
  </w:footnote>
  <w:footnote w:type="continuationSeparator" w:id="0">
    <w:p w14:paraId="20694730" w14:textId="77777777" w:rsidR="009F2E95" w:rsidRDefault="009F2E95" w:rsidP="003231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476419098"/>
      <w:docPartObj>
        <w:docPartGallery w:val="Page Numbers (Top of Page)"/>
        <w:docPartUnique/>
      </w:docPartObj>
    </w:sdtPr>
    <w:sdtEndPr>
      <w:rPr>
        <w:noProof/>
      </w:rPr>
    </w:sdtEndPr>
    <w:sdtContent>
      <w:p w14:paraId="28A483A9" w14:textId="407A399A" w:rsidR="003231F7" w:rsidRPr="003231F7" w:rsidRDefault="003231F7">
        <w:pPr>
          <w:pStyle w:val="Header"/>
          <w:jc w:val="right"/>
          <w:rPr>
            <w:rFonts w:ascii="Times New Roman" w:hAnsi="Times New Roman" w:cs="Times New Roman"/>
            <w:sz w:val="24"/>
            <w:szCs w:val="24"/>
          </w:rPr>
        </w:pPr>
        <w:r w:rsidRPr="003231F7">
          <w:rPr>
            <w:rFonts w:ascii="Times New Roman" w:hAnsi="Times New Roman" w:cs="Times New Roman"/>
            <w:sz w:val="24"/>
            <w:szCs w:val="24"/>
          </w:rPr>
          <w:fldChar w:fldCharType="begin"/>
        </w:r>
        <w:r w:rsidRPr="003231F7">
          <w:rPr>
            <w:rFonts w:ascii="Times New Roman" w:hAnsi="Times New Roman" w:cs="Times New Roman"/>
            <w:sz w:val="24"/>
            <w:szCs w:val="24"/>
          </w:rPr>
          <w:instrText xml:space="preserve"> PAGE   \* MERGEFORMAT </w:instrText>
        </w:r>
        <w:r w:rsidRPr="003231F7">
          <w:rPr>
            <w:rFonts w:ascii="Times New Roman" w:hAnsi="Times New Roman" w:cs="Times New Roman"/>
            <w:sz w:val="24"/>
            <w:szCs w:val="24"/>
          </w:rPr>
          <w:fldChar w:fldCharType="separate"/>
        </w:r>
        <w:r w:rsidRPr="003231F7">
          <w:rPr>
            <w:rFonts w:ascii="Times New Roman" w:hAnsi="Times New Roman" w:cs="Times New Roman"/>
            <w:noProof/>
            <w:sz w:val="24"/>
            <w:szCs w:val="24"/>
          </w:rPr>
          <w:t>2</w:t>
        </w:r>
        <w:r w:rsidRPr="003231F7">
          <w:rPr>
            <w:rFonts w:ascii="Times New Roman" w:hAnsi="Times New Roman" w:cs="Times New Roman"/>
            <w:noProof/>
            <w:sz w:val="24"/>
            <w:szCs w:val="24"/>
          </w:rPr>
          <w:fldChar w:fldCharType="end"/>
        </w:r>
      </w:p>
    </w:sdtContent>
  </w:sdt>
  <w:p w14:paraId="2BD8C82A" w14:textId="77777777" w:rsidR="003231F7" w:rsidRDefault="003231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91D83"/>
    <w:multiLevelType w:val="multilevel"/>
    <w:tmpl w:val="A1664B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941A3"/>
    <w:multiLevelType w:val="multilevel"/>
    <w:tmpl w:val="AD9002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0A6AFA"/>
    <w:multiLevelType w:val="multilevel"/>
    <w:tmpl w:val="95D20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FFD3181"/>
    <w:multiLevelType w:val="multilevel"/>
    <w:tmpl w:val="9A18E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B572B4D"/>
    <w:multiLevelType w:val="multilevel"/>
    <w:tmpl w:val="AF7809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563EBF"/>
    <w:multiLevelType w:val="multilevel"/>
    <w:tmpl w:val="E3C496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871413"/>
    <w:multiLevelType w:val="multilevel"/>
    <w:tmpl w:val="BE4E50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3B1F60"/>
    <w:multiLevelType w:val="hybridMultilevel"/>
    <w:tmpl w:val="A598604A"/>
    <w:lvl w:ilvl="0" w:tplc="119AB37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CB34413"/>
    <w:multiLevelType w:val="multilevel"/>
    <w:tmpl w:val="A53EB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D3126FD"/>
    <w:multiLevelType w:val="multilevel"/>
    <w:tmpl w:val="C6F2DA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BB6C36"/>
    <w:multiLevelType w:val="multilevel"/>
    <w:tmpl w:val="3070B7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7C191A"/>
    <w:multiLevelType w:val="multilevel"/>
    <w:tmpl w:val="868A0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3BE2119"/>
    <w:multiLevelType w:val="multilevel"/>
    <w:tmpl w:val="F6223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8897625"/>
    <w:multiLevelType w:val="multilevel"/>
    <w:tmpl w:val="83FA9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771102"/>
    <w:multiLevelType w:val="multilevel"/>
    <w:tmpl w:val="5804F8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FE959AA"/>
    <w:multiLevelType w:val="hybridMultilevel"/>
    <w:tmpl w:val="D354E190"/>
    <w:lvl w:ilvl="0" w:tplc="FAF64D78">
      <w:start w:val="1"/>
      <w:numFmt w:val="decimal"/>
      <w:lvlText w:val="%1."/>
      <w:lvlJc w:val="left"/>
      <w:pPr>
        <w:ind w:left="720" w:hanging="36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73845700">
    <w:abstractNumId w:val="13"/>
  </w:num>
  <w:num w:numId="2" w16cid:durableId="1823159291">
    <w:abstractNumId w:val="3"/>
  </w:num>
  <w:num w:numId="3" w16cid:durableId="502554143">
    <w:abstractNumId w:val="0"/>
  </w:num>
  <w:num w:numId="4" w16cid:durableId="218250048">
    <w:abstractNumId w:val="2"/>
  </w:num>
  <w:num w:numId="5" w16cid:durableId="1151092199">
    <w:abstractNumId w:val="10"/>
  </w:num>
  <w:num w:numId="6" w16cid:durableId="92090198">
    <w:abstractNumId w:val="1"/>
  </w:num>
  <w:num w:numId="7" w16cid:durableId="557208312">
    <w:abstractNumId w:val="5"/>
  </w:num>
  <w:num w:numId="8" w16cid:durableId="1046220491">
    <w:abstractNumId w:val="11"/>
  </w:num>
  <w:num w:numId="9" w16cid:durableId="275407872">
    <w:abstractNumId w:val="9"/>
  </w:num>
  <w:num w:numId="10" w16cid:durableId="2016881619">
    <w:abstractNumId w:val="12"/>
  </w:num>
  <w:num w:numId="11" w16cid:durableId="1711803295">
    <w:abstractNumId w:val="6"/>
  </w:num>
  <w:num w:numId="12" w16cid:durableId="372651889">
    <w:abstractNumId w:val="8"/>
  </w:num>
  <w:num w:numId="13" w16cid:durableId="359165416">
    <w:abstractNumId w:val="4"/>
  </w:num>
  <w:num w:numId="14" w16cid:durableId="707873897">
    <w:abstractNumId w:val="14"/>
  </w:num>
  <w:num w:numId="15" w16cid:durableId="791168322">
    <w:abstractNumId w:val="14"/>
  </w:num>
  <w:num w:numId="16" w16cid:durableId="619606649">
    <w:abstractNumId w:val="15"/>
  </w:num>
  <w:num w:numId="17" w16cid:durableId="1308196453">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7E6"/>
    <w:rsid w:val="00023E6A"/>
    <w:rsid w:val="000367D2"/>
    <w:rsid w:val="00067216"/>
    <w:rsid w:val="000926CC"/>
    <w:rsid w:val="001051E2"/>
    <w:rsid w:val="00122FFD"/>
    <w:rsid w:val="001F677A"/>
    <w:rsid w:val="002326E0"/>
    <w:rsid w:val="002D2096"/>
    <w:rsid w:val="002D476F"/>
    <w:rsid w:val="00316C35"/>
    <w:rsid w:val="003231F7"/>
    <w:rsid w:val="00325695"/>
    <w:rsid w:val="00334569"/>
    <w:rsid w:val="003B3ECF"/>
    <w:rsid w:val="003D6D7B"/>
    <w:rsid w:val="0040014C"/>
    <w:rsid w:val="00414E6B"/>
    <w:rsid w:val="004722F1"/>
    <w:rsid w:val="004C18E7"/>
    <w:rsid w:val="004F0EF6"/>
    <w:rsid w:val="004F6AFA"/>
    <w:rsid w:val="00542EE6"/>
    <w:rsid w:val="00552572"/>
    <w:rsid w:val="005B0265"/>
    <w:rsid w:val="005E1D1E"/>
    <w:rsid w:val="00663647"/>
    <w:rsid w:val="00667C07"/>
    <w:rsid w:val="006D0249"/>
    <w:rsid w:val="006D7129"/>
    <w:rsid w:val="006E6E04"/>
    <w:rsid w:val="0075086B"/>
    <w:rsid w:val="00785BE7"/>
    <w:rsid w:val="007E4792"/>
    <w:rsid w:val="007F097D"/>
    <w:rsid w:val="00813117"/>
    <w:rsid w:val="00861873"/>
    <w:rsid w:val="0086766D"/>
    <w:rsid w:val="008C2BA3"/>
    <w:rsid w:val="00981813"/>
    <w:rsid w:val="009A62A4"/>
    <w:rsid w:val="009F2E95"/>
    <w:rsid w:val="00A33A1B"/>
    <w:rsid w:val="00A36CD5"/>
    <w:rsid w:val="00A85ACA"/>
    <w:rsid w:val="00B607B6"/>
    <w:rsid w:val="00C04F70"/>
    <w:rsid w:val="00CA7730"/>
    <w:rsid w:val="00CB5845"/>
    <w:rsid w:val="00CE061B"/>
    <w:rsid w:val="00D26D07"/>
    <w:rsid w:val="00D61B1B"/>
    <w:rsid w:val="00D757E6"/>
    <w:rsid w:val="00DF2A26"/>
    <w:rsid w:val="00E34833"/>
    <w:rsid w:val="00E83ECA"/>
    <w:rsid w:val="00F0632F"/>
    <w:rsid w:val="00F71A57"/>
    <w:rsid w:val="00F77353"/>
    <w:rsid w:val="00F92715"/>
    <w:rsid w:val="00FA1DFE"/>
    <w:rsid w:val="00FB5FAE"/>
    <w:rsid w:val="00FD2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D8101"/>
  <w15:chartTrackingRefBased/>
  <w15:docId w15:val="{7CCE6416-D233-42A0-B7ED-573C7D8F9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0E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B607B6"/>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542EE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607B6"/>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unhideWhenUsed/>
    <w:rsid w:val="00B607B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607B6"/>
    <w:rPr>
      <w:b/>
      <w:bCs/>
    </w:rPr>
  </w:style>
  <w:style w:type="character" w:customStyle="1" w:styleId="Heading1Char">
    <w:name w:val="Heading 1 Char"/>
    <w:basedOn w:val="DefaultParagraphFont"/>
    <w:link w:val="Heading1"/>
    <w:uiPriority w:val="9"/>
    <w:rsid w:val="004F0EF6"/>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542EE6"/>
    <w:rPr>
      <w:rFonts w:asciiTheme="majorHAnsi" w:eastAsiaTheme="majorEastAsia" w:hAnsiTheme="majorHAnsi" w:cstheme="majorBidi"/>
      <w:i/>
      <w:iCs/>
      <w:color w:val="2F5496" w:themeColor="accent1" w:themeShade="BF"/>
    </w:rPr>
  </w:style>
  <w:style w:type="paragraph" w:customStyle="1" w:styleId="ql-indent-1">
    <w:name w:val="ql-indent-1"/>
    <w:basedOn w:val="Normal"/>
    <w:rsid w:val="00542EE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542EE6"/>
    <w:rPr>
      <w:i/>
      <w:iCs/>
    </w:rPr>
  </w:style>
  <w:style w:type="paragraph" w:styleId="Caption">
    <w:name w:val="caption"/>
    <w:basedOn w:val="Normal"/>
    <w:next w:val="Normal"/>
    <w:uiPriority w:val="35"/>
    <w:unhideWhenUsed/>
    <w:qFormat/>
    <w:rsid w:val="009A62A4"/>
    <w:pPr>
      <w:spacing w:after="200" w:line="240" w:lineRule="auto"/>
    </w:pPr>
    <w:rPr>
      <w:i/>
      <w:iCs/>
      <w:color w:val="44546A" w:themeColor="text2"/>
      <w:sz w:val="18"/>
      <w:szCs w:val="18"/>
    </w:rPr>
  </w:style>
  <w:style w:type="character" w:styleId="Hyperlink">
    <w:name w:val="Hyperlink"/>
    <w:basedOn w:val="DefaultParagraphFont"/>
    <w:uiPriority w:val="99"/>
    <w:unhideWhenUsed/>
    <w:rsid w:val="00122FFD"/>
    <w:rPr>
      <w:color w:val="0563C1" w:themeColor="hyperlink"/>
      <w:u w:val="single"/>
    </w:rPr>
  </w:style>
  <w:style w:type="character" w:styleId="UnresolvedMention">
    <w:name w:val="Unresolved Mention"/>
    <w:basedOn w:val="DefaultParagraphFont"/>
    <w:uiPriority w:val="99"/>
    <w:semiHidden/>
    <w:unhideWhenUsed/>
    <w:rsid w:val="00122FFD"/>
    <w:rPr>
      <w:color w:val="605E5C"/>
      <w:shd w:val="clear" w:color="auto" w:fill="E1DFDD"/>
    </w:rPr>
  </w:style>
  <w:style w:type="paragraph" w:styleId="NoSpacing">
    <w:name w:val="No Spacing"/>
    <w:uiPriority w:val="1"/>
    <w:qFormat/>
    <w:rsid w:val="00C04F70"/>
    <w:pPr>
      <w:spacing w:after="0" w:line="240" w:lineRule="auto"/>
    </w:pPr>
  </w:style>
  <w:style w:type="table" w:styleId="TableGrid">
    <w:name w:val="Table Grid"/>
    <w:basedOn w:val="TableNormal"/>
    <w:uiPriority w:val="39"/>
    <w:rsid w:val="004C1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23E6A"/>
    <w:pPr>
      <w:ind w:left="720"/>
      <w:contextualSpacing/>
    </w:pPr>
  </w:style>
  <w:style w:type="character" w:styleId="FollowedHyperlink">
    <w:name w:val="FollowedHyperlink"/>
    <w:basedOn w:val="DefaultParagraphFont"/>
    <w:uiPriority w:val="99"/>
    <w:semiHidden/>
    <w:unhideWhenUsed/>
    <w:rsid w:val="000926CC"/>
    <w:rPr>
      <w:color w:val="954F72" w:themeColor="followedHyperlink"/>
      <w:u w:val="single"/>
    </w:rPr>
  </w:style>
  <w:style w:type="paragraph" w:styleId="Header">
    <w:name w:val="header"/>
    <w:basedOn w:val="Normal"/>
    <w:link w:val="HeaderChar"/>
    <w:uiPriority w:val="99"/>
    <w:unhideWhenUsed/>
    <w:rsid w:val="003231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31F7"/>
  </w:style>
  <w:style w:type="paragraph" w:styleId="Footer">
    <w:name w:val="footer"/>
    <w:basedOn w:val="Normal"/>
    <w:link w:val="FooterChar"/>
    <w:uiPriority w:val="99"/>
    <w:unhideWhenUsed/>
    <w:rsid w:val="003231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31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352214">
      <w:bodyDiv w:val="1"/>
      <w:marLeft w:val="0"/>
      <w:marRight w:val="0"/>
      <w:marTop w:val="0"/>
      <w:marBottom w:val="0"/>
      <w:divBdr>
        <w:top w:val="none" w:sz="0" w:space="0" w:color="auto"/>
        <w:left w:val="none" w:sz="0" w:space="0" w:color="auto"/>
        <w:bottom w:val="none" w:sz="0" w:space="0" w:color="auto"/>
        <w:right w:val="none" w:sz="0" w:space="0" w:color="auto"/>
      </w:divBdr>
    </w:div>
    <w:div w:id="111095277">
      <w:bodyDiv w:val="1"/>
      <w:marLeft w:val="0"/>
      <w:marRight w:val="0"/>
      <w:marTop w:val="0"/>
      <w:marBottom w:val="0"/>
      <w:divBdr>
        <w:top w:val="none" w:sz="0" w:space="0" w:color="auto"/>
        <w:left w:val="none" w:sz="0" w:space="0" w:color="auto"/>
        <w:bottom w:val="none" w:sz="0" w:space="0" w:color="auto"/>
        <w:right w:val="none" w:sz="0" w:space="0" w:color="auto"/>
      </w:divBdr>
    </w:div>
    <w:div w:id="180709579">
      <w:bodyDiv w:val="1"/>
      <w:marLeft w:val="0"/>
      <w:marRight w:val="0"/>
      <w:marTop w:val="0"/>
      <w:marBottom w:val="0"/>
      <w:divBdr>
        <w:top w:val="none" w:sz="0" w:space="0" w:color="auto"/>
        <w:left w:val="none" w:sz="0" w:space="0" w:color="auto"/>
        <w:bottom w:val="none" w:sz="0" w:space="0" w:color="auto"/>
        <w:right w:val="none" w:sz="0" w:space="0" w:color="auto"/>
      </w:divBdr>
    </w:div>
    <w:div w:id="242373366">
      <w:bodyDiv w:val="1"/>
      <w:marLeft w:val="0"/>
      <w:marRight w:val="0"/>
      <w:marTop w:val="0"/>
      <w:marBottom w:val="0"/>
      <w:divBdr>
        <w:top w:val="none" w:sz="0" w:space="0" w:color="auto"/>
        <w:left w:val="none" w:sz="0" w:space="0" w:color="auto"/>
        <w:bottom w:val="none" w:sz="0" w:space="0" w:color="auto"/>
        <w:right w:val="none" w:sz="0" w:space="0" w:color="auto"/>
      </w:divBdr>
    </w:div>
    <w:div w:id="363596738">
      <w:bodyDiv w:val="1"/>
      <w:marLeft w:val="0"/>
      <w:marRight w:val="0"/>
      <w:marTop w:val="0"/>
      <w:marBottom w:val="0"/>
      <w:divBdr>
        <w:top w:val="none" w:sz="0" w:space="0" w:color="auto"/>
        <w:left w:val="none" w:sz="0" w:space="0" w:color="auto"/>
        <w:bottom w:val="none" w:sz="0" w:space="0" w:color="auto"/>
        <w:right w:val="none" w:sz="0" w:space="0" w:color="auto"/>
      </w:divBdr>
    </w:div>
    <w:div w:id="437800102">
      <w:bodyDiv w:val="1"/>
      <w:marLeft w:val="0"/>
      <w:marRight w:val="0"/>
      <w:marTop w:val="0"/>
      <w:marBottom w:val="0"/>
      <w:divBdr>
        <w:top w:val="none" w:sz="0" w:space="0" w:color="auto"/>
        <w:left w:val="none" w:sz="0" w:space="0" w:color="auto"/>
        <w:bottom w:val="none" w:sz="0" w:space="0" w:color="auto"/>
        <w:right w:val="none" w:sz="0" w:space="0" w:color="auto"/>
      </w:divBdr>
    </w:div>
    <w:div w:id="656887860">
      <w:bodyDiv w:val="1"/>
      <w:marLeft w:val="0"/>
      <w:marRight w:val="0"/>
      <w:marTop w:val="0"/>
      <w:marBottom w:val="0"/>
      <w:divBdr>
        <w:top w:val="none" w:sz="0" w:space="0" w:color="auto"/>
        <w:left w:val="none" w:sz="0" w:space="0" w:color="auto"/>
        <w:bottom w:val="none" w:sz="0" w:space="0" w:color="auto"/>
        <w:right w:val="none" w:sz="0" w:space="0" w:color="auto"/>
      </w:divBdr>
    </w:div>
    <w:div w:id="667443487">
      <w:bodyDiv w:val="1"/>
      <w:marLeft w:val="0"/>
      <w:marRight w:val="0"/>
      <w:marTop w:val="0"/>
      <w:marBottom w:val="0"/>
      <w:divBdr>
        <w:top w:val="none" w:sz="0" w:space="0" w:color="auto"/>
        <w:left w:val="none" w:sz="0" w:space="0" w:color="auto"/>
        <w:bottom w:val="none" w:sz="0" w:space="0" w:color="auto"/>
        <w:right w:val="none" w:sz="0" w:space="0" w:color="auto"/>
      </w:divBdr>
    </w:div>
    <w:div w:id="967860381">
      <w:bodyDiv w:val="1"/>
      <w:marLeft w:val="0"/>
      <w:marRight w:val="0"/>
      <w:marTop w:val="0"/>
      <w:marBottom w:val="0"/>
      <w:divBdr>
        <w:top w:val="none" w:sz="0" w:space="0" w:color="auto"/>
        <w:left w:val="none" w:sz="0" w:space="0" w:color="auto"/>
        <w:bottom w:val="none" w:sz="0" w:space="0" w:color="auto"/>
        <w:right w:val="none" w:sz="0" w:space="0" w:color="auto"/>
      </w:divBdr>
    </w:div>
    <w:div w:id="1078483639">
      <w:bodyDiv w:val="1"/>
      <w:marLeft w:val="0"/>
      <w:marRight w:val="0"/>
      <w:marTop w:val="0"/>
      <w:marBottom w:val="0"/>
      <w:divBdr>
        <w:top w:val="none" w:sz="0" w:space="0" w:color="auto"/>
        <w:left w:val="none" w:sz="0" w:space="0" w:color="auto"/>
        <w:bottom w:val="none" w:sz="0" w:space="0" w:color="auto"/>
        <w:right w:val="none" w:sz="0" w:space="0" w:color="auto"/>
      </w:divBdr>
      <w:divsChild>
        <w:div w:id="341204770">
          <w:marLeft w:val="-720"/>
          <w:marRight w:val="0"/>
          <w:marTop w:val="0"/>
          <w:marBottom w:val="0"/>
          <w:divBdr>
            <w:top w:val="none" w:sz="0" w:space="0" w:color="auto"/>
            <w:left w:val="none" w:sz="0" w:space="0" w:color="auto"/>
            <w:bottom w:val="none" w:sz="0" w:space="0" w:color="auto"/>
            <w:right w:val="none" w:sz="0" w:space="0" w:color="auto"/>
          </w:divBdr>
        </w:div>
      </w:divsChild>
    </w:div>
    <w:div w:id="1081214625">
      <w:bodyDiv w:val="1"/>
      <w:marLeft w:val="0"/>
      <w:marRight w:val="0"/>
      <w:marTop w:val="0"/>
      <w:marBottom w:val="0"/>
      <w:divBdr>
        <w:top w:val="none" w:sz="0" w:space="0" w:color="auto"/>
        <w:left w:val="none" w:sz="0" w:space="0" w:color="auto"/>
        <w:bottom w:val="none" w:sz="0" w:space="0" w:color="auto"/>
        <w:right w:val="none" w:sz="0" w:space="0" w:color="auto"/>
      </w:divBdr>
    </w:div>
    <w:div w:id="1108430053">
      <w:bodyDiv w:val="1"/>
      <w:marLeft w:val="0"/>
      <w:marRight w:val="0"/>
      <w:marTop w:val="0"/>
      <w:marBottom w:val="0"/>
      <w:divBdr>
        <w:top w:val="none" w:sz="0" w:space="0" w:color="auto"/>
        <w:left w:val="none" w:sz="0" w:space="0" w:color="auto"/>
        <w:bottom w:val="none" w:sz="0" w:space="0" w:color="auto"/>
        <w:right w:val="none" w:sz="0" w:space="0" w:color="auto"/>
      </w:divBdr>
    </w:div>
    <w:div w:id="1221673422">
      <w:bodyDiv w:val="1"/>
      <w:marLeft w:val="0"/>
      <w:marRight w:val="0"/>
      <w:marTop w:val="0"/>
      <w:marBottom w:val="0"/>
      <w:divBdr>
        <w:top w:val="none" w:sz="0" w:space="0" w:color="auto"/>
        <w:left w:val="none" w:sz="0" w:space="0" w:color="auto"/>
        <w:bottom w:val="none" w:sz="0" w:space="0" w:color="auto"/>
        <w:right w:val="none" w:sz="0" w:space="0" w:color="auto"/>
      </w:divBdr>
    </w:div>
    <w:div w:id="1266227612">
      <w:bodyDiv w:val="1"/>
      <w:marLeft w:val="0"/>
      <w:marRight w:val="0"/>
      <w:marTop w:val="0"/>
      <w:marBottom w:val="0"/>
      <w:divBdr>
        <w:top w:val="none" w:sz="0" w:space="0" w:color="auto"/>
        <w:left w:val="none" w:sz="0" w:space="0" w:color="auto"/>
        <w:bottom w:val="none" w:sz="0" w:space="0" w:color="auto"/>
        <w:right w:val="none" w:sz="0" w:space="0" w:color="auto"/>
      </w:divBdr>
    </w:div>
    <w:div w:id="1478061294">
      <w:bodyDiv w:val="1"/>
      <w:marLeft w:val="0"/>
      <w:marRight w:val="0"/>
      <w:marTop w:val="0"/>
      <w:marBottom w:val="0"/>
      <w:divBdr>
        <w:top w:val="none" w:sz="0" w:space="0" w:color="auto"/>
        <w:left w:val="none" w:sz="0" w:space="0" w:color="auto"/>
        <w:bottom w:val="none" w:sz="0" w:space="0" w:color="auto"/>
        <w:right w:val="none" w:sz="0" w:space="0" w:color="auto"/>
      </w:divBdr>
    </w:div>
    <w:div w:id="1507398561">
      <w:bodyDiv w:val="1"/>
      <w:marLeft w:val="0"/>
      <w:marRight w:val="0"/>
      <w:marTop w:val="0"/>
      <w:marBottom w:val="0"/>
      <w:divBdr>
        <w:top w:val="none" w:sz="0" w:space="0" w:color="auto"/>
        <w:left w:val="none" w:sz="0" w:space="0" w:color="auto"/>
        <w:bottom w:val="none" w:sz="0" w:space="0" w:color="auto"/>
        <w:right w:val="none" w:sz="0" w:space="0" w:color="auto"/>
      </w:divBdr>
      <w:divsChild>
        <w:div w:id="720978509">
          <w:marLeft w:val="0"/>
          <w:marRight w:val="0"/>
          <w:marTop w:val="0"/>
          <w:marBottom w:val="480"/>
          <w:divBdr>
            <w:top w:val="none" w:sz="0" w:space="0" w:color="auto"/>
            <w:left w:val="none" w:sz="0" w:space="0" w:color="auto"/>
            <w:bottom w:val="none" w:sz="0" w:space="0" w:color="auto"/>
            <w:right w:val="none" w:sz="0" w:space="0" w:color="auto"/>
          </w:divBdr>
        </w:div>
        <w:div w:id="1323466626">
          <w:marLeft w:val="0"/>
          <w:marRight w:val="0"/>
          <w:marTop w:val="0"/>
          <w:marBottom w:val="240"/>
          <w:divBdr>
            <w:top w:val="none" w:sz="0" w:space="0" w:color="auto"/>
            <w:left w:val="none" w:sz="0" w:space="0" w:color="auto"/>
            <w:bottom w:val="none" w:sz="0" w:space="0" w:color="auto"/>
            <w:right w:val="none" w:sz="0" w:space="0" w:color="auto"/>
          </w:divBdr>
          <w:divsChild>
            <w:div w:id="292444971">
              <w:marLeft w:val="0"/>
              <w:marRight w:val="0"/>
              <w:marTop w:val="0"/>
              <w:marBottom w:val="0"/>
              <w:divBdr>
                <w:top w:val="none" w:sz="0" w:space="0" w:color="auto"/>
                <w:left w:val="none" w:sz="0" w:space="0" w:color="auto"/>
                <w:bottom w:val="none" w:sz="0" w:space="0" w:color="auto"/>
                <w:right w:val="none" w:sz="0" w:space="0" w:color="auto"/>
              </w:divBdr>
            </w:div>
            <w:div w:id="1046560604">
              <w:marLeft w:val="0"/>
              <w:marRight w:val="0"/>
              <w:marTop w:val="0"/>
              <w:marBottom w:val="0"/>
              <w:divBdr>
                <w:top w:val="none" w:sz="0" w:space="0" w:color="auto"/>
                <w:left w:val="none" w:sz="0" w:space="0" w:color="auto"/>
                <w:bottom w:val="none" w:sz="0" w:space="0" w:color="auto"/>
                <w:right w:val="none" w:sz="0" w:space="0" w:color="auto"/>
              </w:divBdr>
              <w:divsChild>
                <w:div w:id="331569246">
                  <w:marLeft w:val="0"/>
                  <w:marRight w:val="0"/>
                  <w:marTop w:val="0"/>
                  <w:marBottom w:val="720"/>
                  <w:divBdr>
                    <w:top w:val="none" w:sz="0" w:space="0" w:color="auto"/>
                    <w:left w:val="none" w:sz="0" w:space="0" w:color="auto"/>
                    <w:bottom w:val="none" w:sz="0" w:space="0" w:color="auto"/>
                    <w:right w:val="none" w:sz="0" w:space="0" w:color="auto"/>
                  </w:divBdr>
                </w:div>
              </w:divsChild>
            </w:div>
          </w:divsChild>
        </w:div>
      </w:divsChild>
    </w:div>
    <w:div w:id="1621759676">
      <w:bodyDiv w:val="1"/>
      <w:marLeft w:val="0"/>
      <w:marRight w:val="0"/>
      <w:marTop w:val="0"/>
      <w:marBottom w:val="0"/>
      <w:divBdr>
        <w:top w:val="none" w:sz="0" w:space="0" w:color="auto"/>
        <w:left w:val="none" w:sz="0" w:space="0" w:color="auto"/>
        <w:bottom w:val="none" w:sz="0" w:space="0" w:color="auto"/>
        <w:right w:val="none" w:sz="0" w:space="0" w:color="auto"/>
      </w:divBdr>
    </w:div>
    <w:div w:id="1685134504">
      <w:bodyDiv w:val="1"/>
      <w:marLeft w:val="0"/>
      <w:marRight w:val="0"/>
      <w:marTop w:val="0"/>
      <w:marBottom w:val="0"/>
      <w:divBdr>
        <w:top w:val="none" w:sz="0" w:space="0" w:color="auto"/>
        <w:left w:val="none" w:sz="0" w:space="0" w:color="auto"/>
        <w:bottom w:val="none" w:sz="0" w:space="0" w:color="auto"/>
        <w:right w:val="none" w:sz="0" w:space="0" w:color="auto"/>
      </w:divBdr>
    </w:div>
    <w:div w:id="1785883828">
      <w:bodyDiv w:val="1"/>
      <w:marLeft w:val="0"/>
      <w:marRight w:val="0"/>
      <w:marTop w:val="0"/>
      <w:marBottom w:val="0"/>
      <w:divBdr>
        <w:top w:val="none" w:sz="0" w:space="0" w:color="auto"/>
        <w:left w:val="none" w:sz="0" w:space="0" w:color="auto"/>
        <w:bottom w:val="none" w:sz="0" w:space="0" w:color="auto"/>
        <w:right w:val="none" w:sz="0" w:space="0" w:color="auto"/>
      </w:divBdr>
    </w:div>
    <w:div w:id="1788087399">
      <w:bodyDiv w:val="1"/>
      <w:marLeft w:val="0"/>
      <w:marRight w:val="0"/>
      <w:marTop w:val="0"/>
      <w:marBottom w:val="0"/>
      <w:divBdr>
        <w:top w:val="none" w:sz="0" w:space="0" w:color="auto"/>
        <w:left w:val="none" w:sz="0" w:space="0" w:color="auto"/>
        <w:bottom w:val="none" w:sz="0" w:space="0" w:color="auto"/>
        <w:right w:val="none" w:sz="0" w:space="0" w:color="auto"/>
      </w:divBdr>
      <w:divsChild>
        <w:div w:id="151796659">
          <w:marLeft w:val="-720"/>
          <w:marRight w:val="0"/>
          <w:marTop w:val="0"/>
          <w:marBottom w:val="0"/>
          <w:divBdr>
            <w:top w:val="none" w:sz="0" w:space="0" w:color="auto"/>
            <w:left w:val="none" w:sz="0" w:space="0" w:color="auto"/>
            <w:bottom w:val="none" w:sz="0" w:space="0" w:color="auto"/>
            <w:right w:val="none" w:sz="0" w:space="0" w:color="auto"/>
          </w:divBdr>
        </w:div>
      </w:divsChild>
    </w:div>
    <w:div w:id="1866753091">
      <w:bodyDiv w:val="1"/>
      <w:marLeft w:val="0"/>
      <w:marRight w:val="0"/>
      <w:marTop w:val="0"/>
      <w:marBottom w:val="0"/>
      <w:divBdr>
        <w:top w:val="none" w:sz="0" w:space="0" w:color="auto"/>
        <w:left w:val="none" w:sz="0" w:space="0" w:color="auto"/>
        <w:bottom w:val="none" w:sz="0" w:space="0" w:color="auto"/>
        <w:right w:val="none" w:sz="0" w:space="0" w:color="auto"/>
      </w:divBdr>
    </w:div>
    <w:div w:id="1896700411">
      <w:bodyDiv w:val="1"/>
      <w:marLeft w:val="0"/>
      <w:marRight w:val="0"/>
      <w:marTop w:val="0"/>
      <w:marBottom w:val="0"/>
      <w:divBdr>
        <w:top w:val="none" w:sz="0" w:space="0" w:color="auto"/>
        <w:left w:val="none" w:sz="0" w:space="0" w:color="auto"/>
        <w:bottom w:val="none" w:sz="0" w:space="0" w:color="auto"/>
        <w:right w:val="none" w:sz="0" w:space="0" w:color="auto"/>
      </w:divBdr>
    </w:div>
    <w:div w:id="1901555876">
      <w:bodyDiv w:val="1"/>
      <w:marLeft w:val="0"/>
      <w:marRight w:val="0"/>
      <w:marTop w:val="0"/>
      <w:marBottom w:val="0"/>
      <w:divBdr>
        <w:top w:val="none" w:sz="0" w:space="0" w:color="auto"/>
        <w:left w:val="none" w:sz="0" w:space="0" w:color="auto"/>
        <w:bottom w:val="none" w:sz="0" w:space="0" w:color="auto"/>
        <w:right w:val="none" w:sz="0" w:space="0" w:color="auto"/>
      </w:divBdr>
      <w:divsChild>
        <w:div w:id="142703054">
          <w:marLeft w:val="-720"/>
          <w:marRight w:val="0"/>
          <w:marTop w:val="0"/>
          <w:marBottom w:val="0"/>
          <w:divBdr>
            <w:top w:val="none" w:sz="0" w:space="0" w:color="auto"/>
            <w:left w:val="none" w:sz="0" w:space="0" w:color="auto"/>
            <w:bottom w:val="none" w:sz="0" w:space="0" w:color="auto"/>
            <w:right w:val="none" w:sz="0" w:space="0" w:color="auto"/>
          </w:divBdr>
        </w:div>
      </w:divsChild>
    </w:div>
    <w:div w:id="1903983778">
      <w:bodyDiv w:val="1"/>
      <w:marLeft w:val="0"/>
      <w:marRight w:val="0"/>
      <w:marTop w:val="0"/>
      <w:marBottom w:val="0"/>
      <w:divBdr>
        <w:top w:val="none" w:sz="0" w:space="0" w:color="auto"/>
        <w:left w:val="none" w:sz="0" w:space="0" w:color="auto"/>
        <w:bottom w:val="none" w:sz="0" w:space="0" w:color="auto"/>
        <w:right w:val="none" w:sz="0" w:space="0" w:color="auto"/>
      </w:divBdr>
      <w:divsChild>
        <w:div w:id="1108351111">
          <w:marLeft w:val="-720"/>
          <w:marRight w:val="0"/>
          <w:marTop w:val="0"/>
          <w:marBottom w:val="0"/>
          <w:divBdr>
            <w:top w:val="none" w:sz="0" w:space="0" w:color="auto"/>
            <w:left w:val="none" w:sz="0" w:space="0" w:color="auto"/>
            <w:bottom w:val="none" w:sz="0" w:space="0" w:color="auto"/>
            <w:right w:val="none" w:sz="0" w:space="0" w:color="auto"/>
          </w:divBdr>
        </w:div>
      </w:divsChild>
    </w:div>
    <w:div w:id="1974869268">
      <w:bodyDiv w:val="1"/>
      <w:marLeft w:val="0"/>
      <w:marRight w:val="0"/>
      <w:marTop w:val="0"/>
      <w:marBottom w:val="0"/>
      <w:divBdr>
        <w:top w:val="none" w:sz="0" w:space="0" w:color="auto"/>
        <w:left w:val="none" w:sz="0" w:space="0" w:color="auto"/>
        <w:bottom w:val="none" w:sz="0" w:space="0" w:color="auto"/>
        <w:right w:val="none" w:sz="0" w:space="0" w:color="auto"/>
      </w:divBdr>
      <w:divsChild>
        <w:div w:id="560600405">
          <w:marLeft w:val="-720"/>
          <w:marRight w:val="0"/>
          <w:marTop w:val="0"/>
          <w:marBottom w:val="0"/>
          <w:divBdr>
            <w:top w:val="none" w:sz="0" w:space="0" w:color="auto"/>
            <w:left w:val="none" w:sz="0" w:space="0" w:color="auto"/>
            <w:bottom w:val="none" w:sz="0" w:space="0" w:color="auto"/>
            <w:right w:val="none" w:sz="0" w:space="0" w:color="auto"/>
          </w:divBdr>
        </w:div>
      </w:divsChild>
    </w:div>
    <w:div w:id="2110807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7535069.2019.1710860" TargetMode="External"/><Relationship Id="rId13" Type="http://schemas.openxmlformats.org/officeDocument/2006/relationships/hyperlink" Target="https://sustainability.google/operating-sustainably/"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dezeen.com/2017/06/01/google-finally-reveals-plans-london-hq-big-heatherwick-architecture-new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business/2022/nov/16/uk-inflation-rate-energy-price-ris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statista.com/statistics/306648/inflation-rate-consumer-price-index-cpi-united-kingdom-uk/" TargetMode="External"/><Relationship Id="rId4" Type="http://schemas.openxmlformats.org/officeDocument/2006/relationships/webSettings" Target="webSettings.xml"/><Relationship Id="rId9" Type="http://schemas.openxmlformats.org/officeDocument/2006/relationships/hyperlink" Target="https://www.bdp.com/en/projects/f-l/google-hq-kings-cross/" TargetMode="External"/><Relationship Id="rId14" Type="http://schemas.openxmlformats.org/officeDocument/2006/relationships/hyperlink" Target="https://www.theguardian.com/business/2022/jul/01/behold-londons-landscraper-googles-new-uk-hq-as-long-as-the-shard-is-t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16</Pages>
  <Words>3682</Words>
  <Characters>20988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11</dc:creator>
  <cp:keywords/>
  <dc:description/>
  <cp:lastModifiedBy>Constantin Marian Grigoras</cp:lastModifiedBy>
  <cp:revision>4</cp:revision>
  <dcterms:created xsi:type="dcterms:W3CDTF">2023-11-20T09:02:00Z</dcterms:created>
  <dcterms:modified xsi:type="dcterms:W3CDTF">2023-11-25T10:38:00Z</dcterms:modified>
</cp:coreProperties>
</file>