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B09C6C" w14:textId="77777777" w:rsidR="005333FD" w:rsidRPr="005333FD" w:rsidRDefault="005333FD" w:rsidP="005333FD">
      <w:r w:rsidRPr="005333FD">
        <w:t>As financial services organizations expand into global markets, they face the challenge of aligning their internal data governance practices with diverse regulatory landscapes. In this context, the expansion of a mid-sized financial institution into the European market presents not only business opportunities but also significant compliance responsibilities, notably under the General Data Protection Regulation (GDPR). This essay outlines a technical approach to building a robust data security governance and compliance framework, addressing critical weaknesses in data classification, access control, incident response, and shadow IT.</w:t>
      </w:r>
    </w:p>
    <w:p w14:paraId="346D9DB2" w14:textId="77777777" w:rsidR="005333FD" w:rsidRPr="005333FD" w:rsidRDefault="005333FD" w:rsidP="005333FD">
      <w:r w:rsidRPr="005333FD">
        <w:t>Data security governance must be structured, measurable, and enforceable. It begins with establishing a formal governance model aligned with industry frameworks such as ISO/IEC 27001 for information security and COBIT 2019 for IT governance. A Data Governance Committee comprising IT, legal, compliance, and business unit representatives should oversee policy development, monitor compliance, and ensure ongoing risk management. This centralized oversight ensures alignment between organizational strategy and regulatory obligations.</w:t>
      </w:r>
    </w:p>
    <w:p w14:paraId="6C4793EC" w14:textId="77777777" w:rsidR="005333FD" w:rsidRPr="005333FD" w:rsidRDefault="005333FD" w:rsidP="005333FD">
      <w:r w:rsidRPr="005333FD">
        <w:t>Compliance with GDPR requires several specific actions. First, data mapping and inventory must be performed to document data flows, storage locations, and processing activities. A Data Protection Impact Assessment (DPIA) should be initiated for any high-risk data processing operations. Second, mechanisms must be established to enforce data subject rights, including access, rectification, and the right to be forgotten. Consent collection must be explicit, traceable, and revocable, as required by Articles 6 and 7 of the GDPR. Moreover, an incident response protocol must be established to ensure breach notification to supervisory authorities within 72 hours, in accordance with Article 33.</w:t>
      </w:r>
    </w:p>
    <w:p w14:paraId="1102B1E8" w14:textId="77777777" w:rsidR="005333FD" w:rsidRPr="005333FD" w:rsidRDefault="005333FD" w:rsidP="005333FD">
      <w:r w:rsidRPr="005333FD">
        <w:t>Risk assessment and data classification are foundational to enforcing appropriate technical controls. A structured classification schema—public, internal, confidential, and restricted—guides access management, encryption, and monitoring. Adopting NIST SP 800-30 for risk analysis ensures systematic identification of threats, vulnerabilities, and their potential impacts. For instance, restricted data such as personally identifiable information (PII) should be protected through strong encryption, least-privilege access controls, and robust logging.</w:t>
      </w:r>
    </w:p>
    <w:p w14:paraId="2F6FDDC9" w14:textId="77777777" w:rsidR="005333FD" w:rsidRPr="005333FD" w:rsidRDefault="005333FD" w:rsidP="005333FD">
      <w:r w:rsidRPr="005333FD">
        <w:t>Addressing the problem of shadow IT and third-party risk is critical. Unauthorized cloud services can expose sensitive data to uncontrolled environments. Deploying Cloud Access Security Brokers (CASBs) enables discovery and control over unauthorized software-as-a-service (SaaS) usage. In parallel, all third-party vendors must undergo a security risk assessment, including evaluation of their certifications (e.g., SOC 2 Type II, ISO 27001) and inclusion of contractual safeguards such as breach notification clauses and audit rights.</w:t>
      </w:r>
    </w:p>
    <w:p w14:paraId="719C2CF3" w14:textId="77777777" w:rsidR="005333FD" w:rsidRPr="005333FD" w:rsidRDefault="005333FD" w:rsidP="005333FD">
      <w:r w:rsidRPr="005333FD">
        <w:lastRenderedPageBreak/>
        <w:t>Equally important is the creation of a security-aware culture. Employees should undergo regular, role-specific cybersecurity training. Simulated phishing exercises and tabletop incident response scenarios reinforce practical awareness and improve organizational readiness. Incident response procedures, based on NIST SP 800-61, should define clear escalation paths, response timelines, and communication protocols.</w:t>
      </w:r>
    </w:p>
    <w:p w14:paraId="30341E58" w14:textId="134F0FBC" w:rsidR="005333FD" w:rsidRPr="005333FD" w:rsidRDefault="005333FD" w:rsidP="005333FD">
      <w:pPr>
        <w:rPr>
          <w:vanish/>
        </w:rPr>
      </w:pPr>
      <w:r w:rsidRPr="005333FD">
        <w:t>In conclusion, the establishment of a technically sound data security governance framework must integrate policy, process, people, and technology. By aligning with international standards and focusing on proactive risk management, the organization can meet GDPR obligations while strengthening its overall security posture. This approach not only ensures compliance but also fosters a resilient and security-conscious enterprise.</w:t>
      </w:r>
      <w:r w:rsidRPr="005333FD">
        <w:rPr>
          <w:vanish/>
        </w:rPr>
        <w:t xml:space="preserve"> </w:t>
      </w:r>
    </w:p>
    <w:p w14:paraId="173B97A0" w14:textId="77777777" w:rsidR="005333FD" w:rsidRDefault="005333FD"/>
    <w:sectPr w:rsidR="005333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3FD"/>
    <w:rsid w:val="005333FD"/>
    <w:rsid w:val="00F50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F2738"/>
  <w15:chartTrackingRefBased/>
  <w15:docId w15:val="{14D06E55-8E63-4447-B8C6-26DE27598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33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33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33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33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33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33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33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33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33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33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33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33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33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33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33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33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33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33FD"/>
    <w:rPr>
      <w:rFonts w:eastAsiaTheme="majorEastAsia" w:cstheme="majorBidi"/>
      <w:color w:val="272727" w:themeColor="text1" w:themeTint="D8"/>
    </w:rPr>
  </w:style>
  <w:style w:type="paragraph" w:styleId="Title">
    <w:name w:val="Title"/>
    <w:basedOn w:val="Normal"/>
    <w:next w:val="Normal"/>
    <w:link w:val="TitleChar"/>
    <w:uiPriority w:val="10"/>
    <w:qFormat/>
    <w:rsid w:val="005333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33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33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33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33FD"/>
    <w:pPr>
      <w:spacing w:before="160"/>
      <w:jc w:val="center"/>
    </w:pPr>
    <w:rPr>
      <w:i/>
      <w:iCs/>
      <w:color w:val="404040" w:themeColor="text1" w:themeTint="BF"/>
    </w:rPr>
  </w:style>
  <w:style w:type="character" w:customStyle="1" w:styleId="QuoteChar">
    <w:name w:val="Quote Char"/>
    <w:basedOn w:val="DefaultParagraphFont"/>
    <w:link w:val="Quote"/>
    <w:uiPriority w:val="29"/>
    <w:rsid w:val="005333FD"/>
    <w:rPr>
      <w:i/>
      <w:iCs/>
      <w:color w:val="404040" w:themeColor="text1" w:themeTint="BF"/>
    </w:rPr>
  </w:style>
  <w:style w:type="paragraph" w:styleId="ListParagraph">
    <w:name w:val="List Paragraph"/>
    <w:basedOn w:val="Normal"/>
    <w:uiPriority w:val="34"/>
    <w:qFormat/>
    <w:rsid w:val="005333FD"/>
    <w:pPr>
      <w:ind w:left="720"/>
      <w:contextualSpacing/>
    </w:pPr>
  </w:style>
  <w:style w:type="character" w:styleId="IntenseEmphasis">
    <w:name w:val="Intense Emphasis"/>
    <w:basedOn w:val="DefaultParagraphFont"/>
    <w:uiPriority w:val="21"/>
    <w:qFormat/>
    <w:rsid w:val="005333FD"/>
    <w:rPr>
      <w:i/>
      <w:iCs/>
      <w:color w:val="0F4761" w:themeColor="accent1" w:themeShade="BF"/>
    </w:rPr>
  </w:style>
  <w:style w:type="paragraph" w:styleId="IntenseQuote">
    <w:name w:val="Intense Quote"/>
    <w:basedOn w:val="Normal"/>
    <w:next w:val="Normal"/>
    <w:link w:val="IntenseQuoteChar"/>
    <w:uiPriority w:val="30"/>
    <w:qFormat/>
    <w:rsid w:val="005333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33FD"/>
    <w:rPr>
      <w:i/>
      <w:iCs/>
      <w:color w:val="0F4761" w:themeColor="accent1" w:themeShade="BF"/>
    </w:rPr>
  </w:style>
  <w:style w:type="character" w:styleId="IntenseReference">
    <w:name w:val="Intense Reference"/>
    <w:basedOn w:val="DefaultParagraphFont"/>
    <w:uiPriority w:val="32"/>
    <w:qFormat/>
    <w:rsid w:val="005333F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4104232">
      <w:bodyDiv w:val="1"/>
      <w:marLeft w:val="0"/>
      <w:marRight w:val="0"/>
      <w:marTop w:val="0"/>
      <w:marBottom w:val="0"/>
      <w:divBdr>
        <w:top w:val="none" w:sz="0" w:space="0" w:color="auto"/>
        <w:left w:val="none" w:sz="0" w:space="0" w:color="auto"/>
        <w:bottom w:val="none" w:sz="0" w:space="0" w:color="auto"/>
        <w:right w:val="none" w:sz="0" w:space="0" w:color="auto"/>
      </w:divBdr>
      <w:divsChild>
        <w:div w:id="447508860">
          <w:marLeft w:val="0"/>
          <w:marRight w:val="0"/>
          <w:marTop w:val="0"/>
          <w:marBottom w:val="0"/>
          <w:divBdr>
            <w:top w:val="none" w:sz="0" w:space="0" w:color="auto"/>
            <w:left w:val="none" w:sz="0" w:space="0" w:color="auto"/>
            <w:bottom w:val="none" w:sz="0" w:space="0" w:color="auto"/>
            <w:right w:val="none" w:sz="0" w:space="0" w:color="auto"/>
          </w:divBdr>
          <w:divsChild>
            <w:div w:id="186987754">
              <w:marLeft w:val="0"/>
              <w:marRight w:val="0"/>
              <w:marTop w:val="0"/>
              <w:marBottom w:val="0"/>
              <w:divBdr>
                <w:top w:val="none" w:sz="0" w:space="0" w:color="auto"/>
                <w:left w:val="none" w:sz="0" w:space="0" w:color="auto"/>
                <w:bottom w:val="none" w:sz="0" w:space="0" w:color="auto"/>
                <w:right w:val="none" w:sz="0" w:space="0" w:color="auto"/>
              </w:divBdr>
              <w:divsChild>
                <w:div w:id="1965692516">
                  <w:marLeft w:val="0"/>
                  <w:marRight w:val="0"/>
                  <w:marTop w:val="0"/>
                  <w:marBottom w:val="0"/>
                  <w:divBdr>
                    <w:top w:val="none" w:sz="0" w:space="0" w:color="auto"/>
                    <w:left w:val="none" w:sz="0" w:space="0" w:color="auto"/>
                    <w:bottom w:val="none" w:sz="0" w:space="0" w:color="auto"/>
                    <w:right w:val="none" w:sz="0" w:space="0" w:color="auto"/>
                  </w:divBdr>
                  <w:divsChild>
                    <w:div w:id="594509786">
                      <w:marLeft w:val="0"/>
                      <w:marRight w:val="0"/>
                      <w:marTop w:val="0"/>
                      <w:marBottom w:val="0"/>
                      <w:divBdr>
                        <w:top w:val="none" w:sz="0" w:space="0" w:color="auto"/>
                        <w:left w:val="none" w:sz="0" w:space="0" w:color="auto"/>
                        <w:bottom w:val="none" w:sz="0" w:space="0" w:color="auto"/>
                        <w:right w:val="none" w:sz="0" w:space="0" w:color="auto"/>
                      </w:divBdr>
                      <w:divsChild>
                        <w:div w:id="602298428">
                          <w:marLeft w:val="0"/>
                          <w:marRight w:val="0"/>
                          <w:marTop w:val="0"/>
                          <w:marBottom w:val="0"/>
                          <w:divBdr>
                            <w:top w:val="none" w:sz="0" w:space="0" w:color="auto"/>
                            <w:left w:val="none" w:sz="0" w:space="0" w:color="auto"/>
                            <w:bottom w:val="none" w:sz="0" w:space="0" w:color="auto"/>
                            <w:right w:val="none" w:sz="0" w:space="0" w:color="auto"/>
                          </w:divBdr>
                          <w:divsChild>
                            <w:div w:id="1994262282">
                              <w:marLeft w:val="0"/>
                              <w:marRight w:val="0"/>
                              <w:marTop w:val="0"/>
                              <w:marBottom w:val="0"/>
                              <w:divBdr>
                                <w:top w:val="none" w:sz="0" w:space="0" w:color="auto"/>
                                <w:left w:val="none" w:sz="0" w:space="0" w:color="auto"/>
                                <w:bottom w:val="none" w:sz="0" w:space="0" w:color="auto"/>
                                <w:right w:val="none" w:sz="0" w:space="0" w:color="auto"/>
                              </w:divBdr>
                              <w:divsChild>
                                <w:div w:id="553394848">
                                  <w:marLeft w:val="0"/>
                                  <w:marRight w:val="0"/>
                                  <w:marTop w:val="0"/>
                                  <w:marBottom w:val="0"/>
                                  <w:divBdr>
                                    <w:top w:val="none" w:sz="0" w:space="0" w:color="auto"/>
                                    <w:left w:val="none" w:sz="0" w:space="0" w:color="auto"/>
                                    <w:bottom w:val="none" w:sz="0" w:space="0" w:color="auto"/>
                                    <w:right w:val="none" w:sz="0" w:space="0" w:color="auto"/>
                                  </w:divBdr>
                                  <w:divsChild>
                                    <w:div w:id="965937608">
                                      <w:marLeft w:val="0"/>
                                      <w:marRight w:val="0"/>
                                      <w:marTop w:val="0"/>
                                      <w:marBottom w:val="0"/>
                                      <w:divBdr>
                                        <w:top w:val="none" w:sz="0" w:space="0" w:color="auto"/>
                                        <w:left w:val="none" w:sz="0" w:space="0" w:color="auto"/>
                                        <w:bottom w:val="none" w:sz="0" w:space="0" w:color="auto"/>
                                        <w:right w:val="none" w:sz="0" w:space="0" w:color="auto"/>
                                      </w:divBdr>
                                      <w:divsChild>
                                        <w:div w:id="362755564">
                                          <w:marLeft w:val="0"/>
                                          <w:marRight w:val="0"/>
                                          <w:marTop w:val="0"/>
                                          <w:marBottom w:val="0"/>
                                          <w:divBdr>
                                            <w:top w:val="none" w:sz="0" w:space="0" w:color="auto"/>
                                            <w:left w:val="none" w:sz="0" w:space="0" w:color="auto"/>
                                            <w:bottom w:val="none" w:sz="0" w:space="0" w:color="auto"/>
                                            <w:right w:val="none" w:sz="0" w:space="0" w:color="auto"/>
                                          </w:divBdr>
                                          <w:divsChild>
                                            <w:div w:id="273094995">
                                              <w:marLeft w:val="0"/>
                                              <w:marRight w:val="0"/>
                                              <w:marTop w:val="0"/>
                                              <w:marBottom w:val="0"/>
                                              <w:divBdr>
                                                <w:top w:val="none" w:sz="0" w:space="0" w:color="auto"/>
                                                <w:left w:val="none" w:sz="0" w:space="0" w:color="auto"/>
                                                <w:bottom w:val="none" w:sz="0" w:space="0" w:color="auto"/>
                                                <w:right w:val="none" w:sz="0" w:space="0" w:color="auto"/>
                                              </w:divBdr>
                                              <w:divsChild>
                                                <w:div w:id="1072972611">
                                                  <w:marLeft w:val="0"/>
                                                  <w:marRight w:val="0"/>
                                                  <w:marTop w:val="0"/>
                                                  <w:marBottom w:val="0"/>
                                                  <w:divBdr>
                                                    <w:top w:val="none" w:sz="0" w:space="0" w:color="auto"/>
                                                    <w:left w:val="none" w:sz="0" w:space="0" w:color="auto"/>
                                                    <w:bottom w:val="none" w:sz="0" w:space="0" w:color="auto"/>
                                                    <w:right w:val="none" w:sz="0" w:space="0" w:color="auto"/>
                                                  </w:divBdr>
                                                  <w:divsChild>
                                                    <w:div w:id="55766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902306">
                                      <w:marLeft w:val="0"/>
                                      <w:marRight w:val="0"/>
                                      <w:marTop w:val="0"/>
                                      <w:marBottom w:val="0"/>
                                      <w:divBdr>
                                        <w:top w:val="none" w:sz="0" w:space="0" w:color="auto"/>
                                        <w:left w:val="none" w:sz="0" w:space="0" w:color="auto"/>
                                        <w:bottom w:val="none" w:sz="0" w:space="0" w:color="auto"/>
                                        <w:right w:val="none" w:sz="0" w:space="0" w:color="auto"/>
                                      </w:divBdr>
                                      <w:divsChild>
                                        <w:div w:id="128060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3977788">
          <w:marLeft w:val="0"/>
          <w:marRight w:val="0"/>
          <w:marTop w:val="0"/>
          <w:marBottom w:val="0"/>
          <w:divBdr>
            <w:top w:val="none" w:sz="0" w:space="0" w:color="auto"/>
            <w:left w:val="none" w:sz="0" w:space="0" w:color="auto"/>
            <w:bottom w:val="none" w:sz="0" w:space="0" w:color="auto"/>
            <w:right w:val="none" w:sz="0" w:space="0" w:color="auto"/>
          </w:divBdr>
          <w:divsChild>
            <w:div w:id="624237008">
              <w:marLeft w:val="0"/>
              <w:marRight w:val="0"/>
              <w:marTop w:val="0"/>
              <w:marBottom w:val="0"/>
              <w:divBdr>
                <w:top w:val="none" w:sz="0" w:space="0" w:color="auto"/>
                <w:left w:val="none" w:sz="0" w:space="0" w:color="auto"/>
                <w:bottom w:val="none" w:sz="0" w:space="0" w:color="auto"/>
                <w:right w:val="none" w:sz="0" w:space="0" w:color="auto"/>
              </w:divBdr>
              <w:divsChild>
                <w:div w:id="1857039738">
                  <w:marLeft w:val="0"/>
                  <w:marRight w:val="0"/>
                  <w:marTop w:val="0"/>
                  <w:marBottom w:val="0"/>
                  <w:divBdr>
                    <w:top w:val="none" w:sz="0" w:space="0" w:color="auto"/>
                    <w:left w:val="none" w:sz="0" w:space="0" w:color="auto"/>
                    <w:bottom w:val="none" w:sz="0" w:space="0" w:color="auto"/>
                    <w:right w:val="none" w:sz="0" w:space="0" w:color="auto"/>
                  </w:divBdr>
                  <w:divsChild>
                    <w:div w:id="1956712562">
                      <w:marLeft w:val="0"/>
                      <w:marRight w:val="0"/>
                      <w:marTop w:val="0"/>
                      <w:marBottom w:val="0"/>
                      <w:divBdr>
                        <w:top w:val="none" w:sz="0" w:space="0" w:color="auto"/>
                        <w:left w:val="none" w:sz="0" w:space="0" w:color="auto"/>
                        <w:bottom w:val="none" w:sz="0" w:space="0" w:color="auto"/>
                        <w:right w:val="none" w:sz="0" w:space="0" w:color="auto"/>
                      </w:divBdr>
                      <w:divsChild>
                        <w:div w:id="2081368937">
                          <w:marLeft w:val="0"/>
                          <w:marRight w:val="0"/>
                          <w:marTop w:val="0"/>
                          <w:marBottom w:val="0"/>
                          <w:divBdr>
                            <w:top w:val="none" w:sz="0" w:space="0" w:color="auto"/>
                            <w:left w:val="none" w:sz="0" w:space="0" w:color="auto"/>
                            <w:bottom w:val="none" w:sz="0" w:space="0" w:color="auto"/>
                            <w:right w:val="none" w:sz="0" w:space="0" w:color="auto"/>
                          </w:divBdr>
                          <w:divsChild>
                            <w:div w:id="1560942250">
                              <w:marLeft w:val="0"/>
                              <w:marRight w:val="0"/>
                              <w:marTop w:val="0"/>
                              <w:marBottom w:val="0"/>
                              <w:divBdr>
                                <w:top w:val="none" w:sz="0" w:space="0" w:color="auto"/>
                                <w:left w:val="none" w:sz="0" w:space="0" w:color="auto"/>
                                <w:bottom w:val="none" w:sz="0" w:space="0" w:color="auto"/>
                                <w:right w:val="none" w:sz="0" w:space="0" w:color="auto"/>
                              </w:divBdr>
                              <w:divsChild>
                                <w:div w:id="2020352995">
                                  <w:marLeft w:val="0"/>
                                  <w:marRight w:val="0"/>
                                  <w:marTop w:val="0"/>
                                  <w:marBottom w:val="0"/>
                                  <w:divBdr>
                                    <w:top w:val="none" w:sz="0" w:space="0" w:color="auto"/>
                                    <w:left w:val="none" w:sz="0" w:space="0" w:color="auto"/>
                                    <w:bottom w:val="none" w:sz="0" w:space="0" w:color="auto"/>
                                    <w:right w:val="none" w:sz="0" w:space="0" w:color="auto"/>
                                  </w:divBdr>
                                  <w:divsChild>
                                    <w:div w:id="1277369566">
                                      <w:marLeft w:val="0"/>
                                      <w:marRight w:val="0"/>
                                      <w:marTop w:val="0"/>
                                      <w:marBottom w:val="0"/>
                                      <w:divBdr>
                                        <w:top w:val="none" w:sz="0" w:space="0" w:color="auto"/>
                                        <w:left w:val="none" w:sz="0" w:space="0" w:color="auto"/>
                                        <w:bottom w:val="none" w:sz="0" w:space="0" w:color="auto"/>
                                        <w:right w:val="none" w:sz="0" w:space="0" w:color="auto"/>
                                      </w:divBdr>
                                      <w:divsChild>
                                        <w:div w:id="778136202">
                                          <w:marLeft w:val="0"/>
                                          <w:marRight w:val="0"/>
                                          <w:marTop w:val="0"/>
                                          <w:marBottom w:val="0"/>
                                          <w:divBdr>
                                            <w:top w:val="none" w:sz="0" w:space="0" w:color="auto"/>
                                            <w:left w:val="none" w:sz="0" w:space="0" w:color="auto"/>
                                            <w:bottom w:val="none" w:sz="0" w:space="0" w:color="auto"/>
                                            <w:right w:val="none" w:sz="0" w:space="0" w:color="auto"/>
                                          </w:divBdr>
                                          <w:divsChild>
                                            <w:div w:id="1349911036">
                                              <w:marLeft w:val="0"/>
                                              <w:marRight w:val="0"/>
                                              <w:marTop w:val="0"/>
                                              <w:marBottom w:val="0"/>
                                              <w:divBdr>
                                                <w:top w:val="none" w:sz="0" w:space="0" w:color="auto"/>
                                                <w:left w:val="none" w:sz="0" w:space="0" w:color="auto"/>
                                                <w:bottom w:val="none" w:sz="0" w:space="0" w:color="auto"/>
                                                <w:right w:val="none" w:sz="0" w:space="0" w:color="auto"/>
                                              </w:divBdr>
                                              <w:divsChild>
                                                <w:div w:id="1359811394">
                                                  <w:marLeft w:val="0"/>
                                                  <w:marRight w:val="0"/>
                                                  <w:marTop w:val="0"/>
                                                  <w:marBottom w:val="0"/>
                                                  <w:divBdr>
                                                    <w:top w:val="none" w:sz="0" w:space="0" w:color="auto"/>
                                                    <w:left w:val="none" w:sz="0" w:space="0" w:color="auto"/>
                                                    <w:bottom w:val="none" w:sz="0" w:space="0" w:color="auto"/>
                                                    <w:right w:val="none" w:sz="0" w:space="0" w:color="auto"/>
                                                  </w:divBdr>
                                                  <w:divsChild>
                                                    <w:div w:id="149876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7725313">
                                      <w:marLeft w:val="0"/>
                                      <w:marRight w:val="0"/>
                                      <w:marTop w:val="0"/>
                                      <w:marBottom w:val="0"/>
                                      <w:divBdr>
                                        <w:top w:val="none" w:sz="0" w:space="0" w:color="auto"/>
                                        <w:left w:val="none" w:sz="0" w:space="0" w:color="auto"/>
                                        <w:bottom w:val="none" w:sz="0" w:space="0" w:color="auto"/>
                                        <w:right w:val="none" w:sz="0" w:space="0" w:color="auto"/>
                                      </w:divBdr>
                                      <w:divsChild>
                                        <w:div w:id="199668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26652390">
      <w:bodyDiv w:val="1"/>
      <w:marLeft w:val="0"/>
      <w:marRight w:val="0"/>
      <w:marTop w:val="0"/>
      <w:marBottom w:val="0"/>
      <w:divBdr>
        <w:top w:val="none" w:sz="0" w:space="0" w:color="auto"/>
        <w:left w:val="none" w:sz="0" w:space="0" w:color="auto"/>
        <w:bottom w:val="none" w:sz="0" w:space="0" w:color="auto"/>
        <w:right w:val="none" w:sz="0" w:space="0" w:color="auto"/>
      </w:divBdr>
      <w:divsChild>
        <w:div w:id="398094937">
          <w:marLeft w:val="0"/>
          <w:marRight w:val="0"/>
          <w:marTop w:val="0"/>
          <w:marBottom w:val="0"/>
          <w:divBdr>
            <w:top w:val="none" w:sz="0" w:space="0" w:color="auto"/>
            <w:left w:val="none" w:sz="0" w:space="0" w:color="auto"/>
            <w:bottom w:val="none" w:sz="0" w:space="0" w:color="auto"/>
            <w:right w:val="none" w:sz="0" w:space="0" w:color="auto"/>
          </w:divBdr>
          <w:divsChild>
            <w:div w:id="1581020826">
              <w:marLeft w:val="0"/>
              <w:marRight w:val="0"/>
              <w:marTop w:val="0"/>
              <w:marBottom w:val="0"/>
              <w:divBdr>
                <w:top w:val="none" w:sz="0" w:space="0" w:color="auto"/>
                <w:left w:val="none" w:sz="0" w:space="0" w:color="auto"/>
                <w:bottom w:val="none" w:sz="0" w:space="0" w:color="auto"/>
                <w:right w:val="none" w:sz="0" w:space="0" w:color="auto"/>
              </w:divBdr>
              <w:divsChild>
                <w:div w:id="476799829">
                  <w:marLeft w:val="0"/>
                  <w:marRight w:val="0"/>
                  <w:marTop w:val="0"/>
                  <w:marBottom w:val="0"/>
                  <w:divBdr>
                    <w:top w:val="none" w:sz="0" w:space="0" w:color="auto"/>
                    <w:left w:val="none" w:sz="0" w:space="0" w:color="auto"/>
                    <w:bottom w:val="none" w:sz="0" w:space="0" w:color="auto"/>
                    <w:right w:val="none" w:sz="0" w:space="0" w:color="auto"/>
                  </w:divBdr>
                  <w:divsChild>
                    <w:div w:id="1353260842">
                      <w:marLeft w:val="0"/>
                      <w:marRight w:val="0"/>
                      <w:marTop w:val="0"/>
                      <w:marBottom w:val="0"/>
                      <w:divBdr>
                        <w:top w:val="none" w:sz="0" w:space="0" w:color="auto"/>
                        <w:left w:val="none" w:sz="0" w:space="0" w:color="auto"/>
                        <w:bottom w:val="none" w:sz="0" w:space="0" w:color="auto"/>
                        <w:right w:val="none" w:sz="0" w:space="0" w:color="auto"/>
                      </w:divBdr>
                      <w:divsChild>
                        <w:div w:id="938559772">
                          <w:marLeft w:val="0"/>
                          <w:marRight w:val="0"/>
                          <w:marTop w:val="0"/>
                          <w:marBottom w:val="0"/>
                          <w:divBdr>
                            <w:top w:val="none" w:sz="0" w:space="0" w:color="auto"/>
                            <w:left w:val="none" w:sz="0" w:space="0" w:color="auto"/>
                            <w:bottom w:val="none" w:sz="0" w:space="0" w:color="auto"/>
                            <w:right w:val="none" w:sz="0" w:space="0" w:color="auto"/>
                          </w:divBdr>
                          <w:divsChild>
                            <w:div w:id="964774989">
                              <w:marLeft w:val="0"/>
                              <w:marRight w:val="0"/>
                              <w:marTop w:val="0"/>
                              <w:marBottom w:val="0"/>
                              <w:divBdr>
                                <w:top w:val="none" w:sz="0" w:space="0" w:color="auto"/>
                                <w:left w:val="none" w:sz="0" w:space="0" w:color="auto"/>
                                <w:bottom w:val="none" w:sz="0" w:space="0" w:color="auto"/>
                                <w:right w:val="none" w:sz="0" w:space="0" w:color="auto"/>
                              </w:divBdr>
                              <w:divsChild>
                                <w:div w:id="1534658959">
                                  <w:marLeft w:val="0"/>
                                  <w:marRight w:val="0"/>
                                  <w:marTop w:val="0"/>
                                  <w:marBottom w:val="0"/>
                                  <w:divBdr>
                                    <w:top w:val="none" w:sz="0" w:space="0" w:color="auto"/>
                                    <w:left w:val="none" w:sz="0" w:space="0" w:color="auto"/>
                                    <w:bottom w:val="none" w:sz="0" w:space="0" w:color="auto"/>
                                    <w:right w:val="none" w:sz="0" w:space="0" w:color="auto"/>
                                  </w:divBdr>
                                  <w:divsChild>
                                    <w:div w:id="1489637752">
                                      <w:marLeft w:val="0"/>
                                      <w:marRight w:val="0"/>
                                      <w:marTop w:val="0"/>
                                      <w:marBottom w:val="0"/>
                                      <w:divBdr>
                                        <w:top w:val="none" w:sz="0" w:space="0" w:color="auto"/>
                                        <w:left w:val="none" w:sz="0" w:space="0" w:color="auto"/>
                                        <w:bottom w:val="none" w:sz="0" w:space="0" w:color="auto"/>
                                        <w:right w:val="none" w:sz="0" w:space="0" w:color="auto"/>
                                      </w:divBdr>
                                      <w:divsChild>
                                        <w:div w:id="1105155360">
                                          <w:marLeft w:val="0"/>
                                          <w:marRight w:val="0"/>
                                          <w:marTop w:val="0"/>
                                          <w:marBottom w:val="0"/>
                                          <w:divBdr>
                                            <w:top w:val="none" w:sz="0" w:space="0" w:color="auto"/>
                                            <w:left w:val="none" w:sz="0" w:space="0" w:color="auto"/>
                                            <w:bottom w:val="none" w:sz="0" w:space="0" w:color="auto"/>
                                            <w:right w:val="none" w:sz="0" w:space="0" w:color="auto"/>
                                          </w:divBdr>
                                          <w:divsChild>
                                            <w:div w:id="329723899">
                                              <w:marLeft w:val="0"/>
                                              <w:marRight w:val="0"/>
                                              <w:marTop w:val="0"/>
                                              <w:marBottom w:val="0"/>
                                              <w:divBdr>
                                                <w:top w:val="none" w:sz="0" w:space="0" w:color="auto"/>
                                                <w:left w:val="none" w:sz="0" w:space="0" w:color="auto"/>
                                                <w:bottom w:val="none" w:sz="0" w:space="0" w:color="auto"/>
                                                <w:right w:val="none" w:sz="0" w:space="0" w:color="auto"/>
                                              </w:divBdr>
                                              <w:divsChild>
                                                <w:div w:id="1096752601">
                                                  <w:marLeft w:val="0"/>
                                                  <w:marRight w:val="0"/>
                                                  <w:marTop w:val="0"/>
                                                  <w:marBottom w:val="0"/>
                                                  <w:divBdr>
                                                    <w:top w:val="none" w:sz="0" w:space="0" w:color="auto"/>
                                                    <w:left w:val="none" w:sz="0" w:space="0" w:color="auto"/>
                                                    <w:bottom w:val="none" w:sz="0" w:space="0" w:color="auto"/>
                                                    <w:right w:val="none" w:sz="0" w:space="0" w:color="auto"/>
                                                  </w:divBdr>
                                                  <w:divsChild>
                                                    <w:div w:id="155912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5767525">
                                      <w:marLeft w:val="0"/>
                                      <w:marRight w:val="0"/>
                                      <w:marTop w:val="0"/>
                                      <w:marBottom w:val="0"/>
                                      <w:divBdr>
                                        <w:top w:val="none" w:sz="0" w:space="0" w:color="auto"/>
                                        <w:left w:val="none" w:sz="0" w:space="0" w:color="auto"/>
                                        <w:bottom w:val="none" w:sz="0" w:space="0" w:color="auto"/>
                                        <w:right w:val="none" w:sz="0" w:space="0" w:color="auto"/>
                                      </w:divBdr>
                                      <w:divsChild>
                                        <w:div w:id="119041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7654093">
          <w:marLeft w:val="0"/>
          <w:marRight w:val="0"/>
          <w:marTop w:val="0"/>
          <w:marBottom w:val="0"/>
          <w:divBdr>
            <w:top w:val="none" w:sz="0" w:space="0" w:color="auto"/>
            <w:left w:val="none" w:sz="0" w:space="0" w:color="auto"/>
            <w:bottom w:val="none" w:sz="0" w:space="0" w:color="auto"/>
            <w:right w:val="none" w:sz="0" w:space="0" w:color="auto"/>
          </w:divBdr>
          <w:divsChild>
            <w:div w:id="159126120">
              <w:marLeft w:val="0"/>
              <w:marRight w:val="0"/>
              <w:marTop w:val="0"/>
              <w:marBottom w:val="0"/>
              <w:divBdr>
                <w:top w:val="none" w:sz="0" w:space="0" w:color="auto"/>
                <w:left w:val="none" w:sz="0" w:space="0" w:color="auto"/>
                <w:bottom w:val="none" w:sz="0" w:space="0" w:color="auto"/>
                <w:right w:val="none" w:sz="0" w:space="0" w:color="auto"/>
              </w:divBdr>
              <w:divsChild>
                <w:div w:id="493376748">
                  <w:marLeft w:val="0"/>
                  <w:marRight w:val="0"/>
                  <w:marTop w:val="0"/>
                  <w:marBottom w:val="0"/>
                  <w:divBdr>
                    <w:top w:val="none" w:sz="0" w:space="0" w:color="auto"/>
                    <w:left w:val="none" w:sz="0" w:space="0" w:color="auto"/>
                    <w:bottom w:val="none" w:sz="0" w:space="0" w:color="auto"/>
                    <w:right w:val="none" w:sz="0" w:space="0" w:color="auto"/>
                  </w:divBdr>
                  <w:divsChild>
                    <w:div w:id="281155016">
                      <w:marLeft w:val="0"/>
                      <w:marRight w:val="0"/>
                      <w:marTop w:val="0"/>
                      <w:marBottom w:val="0"/>
                      <w:divBdr>
                        <w:top w:val="none" w:sz="0" w:space="0" w:color="auto"/>
                        <w:left w:val="none" w:sz="0" w:space="0" w:color="auto"/>
                        <w:bottom w:val="none" w:sz="0" w:space="0" w:color="auto"/>
                        <w:right w:val="none" w:sz="0" w:space="0" w:color="auto"/>
                      </w:divBdr>
                      <w:divsChild>
                        <w:div w:id="934900631">
                          <w:marLeft w:val="0"/>
                          <w:marRight w:val="0"/>
                          <w:marTop w:val="0"/>
                          <w:marBottom w:val="0"/>
                          <w:divBdr>
                            <w:top w:val="none" w:sz="0" w:space="0" w:color="auto"/>
                            <w:left w:val="none" w:sz="0" w:space="0" w:color="auto"/>
                            <w:bottom w:val="none" w:sz="0" w:space="0" w:color="auto"/>
                            <w:right w:val="none" w:sz="0" w:space="0" w:color="auto"/>
                          </w:divBdr>
                          <w:divsChild>
                            <w:div w:id="2146123228">
                              <w:marLeft w:val="0"/>
                              <w:marRight w:val="0"/>
                              <w:marTop w:val="0"/>
                              <w:marBottom w:val="0"/>
                              <w:divBdr>
                                <w:top w:val="none" w:sz="0" w:space="0" w:color="auto"/>
                                <w:left w:val="none" w:sz="0" w:space="0" w:color="auto"/>
                                <w:bottom w:val="none" w:sz="0" w:space="0" w:color="auto"/>
                                <w:right w:val="none" w:sz="0" w:space="0" w:color="auto"/>
                              </w:divBdr>
                              <w:divsChild>
                                <w:div w:id="1533419716">
                                  <w:marLeft w:val="0"/>
                                  <w:marRight w:val="0"/>
                                  <w:marTop w:val="0"/>
                                  <w:marBottom w:val="0"/>
                                  <w:divBdr>
                                    <w:top w:val="none" w:sz="0" w:space="0" w:color="auto"/>
                                    <w:left w:val="none" w:sz="0" w:space="0" w:color="auto"/>
                                    <w:bottom w:val="none" w:sz="0" w:space="0" w:color="auto"/>
                                    <w:right w:val="none" w:sz="0" w:space="0" w:color="auto"/>
                                  </w:divBdr>
                                  <w:divsChild>
                                    <w:div w:id="830490114">
                                      <w:marLeft w:val="0"/>
                                      <w:marRight w:val="0"/>
                                      <w:marTop w:val="0"/>
                                      <w:marBottom w:val="0"/>
                                      <w:divBdr>
                                        <w:top w:val="none" w:sz="0" w:space="0" w:color="auto"/>
                                        <w:left w:val="none" w:sz="0" w:space="0" w:color="auto"/>
                                        <w:bottom w:val="none" w:sz="0" w:space="0" w:color="auto"/>
                                        <w:right w:val="none" w:sz="0" w:space="0" w:color="auto"/>
                                      </w:divBdr>
                                      <w:divsChild>
                                        <w:div w:id="617106395">
                                          <w:marLeft w:val="0"/>
                                          <w:marRight w:val="0"/>
                                          <w:marTop w:val="0"/>
                                          <w:marBottom w:val="0"/>
                                          <w:divBdr>
                                            <w:top w:val="none" w:sz="0" w:space="0" w:color="auto"/>
                                            <w:left w:val="none" w:sz="0" w:space="0" w:color="auto"/>
                                            <w:bottom w:val="none" w:sz="0" w:space="0" w:color="auto"/>
                                            <w:right w:val="none" w:sz="0" w:space="0" w:color="auto"/>
                                          </w:divBdr>
                                          <w:divsChild>
                                            <w:div w:id="697048274">
                                              <w:marLeft w:val="0"/>
                                              <w:marRight w:val="0"/>
                                              <w:marTop w:val="0"/>
                                              <w:marBottom w:val="0"/>
                                              <w:divBdr>
                                                <w:top w:val="none" w:sz="0" w:space="0" w:color="auto"/>
                                                <w:left w:val="none" w:sz="0" w:space="0" w:color="auto"/>
                                                <w:bottom w:val="none" w:sz="0" w:space="0" w:color="auto"/>
                                                <w:right w:val="none" w:sz="0" w:space="0" w:color="auto"/>
                                              </w:divBdr>
                                              <w:divsChild>
                                                <w:div w:id="1754929118">
                                                  <w:marLeft w:val="0"/>
                                                  <w:marRight w:val="0"/>
                                                  <w:marTop w:val="0"/>
                                                  <w:marBottom w:val="0"/>
                                                  <w:divBdr>
                                                    <w:top w:val="none" w:sz="0" w:space="0" w:color="auto"/>
                                                    <w:left w:val="none" w:sz="0" w:space="0" w:color="auto"/>
                                                    <w:bottom w:val="none" w:sz="0" w:space="0" w:color="auto"/>
                                                    <w:right w:val="none" w:sz="0" w:space="0" w:color="auto"/>
                                                  </w:divBdr>
                                                  <w:divsChild>
                                                    <w:div w:id="178168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853797">
                                      <w:marLeft w:val="0"/>
                                      <w:marRight w:val="0"/>
                                      <w:marTop w:val="0"/>
                                      <w:marBottom w:val="0"/>
                                      <w:divBdr>
                                        <w:top w:val="none" w:sz="0" w:space="0" w:color="auto"/>
                                        <w:left w:val="none" w:sz="0" w:space="0" w:color="auto"/>
                                        <w:bottom w:val="none" w:sz="0" w:space="0" w:color="auto"/>
                                        <w:right w:val="none" w:sz="0" w:space="0" w:color="auto"/>
                                      </w:divBdr>
                                      <w:divsChild>
                                        <w:div w:id="1150637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567</Words>
  <Characters>3237</Characters>
  <Application>Microsoft Office Word</Application>
  <DocSecurity>0</DocSecurity>
  <Lines>26</Lines>
  <Paragraphs>7</Paragraphs>
  <ScaleCrop>false</ScaleCrop>
  <Company/>
  <LinksUpToDate>false</LinksUpToDate>
  <CharactersWithSpaces>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Ben Farah</dc:creator>
  <cp:keywords/>
  <dc:description/>
  <cp:lastModifiedBy>Mohamed Ben Farah</cp:lastModifiedBy>
  <cp:revision>1</cp:revision>
  <dcterms:created xsi:type="dcterms:W3CDTF">2025-07-16T06:21:00Z</dcterms:created>
  <dcterms:modified xsi:type="dcterms:W3CDTF">2025-07-16T06:23:00Z</dcterms:modified>
</cp:coreProperties>
</file>