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media/image1.jpeg" ContentType="image/jpeg"/>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73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736"/>
      </w:tblGrid>
      <w:tr>
        <w:tblPrEx>
          <w:shd w:val="clear" w:color="auto" w:fill="cfcad0"/>
        </w:tblPrEx>
        <w:trPr>
          <w:trHeight w:val="2108"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A"/>
            </w:pPr>
            <w:r>
              <w:rPr>
                <w:b w:val="1"/>
                <w:bCs w:val="1"/>
                <w:outline w:val="0"/>
                <w:color w:val="004147"/>
                <w:sz w:val="56"/>
                <w:szCs w:val="56"/>
                <w:u w:color="004147"/>
                <w:shd w:val="nil" w:color="auto" w:fill="auto"/>
                <w:rtl w:val="0"/>
                <w:lang w:val="en-US"/>
                <w14:textFill>
                  <w14:solidFill>
                    <w14:srgbClr w14:val="004147"/>
                  </w14:solidFill>
                </w14:textFill>
              </w:rPr>
              <w:t xml:space="preserve">5OS01 </w:t>
            </w:r>
            <w:r>
              <w:rPr>
                <w:b w:val="1"/>
                <w:bCs w:val="1"/>
                <w:outline w:val="0"/>
                <w:color w:val="004147"/>
                <w:sz w:val="56"/>
                <w:szCs w:val="56"/>
                <w:u w:color="004147"/>
                <w:shd w:val="nil" w:color="auto" w:fill="auto"/>
                <w:lang w:val="en-US"/>
                <w14:textFill>
                  <w14:solidFill>
                    <w14:srgbClr w14:val="004147"/>
                  </w14:solidFill>
                </w14:textFill>
              </w:rPr>
              <w:br w:type="textWrapping"/>
            </w:r>
            <w:r>
              <w:rPr>
                <w:b w:val="1"/>
                <w:bCs w:val="1"/>
                <w:outline w:val="0"/>
                <w:color w:val="004147"/>
                <w:sz w:val="56"/>
                <w:szCs w:val="56"/>
                <w:u w:color="004147"/>
                <w:shd w:val="nil" w:color="auto" w:fill="auto"/>
                <w:rtl w:val="0"/>
                <w:lang w:val="en-US"/>
                <w14:textFill>
                  <w14:solidFill>
                    <w14:srgbClr w14:val="004147"/>
                  </w14:solidFill>
                </w14:textFill>
              </w:rPr>
              <w:t>Specialist employment law</w:t>
            </w:r>
          </w:p>
        </w:tc>
      </w:tr>
      <w:tr>
        <w:tblPrEx>
          <w:shd w:val="clear" w:color="auto" w:fill="cfcad0"/>
        </w:tblPrEx>
        <w:trPr>
          <w:trHeight w:val="860"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A"/>
              <w:spacing w:before="120" w:after="120"/>
            </w:pPr>
            <w:r>
              <w:rPr>
                <w:rFonts w:ascii="Georgia" w:hAnsi="Georgia"/>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31"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A"/>
              <w:spacing w:before="120" w:after="120"/>
            </w:pPr>
            <w:r>
              <w:rPr>
                <w:b w:val="1"/>
                <w:bCs w:val="1"/>
                <w:outline w:val="0"/>
                <w:color w:val="595959"/>
                <w:sz w:val="28"/>
                <w:szCs w:val="28"/>
                <w:u w:color="595959"/>
                <w:shd w:val="nil" w:color="auto" w:fill="auto"/>
                <w:rtl w:val="0"/>
                <w:lang w:val="en-US"/>
                <w14:textFill>
                  <w14:solidFill>
                    <w14:srgbClr w14:val="595959"/>
                  </w14:solidFill>
                </w14:textFill>
              </w:rPr>
              <w:t>Assessment ID / CIPD_5OS01_23_01</w:t>
            </w:r>
          </w:p>
        </w:tc>
      </w:tr>
      <w:tr>
        <w:tblPrEx>
          <w:shd w:val="clear" w:color="auto" w:fill="cfcad0"/>
        </w:tblPrEx>
        <w:trPr>
          <w:trHeight w:val="6083"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2430"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A"/>
              <w:spacing w:after="120"/>
              <w:rPr>
                <w:rFonts w:ascii="Georgia" w:cs="Georgia" w:hAnsi="Georgia" w:eastAsia="Georgia"/>
                <w:i w:val="1"/>
                <w:iCs w:val="1"/>
                <w:outline w:val="0"/>
                <w:color w:val="595959"/>
                <w:sz w:val="44"/>
                <w:szCs w:val="44"/>
                <w:u w:color="595959"/>
                <w:shd w:val="nil" w:color="auto" w:fill="auto"/>
                <w14:textFill>
                  <w14:solidFill>
                    <w14:srgbClr w14:val="595959"/>
                  </w14:solidFill>
                </w14:textFill>
              </w:rPr>
            </w:pPr>
            <w:r>
              <w:rPr>
                <w:rFonts w:ascii="Georgia" w:hAnsi="Georgia"/>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1"/>
              </w:numPr>
              <w:bidi w:val="0"/>
              <w:ind w:right="0"/>
              <w:jc w:val="left"/>
              <w:rPr>
                <w:outline w:val="0"/>
                <w:color w:val="004147"/>
                <w:sz w:val="48"/>
                <w:szCs w:val="48"/>
                <w:u w:color="004147"/>
                <w:rtl w:val="0"/>
                <w:lang w:val="en-US"/>
                <w14:textFill>
                  <w14:solidFill>
                    <w14:srgbClr w14:val="004147"/>
                  </w14:solidFill>
                </w14:textFill>
              </w:rPr>
            </w:pPr>
            <w:r>
              <w:rPr>
                <w:outline w:val="0"/>
                <w:color w:val="004147"/>
                <w:sz w:val="48"/>
                <w:szCs w:val="48"/>
                <w:u w:color="004147"/>
                <w:shd w:val="nil" w:color="auto" w:fill="auto"/>
                <w:rtl w:val="0"/>
                <w:lang w:val="en-US"/>
                <w14:textFill>
                  <w14:solidFill>
                    <w14:srgbClr w14:val="004147"/>
                  </w14:solidFill>
                </w14:textFill>
              </w:rPr>
              <w:t xml:space="preserve">People Management </w:t>
            </w:r>
          </w:p>
          <w:p>
            <w:pPr>
              <w:pStyle w:val="list in parag"/>
              <w:numPr>
                <w:ilvl w:val="0"/>
                <w:numId w:val="2"/>
              </w:numPr>
              <w:bidi w:val="0"/>
              <w:ind w:right="0"/>
              <w:jc w:val="left"/>
              <w:rPr>
                <w:rFonts w:ascii="Georgia" w:hAnsi="Georgia"/>
                <w:i w:val="1"/>
                <w:iCs w:val="1"/>
                <w:outline w:val="0"/>
                <w:color w:val="595959"/>
                <w:sz w:val="48"/>
                <w:szCs w:val="48"/>
                <w:u w:color="595959"/>
                <w:rtl w:val="0"/>
                <w:lang w:val="en-US"/>
                <w14:textFill>
                  <w14:solidFill>
                    <w14:srgbClr w14:val="595959"/>
                  </w14:solidFill>
                </w14:textFill>
              </w:rPr>
            </w:pPr>
            <w:r>
              <w:rPr>
                <w:rFonts w:ascii="Arial" w:hAnsi="Arial"/>
                <w:i w:val="0"/>
                <w:iCs w:val="0"/>
                <w:outline w:val="0"/>
                <w:color w:val="004147"/>
                <w:sz w:val="48"/>
                <w:szCs w:val="48"/>
                <w:u w:color="004147"/>
                <w:shd w:val="nil" w:color="auto" w:fill="auto"/>
                <w:rtl w:val="0"/>
                <w:lang w:val="en-US"/>
                <w14:textFill>
                  <w14:solidFill>
                    <w14:srgbClr w14:val="004147"/>
                  </w14:solidFill>
                </w14:textFill>
              </w:rPr>
              <w:t>Organisational Learning and Development</w:t>
            </w:r>
          </w:p>
        </w:tc>
      </w:tr>
    </w:tbl>
    <w:p>
      <w:pPr>
        <w:pStyle w:val="Body"/>
        <w:widowControl w:val="0"/>
        <w:ind w:left="108" w:hanging="108"/>
      </w:pPr>
    </w:p>
    <w:p>
      <w:pPr>
        <w:pStyle w:val="Body A"/>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sectPr>
      </w:pPr>
      <w: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1312;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A"/>
        <w:spacing w:line="240" w:lineRule="auto"/>
        <w:rPr>
          <w:b w:val="1"/>
          <w:bCs w:val="1"/>
          <w:outline w:val="0"/>
          <w:color w:val="004147"/>
          <w:sz w:val="48"/>
          <w:szCs w:val="48"/>
          <w:u w:color="004147"/>
          <w14:textFill>
            <w14:solidFill>
              <w14:srgbClr w14:val="004147"/>
            </w14:solidFill>
          </w14:textFill>
        </w:rPr>
      </w:pPr>
    </w:p>
    <w:p>
      <w:pPr>
        <w:pStyle w:val="Body A"/>
        <w:spacing w:line="240" w:lineRule="auto"/>
        <w:rPr>
          <w:b w:val="1"/>
          <w:bCs w:val="1"/>
        </w:rPr>
      </w:pPr>
    </w:p>
    <w:tbl>
      <w:tblPr>
        <w:tblW w:w="979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66"/>
        <w:gridCol w:w="803"/>
        <w:gridCol w:w="603"/>
        <w:gridCol w:w="200"/>
        <w:gridCol w:w="803"/>
        <w:gridCol w:w="403"/>
        <w:gridCol w:w="400"/>
        <w:gridCol w:w="803"/>
        <w:gridCol w:w="203"/>
        <w:gridCol w:w="600"/>
        <w:gridCol w:w="808"/>
      </w:tblGrid>
      <w:tr>
        <w:tblPrEx>
          <w:shd w:val="clear" w:color="auto" w:fill="cfcad0"/>
        </w:tblPrEx>
        <w:trPr>
          <w:trHeight w:val="257"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Please write clearly in block capitals.</w:t>
            </w:r>
            <w:r>
              <w:rPr>
                <w:shd w:val="nil" w:color="auto" w:fill="auto"/>
                <w:rtl w:val="0"/>
                <w:lang w:val="en-US"/>
              </w:rPr>
              <w:t xml:space="preserve">  </w:t>
            </w:r>
          </w:p>
        </w:tc>
      </w:tr>
      <w:tr>
        <w:tblPrEx>
          <w:shd w:val="clear" w:color="auto" w:fill="cfcad0"/>
        </w:tblPrEx>
        <w:trPr>
          <w:trHeight w:val="30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 xml:space="preserve">Centre number: </w:t>
            </w:r>
          </w:p>
        </w:tc>
        <w:tc>
          <w:tcPr>
            <w:tcW w:type="dxa" w:w="14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6</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6</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9</w:t>
            </w:r>
          </w:p>
        </w:tc>
        <w:tc>
          <w:tcPr>
            <w:tcW w:type="dxa" w:w="14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1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Centre name: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1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Learner number (1st 7 digits of CIPD Membership number):</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 xml:space="preserve"> 8</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6</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5</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5</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5</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4</w:t>
            </w:r>
          </w:p>
        </w:tc>
        <w:tc>
          <w:tcPr>
            <w:tcW w:type="dxa" w:w="8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4</w:t>
            </w: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 xml:space="preserve">Learner surname: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 xml:space="preserve"> </w:t>
            </w: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 xml:space="preserve">Learner other names: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 xml:space="preserve"> </w:t>
            </w:r>
          </w:p>
        </w:tc>
      </w:tr>
      <w:tr>
        <w:tblPrEx>
          <w:shd w:val="clear" w:color="auto" w:fill="cfcad0"/>
        </w:tblPrEx>
        <w:trPr>
          <w:trHeight w:val="30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Unit code: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5OS01</w:t>
            </w: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Unit title: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Specialist employment law</w:t>
            </w: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Assessment ID:</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shd w:val="nil" w:color="auto" w:fill="auto"/>
                <w:rtl w:val="0"/>
                <w:lang w:val="en-US"/>
              </w:rPr>
              <w:t>CIPD_5OS01_23_01</w:t>
            </w: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Assessment start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16/03/2023</w:t>
            </w: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Assessment submission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23/04/2023</w:t>
            </w:r>
          </w:p>
        </w:tc>
      </w:tr>
      <w:tr>
        <w:tblPrEx>
          <w:shd w:val="clear" w:color="auto" w:fill="cfcad0"/>
        </w:tblPrEx>
        <w:trPr>
          <w:trHeight w:val="51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 xml:space="preserve">First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1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 xml:space="preserve">Second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Declared word count</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42</w:t>
            </w:r>
            <w:r>
              <w:rPr>
                <w:rFonts w:ascii="Arial" w:hAnsi="Arial"/>
                <w:sz w:val="22"/>
                <w:szCs w:val="22"/>
                <w:shd w:val="nil" w:color="auto" w:fill="auto"/>
                <w:rtl w:val="0"/>
                <w:lang w:val="en-US"/>
                <w14:textOutline w14:w="12700" w14:cap="flat">
                  <w14:noFill/>
                  <w14:miter w14:lim="400000"/>
                </w14:textOutline>
              </w:rPr>
              <w:t>64</w:t>
            </w:r>
          </w:p>
        </w:tc>
      </w:tr>
      <w:tr>
        <w:tblPrEx>
          <w:shd w:val="clear" w:color="auto" w:fill="cfcad0"/>
        </w:tblPrEx>
        <w:trPr>
          <w:trHeight w:val="30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5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Assessor name: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59" w:lineRule="auto"/>
            </w:pPr>
            <w:r>
              <w:rPr>
                <w:rFonts w:ascii="Arial" w:hAnsi="Arial"/>
                <w:sz w:val="22"/>
                <w:szCs w:val="22"/>
                <w:shd w:val="nil" w:color="auto" w:fill="auto"/>
                <w:rtl w:val="0"/>
                <w:lang w:val="en-US"/>
                <w14:textOutline w14:w="12700" w14:cap="flat">
                  <w14:noFill/>
                  <w14:miter w14:lim="400000"/>
                </w14:textOutline>
              </w:rPr>
              <w:t>Rebecca Francis-Davies</w:t>
            </w:r>
          </w:p>
        </w:tc>
      </w:tr>
      <w:tr>
        <w:tblPrEx>
          <w:shd w:val="clear" w:color="auto" w:fill="cfcad0"/>
        </w:tblPrEx>
        <w:trPr>
          <w:trHeight w:val="30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Assessor signature: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30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30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IQA name (if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30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b w:val="1"/>
                <w:bCs w:val="1"/>
                <w:shd w:val="nil" w:color="auto" w:fill="auto"/>
                <w:rtl w:val="0"/>
                <w:lang w:val="en-US"/>
              </w:rPr>
              <w:t>IQA signature (if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A"/>
        <w:widowControl w:val="0"/>
        <w:spacing w:line="240" w:lineRule="auto"/>
        <w:ind w:left="108" w:hanging="108"/>
        <w:rPr>
          <w:b w:val="1"/>
          <w:bCs w:val="1"/>
        </w:rPr>
      </w:pPr>
    </w:p>
    <w:p>
      <w:pPr>
        <w:pStyle w:val="Body A"/>
        <w:spacing w:line="240" w:lineRule="auto"/>
        <w:rPr>
          <w:b w:val="1"/>
          <w:bCs w:val="1"/>
        </w:rPr>
      </w:pPr>
    </w:p>
    <w:p>
      <w:pPr>
        <w:pStyle w:val="Body A"/>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nal"/>
        <w:spacing w:after="360"/>
        <w:ind w:right="2544"/>
        <w:rPr>
          <w:outline w:val="0"/>
          <w:color w:val="004147"/>
          <w:sz w:val="52"/>
          <w:szCs w:val="52"/>
          <w:u w:color="004147"/>
          <w14:textFill>
            <w14:solidFill>
              <w14:srgbClr w14:val="004147"/>
            </w14:solidFill>
          </w14:textFill>
        </w:rPr>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358139</wp:posOffset>
                </wp:positionH>
                <wp:positionV relativeFrom="page">
                  <wp:posOffset>693419</wp:posOffset>
                </wp:positionV>
                <wp:extent cx="6841491" cy="1019175"/>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841491" cy="1019175"/>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28.2pt;margin-top:54.6pt;width:538.7pt;height:80.2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outline w:val="0"/>
          <w:color w:val="004147"/>
          <w:sz w:val="48"/>
          <w:szCs w:val="48"/>
          <w:u w:color="004147"/>
          <w:rtl w:val="0"/>
          <w:lang w:val="en-US"/>
          <w14:textFill>
            <w14:solidFill>
              <w14:srgbClr w14:val="004147"/>
            </w14:solidFill>
          </w14:textFill>
        </w:rPr>
        <w:t>5OS01</w:t>
      </w:r>
      <w:r>
        <w:rPr>
          <w:outline w:val="0"/>
          <w:color w:val="004147"/>
          <w:sz w:val="48"/>
          <w:szCs w:val="48"/>
          <w:u w:color="004147"/>
          <w14:textFill>
            <w14:solidFill>
              <w14:srgbClr w14:val="004147"/>
            </w14:solidFill>
          </w14:textFill>
        </w:rPr>
        <w:br w:type="textWrapping"/>
      </w:r>
      <w:r>
        <w:rPr>
          <w:outline w:val="0"/>
          <w:color w:val="004147"/>
          <w:sz w:val="56"/>
          <w:szCs w:val="56"/>
          <w:u w:color="004147"/>
          <w:rtl w:val="0"/>
          <w:lang w:val="en-US"/>
          <w14:textFill>
            <w14:solidFill>
              <w14:srgbClr w14:val="004147"/>
            </w14:solidFill>
          </w14:textFill>
        </w:rPr>
        <w:t>Specialist employment law</w:t>
      </w:r>
    </w:p>
    <w:p>
      <w:pPr>
        <w:pStyle w:val="Body A"/>
      </w:pPr>
    </w:p>
    <w:p>
      <w:pPr>
        <w:pStyle w:val="Body A"/>
      </w:pPr>
      <w:r>
        <w:rPr>
          <w:rtl w:val="0"/>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pPr>
        <w:pStyle w:val="Heading 2"/>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412749</wp:posOffset>
                </wp:positionH>
                <wp:positionV relativeFrom="page">
                  <wp:posOffset>2489198</wp:posOffset>
                </wp:positionV>
                <wp:extent cx="6841491" cy="33210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841491" cy="3321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32.5pt;margin-top:196.0pt;width:538.7pt;height:261.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cs="Arial Unicode MS" w:eastAsia="Arial Unicode MS"/>
          <w:rtl w:val="0"/>
          <w:lang w:val="en-US"/>
        </w:rPr>
        <w:t>Preparation for the Tasks:</w:t>
      </w:r>
    </w:p>
    <w:p>
      <w:pPr>
        <w:pStyle w:val="List parag"/>
        <w:numPr>
          <w:ilvl w:val="0"/>
          <w:numId w:val="4"/>
        </w:numPr>
        <w:rPr>
          <w:lang w:val="en-US"/>
        </w:rPr>
      </w:pPr>
      <w:r>
        <w:rPr>
          <w:rtl w:val="0"/>
          <w:lang w:val="en-US"/>
        </w:rPr>
        <w:t>At the start of your assignment, you are encouraged to plan your assessment work with your Assessor and where appropriate agree milestones so that they can help you monitor your progress.</w:t>
      </w:r>
    </w:p>
    <w:p>
      <w:pPr>
        <w:pStyle w:val="List parag"/>
        <w:numPr>
          <w:ilvl w:val="0"/>
          <w:numId w:val="4"/>
        </w:numPr>
        <w:rPr>
          <w:lang w:val="en-US"/>
        </w:rPr>
      </w:pPr>
      <w:r>
        <w:rPr>
          <w:rtl w:val="0"/>
          <w:lang w:val="en-US"/>
        </w:rPr>
        <w:t>Refer to the indicative content in the unit to guide and support your evidence.</w:t>
      </w:r>
    </w:p>
    <w:p>
      <w:pPr>
        <w:pStyle w:val="List parag"/>
        <w:numPr>
          <w:ilvl w:val="0"/>
          <w:numId w:val="4"/>
        </w:numPr>
        <w:rPr>
          <w:lang w:val="en-US"/>
        </w:rPr>
      </w:pPr>
      <w:r>
        <w:rPr>
          <w:rtl w:val="0"/>
          <w:lang w:val="en-US"/>
        </w:rPr>
        <w:t>Pay attention to how your evidence is presented.</w:t>
      </w:r>
    </w:p>
    <w:p>
      <w:pPr>
        <w:pStyle w:val="List parag"/>
        <w:numPr>
          <w:ilvl w:val="0"/>
          <w:numId w:val="4"/>
        </w:numPr>
        <w:rPr>
          <w:lang w:val="en-US"/>
        </w:rPr>
      </w:pPr>
      <w:r>
        <w:rPr>
          <w:rtl w:val="0"/>
          <w:lang w:val="en-US"/>
        </w:rPr>
        <w:t>Ensure that the evidence generated for this assessment remains your own work.</w:t>
      </w:r>
    </w:p>
    <w:p>
      <w:pPr>
        <w:pStyle w:val="Heading 2"/>
      </w:pPr>
      <w:r>
        <w:rPr>
          <w:rFonts w:cs="Arial Unicode MS" w:eastAsia="Arial Unicode MS"/>
          <w:rtl w:val="0"/>
          <w:lang w:val="en-US"/>
        </w:rPr>
        <w:t>You will also benefit from:</w:t>
      </w:r>
    </w:p>
    <w:p>
      <w:pPr>
        <w:pStyle w:val="List parag"/>
        <w:numPr>
          <w:ilvl w:val="0"/>
          <w:numId w:val="4"/>
        </w:numPr>
        <w:rPr>
          <w:lang w:val="en-US"/>
        </w:rPr>
      </w:pPr>
      <w:r>
        <w:rPr>
          <w:rtl w:val="0"/>
          <w:lang w:val="en-US"/>
        </w:rPr>
        <w:t>Completing and acting on formative feedback from your Assessor.</w:t>
      </w:r>
    </w:p>
    <w:p>
      <w:pPr>
        <w:pStyle w:val="List parag"/>
        <w:numPr>
          <w:ilvl w:val="0"/>
          <w:numId w:val="4"/>
        </w:numPr>
        <w:rPr>
          <w:lang w:val="en-US"/>
        </w:rPr>
      </w:pPr>
      <w:r>
        <w:rPr>
          <w:rtl w:val="0"/>
          <w:lang w:val="en-US"/>
        </w:rPr>
        <w:t>Reflecting on your own experiences of learning opportunities and continuous professional development.</w:t>
      </w:r>
    </w:p>
    <w:p>
      <w:pPr>
        <w:pStyle w:val="List parag"/>
        <w:numPr>
          <w:ilvl w:val="0"/>
          <w:numId w:val="4"/>
        </w:numPr>
        <w:rPr>
          <w:lang w:val="en-US"/>
        </w:rPr>
      </w:pPr>
      <w:r>
        <w:rPr>
          <w:rtl w:val="0"/>
          <w:lang w:val="en-US"/>
        </w:rPr>
        <w:t>Reading the CIPD Insight, Fact Sheets and related online material on these topics as well as key research authors on the subject.</w:t>
      </w: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r>
        <w:rPr>
          <w:outline w:val="0"/>
          <w:color w:val="2b579a"/>
          <w:u w:color="2b579a"/>
          <w:shd w:val="clear" w:color="auto" w:fill="e6e6e6"/>
          <w14:textFill>
            <w14:solidFill>
              <w14:srgbClr w14:val="2B579A"/>
            </w14:solidFill>
          </w14:textFill>
        </w:rPr>
        <w:drawing xmlns:a="http://schemas.openxmlformats.org/drawingml/2006/main">
          <wp:anchor distT="0" distB="0" distL="0" distR="0" simplePos="0" relativeHeight="251660288" behindDoc="0" locked="0" layoutInCell="1" allowOverlap="1">
            <wp:simplePos x="0" y="0"/>
            <wp:positionH relativeFrom="page">
              <wp:posOffset>5048250</wp:posOffset>
            </wp:positionH>
            <wp:positionV relativeFrom="line">
              <wp:posOffset>279872</wp:posOffset>
            </wp:positionV>
            <wp:extent cx="1896112"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8">
                      <a:extLst/>
                    </a:blip>
                    <a:stretch>
                      <a:fillRect/>
                    </a:stretch>
                  </pic:blipFill>
                  <pic:spPr>
                    <a:xfrm>
                      <a:off x="0" y="0"/>
                      <a:ext cx="1896112" cy="1571625"/>
                    </a:xfrm>
                    <a:prstGeom prst="rect">
                      <a:avLst/>
                    </a:prstGeom>
                    <a:ln w="12700" cap="flat">
                      <a:noFill/>
                      <a:miter lim="400000"/>
                    </a:ln>
                    <a:effectLst/>
                  </pic:spPr>
                </pic:pic>
              </a:graphicData>
            </a:graphic>
          </wp:anchor>
        </w:drawing>
      </w:r>
    </w:p>
    <w:p>
      <w:pPr>
        <w:pStyle w:val="Body A"/>
        <w:spacing w:line="240" w:lineRule="auto"/>
      </w:pPr>
    </w:p>
    <w:p>
      <w:pPr>
        <w:pStyle w:val="Body A"/>
        <w:spacing w:line="240" w:lineRule="auto"/>
      </w:pPr>
      <w:r>
        <w:rPr>
          <w:rFonts w:ascii="Arial Unicode MS" w:cs="Arial Unicode MS" w:hAnsi="Arial Unicode MS" w:eastAsia="Arial Unicode MS"/>
          <w:b w:val="0"/>
          <w:bCs w:val="0"/>
          <w:i w:val="0"/>
          <w:iCs w:val="0"/>
        </w:rPr>
        <w:br w:type="page"/>
      </w:r>
    </w:p>
    <w:p>
      <w:pPr>
        <w:pStyle w:val="Heading"/>
      </w:pPr>
      <w:r>
        <w:rPr>
          <w:rtl w:val="0"/>
          <w:lang w:val="fr-FR"/>
        </w:rPr>
        <w:t>Context</w:t>
      </w:r>
    </w:p>
    <w:p>
      <w:pPr>
        <w:pStyle w:val="Nornal"/>
      </w:pPr>
      <w:r>
        <w:rPr>
          <w:rFonts w:cs="Arial Unicode MS" w:eastAsia="Arial Unicode MS"/>
          <w:rtl w:val="0"/>
          <w:lang w:val="en-US"/>
        </w:rPr>
        <w:t xml:space="preserve">Peachy Desserts Ltd is a small chain of dessert restaurants. The business is owned by sisters, </w:t>
      </w:r>
      <w:bookmarkStart w:name="_Hlk123120784" w:id="0"/>
      <w:r>
        <w:rPr>
          <w:rFonts w:cs="Arial Unicode MS" w:eastAsia="Arial Unicode MS"/>
          <w:rtl w:val="0"/>
          <w:lang w:val="en-US"/>
        </w:rPr>
        <w:t>Charlotte and Madeleine</w:t>
      </w:r>
      <w:bookmarkEnd w:id="0"/>
      <w:r>
        <w:rPr>
          <w:rFonts w:cs="Arial Unicode MS" w:eastAsia="Arial Unicode MS"/>
          <w:rtl w:val="0"/>
          <w:lang w:val="en-US"/>
        </w:rPr>
        <w:t>,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pPr>
        <w:pStyle w:val="Nornal"/>
      </w:pPr>
      <w:r>
        <w:rPr>
          <w:rFonts w:cs="Arial Unicode MS" w:eastAsia="Arial Unicode MS"/>
          <w:rtl w:val="0"/>
          <w:lang w:val="en-US"/>
        </w:rPr>
        <w:t>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pPr>
        <w:pStyle w:val="Heading"/>
        <w:rPr>
          <w:lang w:val="en-US"/>
        </w:rPr>
      </w:pPr>
      <w:r>
        <w:rPr>
          <w:rtl w:val="0"/>
          <w:lang w:val="en-US"/>
        </w:rPr>
        <w:t xml:space="preserve">Task </w:t>
      </w:r>
    </w:p>
    <w:p>
      <w:pPr>
        <w:pStyle w:val="Nornal"/>
      </w:pPr>
      <w:r>
        <w:rPr>
          <w:rFonts w:cs="Arial Unicode MS" w:eastAsia="Arial Unicode MS"/>
          <w:rtl w:val="0"/>
          <w:lang w:val="en-US"/>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pPr>
        <w:pStyle w:val="Nornal"/>
        <w:numPr>
          <w:ilvl w:val="0"/>
          <w:numId w:val="6"/>
        </w:numPr>
        <w:bidi w:val="0"/>
        <w:ind w:right="0"/>
        <w:jc w:val="left"/>
        <w:rPr>
          <w:rtl w:val="0"/>
          <w:lang w:val="en-US"/>
        </w:rPr>
      </w:pPr>
      <w:r>
        <w:rPr>
          <w:rtl w:val="0"/>
          <w:lang w:val="en-US"/>
        </w:rPr>
        <w:t>Evaluate the aims and objectives of employment regulation. (AC 1.1)</w:t>
      </w:r>
    </w:p>
    <w:p>
      <w:pPr>
        <w:pStyle w:val="Nornal"/>
        <w:numPr>
          <w:ilvl w:val="0"/>
          <w:numId w:val="6"/>
        </w:numPr>
        <w:bidi w:val="0"/>
        <w:ind w:right="0"/>
        <w:jc w:val="left"/>
        <w:rPr>
          <w:rtl w:val="0"/>
          <w:lang w:val="en-US"/>
        </w:rPr>
      </w:pPr>
      <w:r>
        <w:rPr>
          <w:rtl w:val="0"/>
          <w:lang w:val="en-US"/>
        </w:rPr>
        <w:t>Examine the role played by the tribunal and courts system in enforcing employment law. (AC 1.2)</w:t>
      </w:r>
    </w:p>
    <w:p>
      <w:pPr>
        <w:pStyle w:val="Nornal"/>
        <w:numPr>
          <w:ilvl w:val="0"/>
          <w:numId w:val="6"/>
        </w:numPr>
        <w:bidi w:val="0"/>
        <w:ind w:right="0"/>
        <w:jc w:val="left"/>
        <w:rPr>
          <w:rtl w:val="0"/>
          <w:lang w:val="en-US"/>
        </w:rPr>
      </w:pPr>
      <w:r>
        <w:rPr>
          <w:rtl w:val="0"/>
          <w:lang w:val="en-US"/>
        </w:rPr>
        <w:t>Explain how cases are settled before and during legal procedures. (AC 1.3)</w:t>
      </w:r>
    </w:p>
    <w:p>
      <w:pPr>
        <w:pStyle w:val="Nornal"/>
      </w:pPr>
      <w:r>
        <w:rPr>
          <w:rFonts w:cs="Arial Unicode MS" w:eastAsia="Arial Unicode MS"/>
          <w:rtl w:val="0"/>
          <w:lang w:val="en-US"/>
        </w:rPr>
        <w:t>And provide tailored advice for each of the following scenarios:</w:t>
      </w:r>
    </w:p>
    <w:p>
      <w:pPr>
        <w:pStyle w:val="Nornal"/>
        <w:numPr>
          <w:ilvl w:val="0"/>
          <w:numId w:val="6"/>
        </w:numPr>
      </w:pPr>
      <w:bookmarkStart w:name="_Hlk123122771" w:id="1"/>
      <w:r>
        <w:rPr>
          <w:rtl w:val="0"/>
          <w:lang w:val="en-US"/>
        </w:rPr>
        <w:t xml:space="preserve">Charlotte and Madeleine </w:t>
      </w:r>
      <w:bookmarkEnd w:id="1"/>
      <w:r>
        <w:rPr>
          <w:rtl w:val="0"/>
          <w:lang w:val="en-U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pPr>
        <w:pStyle w:val="Nornal"/>
        <w:numPr>
          <w:ilvl w:val="0"/>
          <w:numId w:val="6"/>
        </w:numPr>
        <w:bidi w:val="0"/>
        <w:ind w:right="0"/>
        <w:jc w:val="left"/>
        <w:rPr>
          <w:rtl w:val="0"/>
          <w:lang w:val="en-US"/>
        </w:rPr>
      </w:pPr>
      <w:r>
        <w:rPr>
          <w:rtl w:val="0"/>
          <w:lang w:val="en-US"/>
        </w:rPr>
        <w:t xml:space="preserve">Cat, a restaurant manager, has recently become aware that she is paid less than Kit, another manager who is male. Her salary is </w:t>
      </w:r>
      <w:r>
        <w:rPr>
          <w:rtl w:val="0"/>
          <w:lang w:val="en-US"/>
        </w:rPr>
        <w:t>£</w:t>
      </w:r>
      <w:r>
        <w:rPr>
          <w:rtl w:val="0"/>
          <w:lang w:val="en-US"/>
        </w:rPr>
        <w:t xml:space="preserve">28,000 a year, whereas Kit earns </w:t>
      </w:r>
      <w:r>
        <w:rPr>
          <w:rtl w:val="0"/>
          <w:lang w:val="en-US"/>
        </w:rPr>
        <w:t>£</w:t>
      </w:r>
      <w:r>
        <w:rPr>
          <w:rtl w:val="0"/>
          <w:lang w:val="en-US"/>
        </w:rPr>
        <w:t>30,000 a year. She asked Charlotte to increase her salary to match Kit</w:t>
      </w:r>
      <w:r>
        <w:rPr>
          <w:rtl w:val="0"/>
          <w:lang w:val="en-US"/>
        </w:rPr>
        <w:t>’</w:t>
      </w:r>
      <w:r>
        <w:rPr>
          <w:rtl w:val="0"/>
          <w:lang w:val="en-US"/>
        </w:rPr>
        <w:t>s, but she refused saying Kit deserved the extra money. (AC 2.2)</w:t>
      </w:r>
    </w:p>
    <w:p>
      <w:pPr>
        <w:pStyle w:val="Nornal"/>
        <w:numPr>
          <w:ilvl w:val="0"/>
          <w:numId w:val="6"/>
        </w:numPr>
        <w:bidi w:val="0"/>
        <w:ind w:right="0"/>
        <w:jc w:val="left"/>
        <w:rPr>
          <w:rtl w:val="0"/>
          <w:lang w:val="en-US"/>
        </w:rPr>
      </w:pPr>
      <w:r>
        <w:rPr>
          <w:rtl w:val="0"/>
          <w:lang w:val="en-US"/>
        </w:rPr>
        <w:t>The lease on an existing site is due to expire in four months</w:t>
      </w:r>
      <w:r>
        <w:rPr>
          <w:rtl w:val="0"/>
          <w:lang w:val="en-US"/>
        </w:rPr>
        <w:t xml:space="preserve">’ </w:t>
      </w:r>
      <w:r>
        <w:rPr>
          <w:rtl w:val="0"/>
          <w:lang w:val="en-US"/>
        </w:rPr>
        <w:t>time and the new terms are prohibitively expensive. Charlotte and Madeleine decide to close the restaurant when the lease expires, rather than renew the lease. When the restaurant closes, they intend to dismiss all six employees, paying each person two weeks</w:t>
      </w:r>
      <w:r>
        <w:rPr>
          <w:rtl w:val="0"/>
          <w:lang w:val="en-US"/>
        </w:rPr>
        <w:t xml:space="preserve">’ </w:t>
      </w:r>
      <w:r>
        <w:rPr>
          <w:rtl w:val="0"/>
          <w:lang w:val="en-US"/>
        </w:rPr>
        <w:t>notice as stated in their contracts of employment:</w:t>
      </w:r>
    </w:p>
    <w:p>
      <w:pPr>
        <w:pStyle w:val="Nornal"/>
        <w:numPr>
          <w:ilvl w:val="1"/>
          <w:numId w:val="6"/>
        </w:numPr>
        <w:bidi w:val="0"/>
        <w:ind w:right="0"/>
        <w:jc w:val="left"/>
        <w:rPr>
          <w:rtl w:val="0"/>
          <w:lang w:val="en-US"/>
        </w:rPr>
      </w:pPr>
      <w:r>
        <w:rPr>
          <w:rtl w:val="0"/>
          <w:lang w:val="en-US"/>
        </w:rPr>
        <w:t>Angelica, the manager (eight years</w:t>
      </w:r>
      <w:r>
        <w:rPr>
          <w:rtl w:val="0"/>
          <w:lang w:val="en-US"/>
        </w:rPr>
        <w:t xml:space="preserve">’ </w:t>
      </w:r>
      <w:r>
        <w:rPr>
          <w:rtl w:val="0"/>
          <w:lang w:val="en-US"/>
        </w:rPr>
        <w:t xml:space="preserve">service, 53 years old, salary </w:t>
      </w:r>
      <w:r>
        <w:rPr>
          <w:rtl w:val="0"/>
          <w:lang w:val="en-US"/>
        </w:rPr>
        <w:t>£</w:t>
      </w:r>
      <w:r>
        <w:rPr>
          <w:rtl w:val="0"/>
          <w:lang w:val="en-US"/>
        </w:rPr>
        <w:t>700 per week)</w:t>
      </w:r>
    </w:p>
    <w:p>
      <w:pPr>
        <w:pStyle w:val="Nornal"/>
        <w:numPr>
          <w:ilvl w:val="1"/>
          <w:numId w:val="6"/>
        </w:numPr>
        <w:bidi w:val="0"/>
        <w:ind w:right="0"/>
        <w:jc w:val="left"/>
        <w:rPr>
          <w:rtl w:val="0"/>
          <w:lang w:val="en-US"/>
        </w:rPr>
      </w:pPr>
      <w:r>
        <w:rPr>
          <w:rtl w:val="0"/>
          <w:lang w:val="en-US"/>
        </w:rPr>
        <w:t>Saffron, the supervisor (five years</w:t>
      </w:r>
      <w:r>
        <w:rPr>
          <w:rtl w:val="0"/>
          <w:lang w:val="en-US"/>
        </w:rPr>
        <w:t xml:space="preserve">’ </w:t>
      </w:r>
      <w:r>
        <w:rPr>
          <w:rtl w:val="0"/>
          <w:lang w:val="en-US"/>
        </w:rPr>
        <w:t xml:space="preserve">service, 30 years old, salary </w:t>
      </w:r>
      <w:r>
        <w:rPr>
          <w:rtl w:val="0"/>
          <w:lang w:val="en-US"/>
        </w:rPr>
        <w:t>£</w:t>
      </w:r>
      <w:r>
        <w:rPr>
          <w:rtl w:val="0"/>
          <w:lang w:val="en-US"/>
        </w:rPr>
        <w:t>350 per week)</w:t>
      </w:r>
    </w:p>
    <w:p>
      <w:pPr>
        <w:pStyle w:val="Nornal"/>
        <w:numPr>
          <w:ilvl w:val="1"/>
          <w:numId w:val="6"/>
        </w:numPr>
        <w:bidi w:val="0"/>
        <w:ind w:right="0"/>
        <w:jc w:val="left"/>
        <w:rPr>
          <w:rtl w:val="0"/>
          <w:lang w:val="en-US"/>
        </w:rPr>
      </w:pPr>
      <w:r>
        <w:rPr>
          <w:rtl w:val="0"/>
          <w:lang w:val="en-US"/>
        </w:rPr>
        <w:t>Chip and Cherry, full-time sales assistants, who are 18 years old, and Reese and Carmel, full-time sales assistants who are 19 years old. All four employees have one year</w:t>
      </w:r>
      <w:r>
        <w:rPr>
          <w:rtl w:val="0"/>
          <w:lang w:val="en-US"/>
        </w:rPr>
        <w:t>’</w:t>
      </w:r>
      <w:r>
        <w:rPr>
          <w:rtl w:val="0"/>
          <w:lang w:val="en-US"/>
        </w:rPr>
        <w:t xml:space="preserve">s service, are paid </w:t>
      </w:r>
      <w:r>
        <w:rPr>
          <w:rtl w:val="0"/>
          <w:lang w:val="en-US"/>
        </w:rPr>
        <w:t>£</w:t>
      </w:r>
      <w:r>
        <w:rPr>
          <w:rtl w:val="0"/>
          <w:lang w:val="en-US"/>
        </w:rPr>
        <w:t>9.00 per hour and work 25 hours a week)</w:t>
      </w:r>
    </w:p>
    <w:p>
      <w:pPr>
        <w:pStyle w:val="Nornal"/>
        <w:ind w:left="720" w:firstLine="0"/>
      </w:pPr>
      <w:r>
        <w:rPr>
          <w:rtl w:val="0"/>
          <w:lang w:val="en-US"/>
        </w:rPr>
        <w:t>Advise why their approach is risky and what they should do instead. (AC 3.1)</w:t>
      </w:r>
    </w:p>
    <w:p>
      <w:pPr>
        <w:pStyle w:val="Nornal"/>
        <w:numPr>
          <w:ilvl w:val="0"/>
          <w:numId w:val="6"/>
        </w:numPr>
        <w:bidi w:val="0"/>
        <w:ind w:right="0"/>
        <w:jc w:val="left"/>
        <w:rPr>
          <w:rtl w:val="0"/>
          <w:lang w:val="en-US"/>
        </w:rPr>
      </w:pPr>
      <w:r>
        <w:rPr>
          <w:rtl w:val="0"/>
          <w:lang w:val="en-US"/>
        </w:rPr>
        <w:t>The takeover of Crumbly Cakes is due to be complete in four months. Ownership will transfer to Peachy Desserts Ltd, and the identity of the owner will change</w:t>
      </w:r>
      <w:bookmarkStart w:name="_Hlk123126731" w:id="2"/>
      <w:r>
        <w:rPr>
          <w:rtl w:val="0"/>
          <w:lang w:val="en-US"/>
        </w:rPr>
        <w:t xml:space="preserve">. Charlotte and Madeleine consider the takeover a </w:t>
      </w:r>
      <w:r>
        <w:rPr>
          <w:rtl w:val="0"/>
          <w:lang w:val="en-US"/>
        </w:rPr>
        <w:t>‘</w:t>
      </w:r>
      <w:r>
        <w:rPr>
          <w:rtl w:val="0"/>
          <w:lang w:val="en-US"/>
        </w:rPr>
        <w:t>good fit</w:t>
      </w:r>
      <w:r>
        <w:rPr>
          <w:rtl w:val="0"/>
          <w:lang w:val="en-US"/>
        </w:rPr>
        <w:t xml:space="preserve">’ </w:t>
      </w:r>
      <w:r>
        <w:rPr>
          <w:rtl w:val="0"/>
          <w:lang w:val="en-US"/>
        </w:rPr>
        <w:t xml:space="preserve">with their business, as the nature of the business is the same and they will take over all tangible assets. Charlotte and Madeleine do not dispute that Peachy Desserts Ltd will become the employer of the 12 employees of Crumbly Cakes </w:t>
      </w:r>
      <w:bookmarkEnd w:id="2"/>
      <w:r>
        <w:rPr>
          <w:rtl w:val="0"/>
          <w:lang w:val="en-US"/>
        </w:rPr>
        <w:t>but plan to give the employees of Crumbly Cakes new contracts on the same terms and conditions as their existing employees. Advise on the legal risk of this approach and what should be done instead. (AC 3.2)</w:t>
      </w:r>
    </w:p>
    <w:p>
      <w:pPr>
        <w:pStyle w:val="List Paragraph"/>
        <w:numPr>
          <w:ilvl w:val="0"/>
          <w:numId w:val="6"/>
        </w:numPr>
        <w:bidi w:val="0"/>
        <w:spacing w:after="120" w:line="264" w:lineRule="auto"/>
        <w:ind w:right="0"/>
        <w:jc w:val="left"/>
        <w:rPr>
          <w:rtl w:val="0"/>
          <w:lang w:val="en-US"/>
        </w:rPr>
      </w:pPr>
      <w:r>
        <w:rPr>
          <w:rtl w:val="0"/>
          <w:lang w:val="en-US"/>
        </w:rPr>
        <w:t xml:space="preserve">Charlotte and Madeleine are aware there are changes to the National Minimum Wage each year. They firmly believe that all sales assistants work hard regardless of age and as such should be paid the same. All sales assistants are currently paid </w:t>
      </w:r>
      <w:r>
        <w:rPr>
          <w:rtl w:val="0"/>
          <w:lang w:val="en-US"/>
        </w:rPr>
        <w:t>£</w:t>
      </w:r>
      <w:r>
        <w:rPr>
          <w:rtl w:val="0"/>
          <w:lang w:val="en-US"/>
        </w:rPr>
        <w:t>9.00 per hour. They want to check their approach is lawful and wonder whether there are any rights related to pay statements they need to comply with. (AC 4.1)</w:t>
      </w:r>
    </w:p>
    <w:p>
      <w:pPr>
        <w:pStyle w:val="List Paragraph"/>
        <w:numPr>
          <w:ilvl w:val="0"/>
          <w:numId w:val="6"/>
        </w:numPr>
        <w:bidi w:val="0"/>
        <w:spacing w:after="120" w:line="264" w:lineRule="auto"/>
        <w:ind w:right="0"/>
        <w:jc w:val="left"/>
        <w:rPr>
          <w:rtl w:val="0"/>
          <w:lang w:val="en-US"/>
        </w:rPr>
      </w:pPr>
      <w:r>
        <w:rPr>
          <w:rtl w:val="0"/>
          <w:lang w:val="en-U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pPr>
        <w:pStyle w:val="Nornal"/>
        <w:numPr>
          <w:ilvl w:val="0"/>
          <w:numId w:val="6"/>
        </w:numPr>
        <w:bidi w:val="0"/>
        <w:ind w:right="0"/>
        <w:jc w:val="left"/>
        <w:rPr>
          <w:rtl w:val="0"/>
          <w:lang w:val="en-US"/>
        </w:rPr>
      </w:pPr>
      <w:r>
        <w:rPr>
          <w:rtl w:val="0"/>
          <w:lang w:val="en-US"/>
        </w:rPr>
        <w:t>Coco, a restaurant manager with eight years</w:t>
      </w:r>
      <w:r>
        <w:rPr>
          <w:rtl w:val="0"/>
          <w:lang w:val="en-US"/>
        </w:rPr>
        <w:t xml:space="preserve">’ </w:t>
      </w:r>
      <w:r>
        <w:rPr>
          <w:rtl w:val="0"/>
          <w:lang w:val="en-US"/>
        </w:rPr>
        <w:t>service, was delighted to inform Charlotte and Madeleine that she is pregnant and that her baby is due in six months</w:t>
      </w:r>
      <w:r>
        <w:rPr>
          <w:rtl w:val="0"/>
          <w:lang w:val="en-US"/>
        </w:rPr>
        <w:t xml:space="preserve">’ </w:t>
      </w:r>
      <w:r>
        <w:rPr>
          <w:rtl w:val="0"/>
          <w:lang w:val="en-US"/>
        </w:rPr>
        <w:t>time. Charlotte, who took two weeks off after the birth of her baby, is unhappy at the disruption this will cause but is happy to let Coco book two weeks</w:t>
      </w:r>
      <w:r>
        <w:rPr>
          <w:rtl w:val="0"/>
          <w:lang w:val="en-US"/>
        </w:rPr>
        <w:t xml:space="preserve">’ </w:t>
      </w:r>
      <w:r>
        <w:rPr>
          <w:rtl w:val="0"/>
          <w:lang w:val="en-US"/>
        </w:rPr>
        <w:t>annual leave to coincide with the birth of her baby. Charlotte feels a small business cannot afford the maternity leave and maternity pay that a larger organisation could offer, and she knows from experience that two weeks off is sufficient. Advise Charlotte and Madeleine on Coco</w:t>
      </w:r>
      <w:r>
        <w:rPr>
          <w:rtl w:val="0"/>
          <w:lang w:val="en-US"/>
        </w:rPr>
        <w:t>’</w:t>
      </w:r>
      <w:r>
        <w:rPr>
          <w:rtl w:val="0"/>
          <w:lang w:val="en-US"/>
        </w:rPr>
        <w:t>s maternity rights. You are concerned about Charlotte and Madeleine</w:t>
      </w:r>
      <w:r>
        <w:rPr>
          <w:rtl w:val="0"/>
          <w:lang w:val="en-US"/>
        </w:rPr>
        <w:t>’</w:t>
      </w:r>
      <w:r>
        <w:rPr>
          <w:rtl w:val="0"/>
          <w:lang w:val="en-US"/>
        </w:rPr>
        <w:t>s lack of knowledge in this area and decide to add a brief overview of paternity and adoption rights in case they make mistakes in this area too. (AC 4.3)</w:t>
      </w:r>
    </w:p>
    <w:p>
      <w:pPr>
        <w:pStyle w:val="Nornal"/>
        <w:numPr>
          <w:ilvl w:val="0"/>
          <w:numId w:val="6"/>
        </w:numPr>
        <w:bidi w:val="0"/>
        <w:ind w:right="0"/>
        <w:jc w:val="left"/>
        <w:rPr>
          <w:rtl w:val="0"/>
          <w:lang w:val="en-US"/>
        </w:rPr>
      </w:pPr>
      <w:r>
        <w:rPr>
          <w:rtl w:val="0"/>
          <w:lang w:val="en-US"/>
        </w:rPr>
        <w:t xml:space="preserve">Chelsea, a restaurant manager, has made a flexible working request and wants to change from working full-time to working three days a week. Charlotte informs you she will let Chelsea know that Peachy Desserts Ltd </w:t>
      </w:r>
      <w:r>
        <w:rPr>
          <w:rtl w:val="0"/>
          <w:lang w:val="en-US"/>
        </w:rPr>
        <w:t>‘</w:t>
      </w:r>
      <w:r>
        <w:rPr>
          <w:rtl w:val="0"/>
          <w:lang w:val="en-US"/>
        </w:rPr>
        <w:t>don</w:t>
      </w:r>
      <w:r>
        <w:rPr>
          <w:rtl w:val="0"/>
          <w:lang w:val="en-US"/>
        </w:rPr>
        <w:t>’</w:t>
      </w:r>
      <w:r>
        <w:rPr>
          <w:rtl w:val="0"/>
          <w:lang w:val="en-US"/>
        </w:rPr>
        <w:t>t do</w:t>
      </w:r>
      <w:r>
        <w:rPr>
          <w:rtl w:val="0"/>
          <w:lang w:val="en-US"/>
        </w:rPr>
        <w:t xml:space="preserve">’ </w:t>
      </w:r>
      <w:r>
        <w:rPr>
          <w:rtl w:val="0"/>
          <w:lang w:val="en-US"/>
        </w:rPr>
        <w:t>flexible working and if she does not like it, she should leave and find a part-time job somewhere else. Advise Charlotte and Madeleine of the risks of their approach and what they should do instead. (AC 4.4)</w:t>
      </w:r>
    </w:p>
    <w:p>
      <w:pPr>
        <w:pStyle w:val="Body A"/>
        <w:ind w:left="360" w:firstLine="0"/>
      </w:pPr>
      <w:r>
        <w:rPr>
          <w:rtl w:val="0"/>
          <w:lang w:val="en-US"/>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pPr>
        <w:pStyle w:val="Nornal"/>
        <w:spacing w:after="0" w:line="240" w:lineRule="auto"/>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624839</wp:posOffset>
                </wp:positionH>
                <wp:positionV relativeFrom="line">
                  <wp:posOffset>95250</wp:posOffset>
                </wp:positionV>
                <wp:extent cx="6371591" cy="1019175"/>
                <wp:effectExtent l="0" t="0" r="0" b="0"/>
                <wp:wrapNone/>
                <wp:docPr id="1073741833" name="officeArt object" descr="Rectangle 6"/>
                <wp:cNvGraphicFramePr/>
                <a:graphic xmlns:a="http://schemas.openxmlformats.org/drawingml/2006/main">
                  <a:graphicData uri="http://schemas.microsoft.com/office/word/2010/wordprocessingShape">
                    <wps:wsp>
                      <wps:cNvSpPr/>
                      <wps:spPr>
                        <a:xfrm>
                          <a:off x="0" y="0"/>
                          <a:ext cx="6371591" cy="1019175"/>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49.2pt;margin-top:7.5pt;width:501.7pt;height:80.2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pPr>
        <w:pStyle w:val="Nornal"/>
        <w:rPr>
          <w:outline w:val="0"/>
          <w:color w:val="004147"/>
          <w:sz w:val="28"/>
          <w:szCs w:val="28"/>
          <w:u w:color="004147"/>
          <w14:textFill>
            <w14:solidFill>
              <w14:srgbClr w14:val="004147"/>
            </w14:solidFill>
          </w14:textFill>
        </w:rPr>
      </w:pPr>
      <w:r>
        <w:rPr>
          <w:rFonts w:cs="Arial Unicode MS" w:eastAsia="Arial Unicode MS"/>
          <w:outline w:val="0"/>
          <w:color w:val="004147"/>
          <w:sz w:val="28"/>
          <w:szCs w:val="28"/>
          <w:u w:color="004147"/>
          <w:rtl w:val="0"/>
          <w:lang w:val="en-US"/>
          <w14:textFill>
            <w14:solidFill>
              <w14:srgbClr w14:val="004147"/>
            </w14:solidFill>
          </w14:textFill>
        </w:rPr>
        <w:t>Your evidence must consist of:</w:t>
      </w:r>
    </w:p>
    <w:p>
      <w:pPr>
        <w:pStyle w:val="List Paragraph"/>
        <w:numPr>
          <w:ilvl w:val="0"/>
          <w:numId w:val="8"/>
        </w:numPr>
        <w:bidi w:val="0"/>
        <w:spacing w:after="120" w:line="264" w:lineRule="auto"/>
        <w:ind w:right="0"/>
        <w:jc w:val="left"/>
        <w:rPr>
          <w:rtl w:val="0"/>
          <w:lang w:val="en-US"/>
        </w:rPr>
      </w:pPr>
      <w:r>
        <w:rPr>
          <w:rtl w:val="0"/>
          <w:lang w:val="en-US"/>
        </w:rPr>
        <w:t>Written answers (3900 words +/- 10%) refer to CIPD wordcount policy.</w:t>
      </w:r>
    </w:p>
    <w:p>
      <w:pPr>
        <w:pStyle w:val="List parag"/>
        <w:spacing w:after="0" w:line="240" w:lineRule="auto"/>
      </w:pPr>
    </w:p>
    <w:p>
      <w:pPr>
        <w:pStyle w:val="List parag"/>
        <w:spacing w:after="0" w:line="240" w:lineRule="auto"/>
        <w:rPr>
          <w:b w:val="1"/>
          <w:bCs w:val="1"/>
          <w:outline w:val="0"/>
          <w:color w:val="004147"/>
          <w:u w:color="004147"/>
          <w14:textFill>
            <w14:solidFill>
              <w14:srgbClr w14:val="004147"/>
            </w14:solidFill>
          </w14:textFill>
        </w:rPr>
      </w:pPr>
    </w:p>
    <w:p>
      <w:pPr>
        <w:pStyle w:val="List parag"/>
        <w:spacing w:after="0" w:line="240" w:lineRule="auto"/>
        <w:rPr>
          <w:b w:val="1"/>
          <w:bCs w:val="1"/>
          <w:outline w:val="0"/>
          <w:color w:val="004147"/>
          <w:u w:color="004147"/>
          <w14:textFill>
            <w14:solidFill>
              <w14:srgbClr w14:val="004147"/>
            </w14:solidFill>
          </w14:textFill>
        </w:rPr>
      </w:pPr>
    </w:p>
    <w:p>
      <w:pPr>
        <w:pStyle w:val="List parag"/>
        <w:spacing w:after="0" w:line="240" w:lineRule="auto"/>
        <w:rPr>
          <w:b w:val="1"/>
          <w:bCs w:val="1"/>
          <w:outline w:val="0"/>
          <w:color w:val="004147"/>
          <w:u w:color="004147"/>
          <w14:textFill>
            <w14:solidFill>
              <w14:srgbClr w14:val="004147"/>
            </w14:solidFill>
          </w14:textFill>
        </w:rPr>
      </w:pPr>
      <w:r>
        <w:rPr>
          <w:b w:val="1"/>
          <w:bCs w:val="1"/>
          <w:outline w:val="0"/>
          <w:color w:val="004147"/>
          <w:u w:color="004147"/>
          <w:rtl w:val="0"/>
          <w:lang w:val="en-US"/>
          <w14:textFill>
            <w14:solidFill>
              <w14:srgbClr w14:val="004147"/>
            </w14:solidFill>
          </w14:textFill>
        </w:rPr>
        <w:t xml:space="preserve">Assessment Criteria Evidence Checklist </w:t>
      </w:r>
    </w:p>
    <w:p>
      <w:pPr>
        <w:pStyle w:val="List parag"/>
        <w:spacing w:after="0" w:line="240" w:lineRule="auto"/>
        <w:rPr>
          <w:b w:val="1"/>
          <w:bCs w:val="1"/>
          <w:outline w:val="0"/>
          <w:color w:val="004147"/>
          <w:u w:color="004147"/>
          <w14:textFill>
            <w14:solidFill>
              <w14:srgbClr w14:val="004147"/>
            </w14:solidFill>
          </w14:textFill>
        </w:rPr>
      </w:pPr>
    </w:p>
    <w:p>
      <w:pPr>
        <w:pStyle w:val="Nornal"/>
      </w:pPr>
      <w:r>
        <w:rPr>
          <w:rFonts w:cs="Arial Unicode MS" w:eastAsia="Arial Unicode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Body A"/>
        <w:spacing w:line="240" w:lineRule="auto"/>
      </w:pPr>
    </w:p>
    <w:tbl>
      <w:tblPr>
        <w:tblW w:w="980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22"/>
        <w:gridCol w:w="4221"/>
        <w:gridCol w:w="1318"/>
        <w:gridCol w:w="3341"/>
      </w:tblGrid>
      <w:tr>
        <w:tblPrEx>
          <w:shd w:val="clear" w:color="auto" w:fill="520d5d"/>
        </w:tblPrEx>
        <w:trPr>
          <w:trHeight w:val="861" w:hRule="atLeast"/>
          <w:tblHeader/>
        </w:trPr>
        <w:tc>
          <w:tcPr>
            <w:tcW w:type="dxa" w:w="5143"/>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b w:val="1"/>
                <w:bCs w:val="1"/>
                <w:outline w:val="0"/>
                <w:color w:val="004147"/>
                <w:u w:color="004147"/>
                <w:shd w:val="nil" w:color="auto" w:fill="auto"/>
                <w:lang w:val="en-US"/>
                <w14:textFill>
                  <w14:solidFill>
                    <w14:srgbClr w14:val="004147"/>
                  </w14:solidFill>
                </w14:textFill>
              </w:rPr>
            </w:pPr>
          </w:p>
          <w:p>
            <w:pPr>
              <w:pStyle w:val="Nornal"/>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318"/>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Evidenced</w:t>
            </w:r>
            <w:r>
              <w:rPr>
                <w:b w:val="1"/>
                <w:bCs w:val="1"/>
                <w:outline w:val="0"/>
                <w:color w:val="004147"/>
                <w:u w:color="004147"/>
                <w:shd w:val="nil" w:color="auto" w:fill="auto"/>
                <w:lang w:val="en-US"/>
                <w14:textFill>
                  <w14:solidFill>
                    <w14:srgbClr w14:val="004147"/>
                  </w14:solidFill>
                </w14:textFill>
              </w:rPr>
              <w:br w:type="textWrapping"/>
            </w:r>
            <w:r>
              <w:rPr>
                <w:b w:val="1"/>
                <w:bCs w:val="1"/>
                <w:outline w:val="0"/>
                <w:color w:val="004147"/>
                <w:u w:color="004147"/>
                <w:shd w:val="nil" w:color="auto" w:fill="auto"/>
                <w:rtl w:val="0"/>
                <w:lang w:val="en-US"/>
                <w14:textFill>
                  <w14:solidFill>
                    <w14:srgbClr w14:val="004147"/>
                  </w14:solidFill>
                </w14:textFill>
              </w:rPr>
              <w:t>Y/N</w:t>
            </w:r>
          </w:p>
        </w:tc>
        <w:tc>
          <w:tcPr>
            <w:tcW w:type="dxa" w:w="3341"/>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516"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1.1</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 xml:space="preserve">Evaluate the aims and objectives of employment regulation.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9"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1.2</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Examine the role played by the tribunal and courts system in enforcing employment law.</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33"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1.3</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Explain how cases are settled before and during formal legal procedures.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9"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2.1</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 xml:space="preserve">Evaluate the principles of discrimination law in recruitment, selection and employment.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6"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2.2</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 xml:space="preserve">Discuss the legal requirements of equal pay.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33"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3.1</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Discuss the legal implications of managing change.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6"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3.2</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 xml:space="preserve">Explain the legal requirements relating to transfers of undertakings.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33"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4.1</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Explain the major statutory rights workers have in relation to pay.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33"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4.2</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Explain the major statutory rights in leave and working time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973"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4.3</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Explain the main principles of maternity, paternity and adoption rights in the context of employment rights.</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33"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 xml:space="preserve"> 4.4</w:t>
            </w:r>
          </w:p>
        </w:tc>
        <w:tc>
          <w:tcPr>
            <w:tcW w:type="dxa" w:w="4221"/>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Explain other employment rights relating to flexible working. </w:t>
            </w:r>
          </w:p>
        </w:tc>
        <w:tc>
          <w:tcPr>
            <w:tcW w:type="dxa" w:w="1318"/>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Body A"/>
        <w:widowControl w:val="0"/>
        <w:spacing w:line="240" w:lineRule="auto"/>
        <w:ind w:left="108" w:hanging="108"/>
      </w:pPr>
    </w:p>
    <w:p>
      <w:pPr>
        <w:pStyle w:val="Body A"/>
        <w:widowControl w:val="0"/>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p>
    <w:p>
      <w:pPr>
        <w:pStyle w:val="Body A"/>
        <w:spacing w:line="240" w:lineRule="auto"/>
      </w:pPr>
      <w:r>
        <w:rPr>
          <w:rFonts w:ascii="Arial Unicode MS" w:cs="Arial Unicode MS" w:hAnsi="Arial Unicode MS" w:eastAsia="Arial Unicode MS"/>
          <w:b w:val="0"/>
          <w:bCs w:val="0"/>
          <w:i w:val="0"/>
          <w:iCs w:val="0"/>
        </w:rPr>
        <w:br w:type="page"/>
      </w:r>
    </w:p>
    <w:p>
      <w:pPr>
        <w:pStyle w:val="Heading 3"/>
      </w:pPr>
      <w:r>
        <w:rPr>
          <w:rtl w:val="0"/>
          <w:lang w:val="en-US"/>
        </w:rPr>
        <w:t>Declaration of Authentication</w:t>
      </w:r>
    </w:p>
    <w:p>
      <w:pPr>
        <w:pStyle w:val="Heading 2"/>
      </w:pPr>
      <w:r>
        <w:rPr>
          <w:rFonts w:cs="Arial Unicode MS" w:eastAsia="Arial Unicode MS"/>
          <w:rtl w:val="0"/>
          <w:lang w:val="en-US"/>
        </w:rPr>
        <w:t xml:space="preserve">Declaration by learner </w:t>
      </w:r>
    </w:p>
    <w:tbl>
      <w:tblPr>
        <w:tblW w:w="93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248"/>
        <w:gridCol w:w="5103"/>
      </w:tblGrid>
      <w:tr>
        <w:tblPrEx>
          <w:shd w:val="clear" w:color="auto" w:fill="cfcad0"/>
        </w:tblPrEx>
        <w:trPr>
          <w:trHeight w:val="511" w:hRule="atLeast"/>
        </w:trPr>
        <w:tc>
          <w:tcPr>
            <w:tcW w:type="dxa" w:w="9351"/>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406"/>
            </w:tcMar>
            <w:vAlign w:val="top"/>
          </w:tcPr>
          <w:p>
            <w:pPr>
              <w:pStyle w:val="Table Paragraph"/>
              <w:spacing w:before="60" w:line="254" w:lineRule="auto"/>
              <w:ind w:right="326"/>
            </w:pPr>
            <w:r>
              <w:rPr>
                <w:b w:val="1"/>
                <w:bCs w:val="1"/>
                <w:shd w:val="nil" w:color="auto" w:fill="auto"/>
                <w:rtl w:val="0"/>
                <w:lang w:val="en-US"/>
              </w:rPr>
              <w:t xml:space="preserve">I can confirm that this assessment is all my own work and where I have used materials from other sources, they have been properly acknowledged.   </w:t>
            </w:r>
          </w:p>
        </w:tc>
      </w:tr>
      <w:tr>
        <w:tblPrEx>
          <w:shd w:val="clear" w:color="auto" w:fill="cfcad0"/>
        </w:tblPrEx>
        <w:trPr>
          <w:trHeight w:val="520"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A"/>
              <w:spacing w:before="120" w:after="120" w:line="360" w:lineRule="auto"/>
            </w:pPr>
            <w:r>
              <w:rPr>
                <w:b w:val="1"/>
                <w:bCs w:val="1"/>
                <w:shd w:val="nil" w:color="auto" w:fill="auto"/>
                <w:rtl w:val="0"/>
                <w:lang w:val="en-US"/>
              </w:rPr>
              <w:t>Learner name: Carrie Wedlake</w:t>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3449"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A"/>
              <w:spacing w:before="120" w:after="120" w:line="360" w:lineRule="auto"/>
            </w:pPr>
            <w:r>
              <w:rPr>
                <w:b w:val="1"/>
                <w:bCs w:val="1"/>
                <w:shd w:val="nil" w:color="auto" w:fill="auto"/>
                <w:rtl w:val="0"/>
                <w:lang w:val="en-US"/>
              </w:rPr>
              <w:t xml:space="preserve">Learner signature: </w:t>
            </w:r>
            <w:r>
              <w:rPr>
                <w:rFonts w:ascii="Times New Roman" w:cs="Times New Roman" w:hAnsi="Times New Roman" w:eastAsia="Times New Roman"/>
                <w:b w:val="1"/>
                <w:bCs w:val="1"/>
                <w:sz w:val="24"/>
                <w:szCs w:val="24"/>
                <w:shd w:val="nil" w:color="auto" w:fill="auto"/>
                <w:lang w:val="en-US"/>
              </w:rPr>
              <w:drawing xmlns:a="http://schemas.openxmlformats.org/drawingml/2006/main">
                <wp:inline distT="0" distB="0" distL="0" distR="0">
                  <wp:extent cx="2592578" cy="1917857"/>
                  <wp:effectExtent l="0" t="0" r="0" b="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9">
                            <a:extLst/>
                          </a:blip>
                          <a:stretch>
                            <a:fillRect/>
                          </a:stretch>
                        </pic:blipFill>
                        <pic:spPr>
                          <a:xfrm>
                            <a:off x="0" y="0"/>
                            <a:ext cx="2592578" cy="1917857"/>
                          </a:xfrm>
                          <a:prstGeom prst="rect">
                            <a:avLst/>
                          </a:prstGeom>
                          <a:ln w="12700" cap="flat">
                            <a:noFill/>
                            <a:miter lim="400000"/>
                          </a:ln>
                          <a:effectLst/>
                        </pic:spPr>
                      </pic:pic>
                    </a:graphicData>
                  </a:graphic>
                </wp:inline>
              </w:drawing>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081" w:hRule="atLeast"/>
        </w:trPr>
        <w:tc>
          <w:tcPr>
            <w:tcW w:type="dxa" w:w="4248"/>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A"/>
              <w:spacing w:before="120" w:after="120" w:line="360" w:lineRule="auto"/>
              <w:rPr>
                <w:b w:val="1"/>
                <w:bCs w:val="1"/>
                <w:shd w:val="nil" w:color="auto" w:fill="auto"/>
              </w:rPr>
            </w:pPr>
            <w:r>
              <w:rPr>
                <w:b w:val="1"/>
                <w:bCs w:val="1"/>
                <w:shd w:val="nil" w:color="auto" w:fill="auto"/>
                <w:rtl w:val="0"/>
                <w:lang w:val="en-US"/>
              </w:rPr>
              <w:t>Date* 23/04/23</w:t>
            </w:r>
          </w:p>
          <w:p>
            <w:pPr>
              <w:pStyle w:val="Body A"/>
              <w:bidi w:val="0"/>
              <w:spacing w:before="120" w:after="120" w:line="360" w:lineRule="auto"/>
              <w:ind w:left="0" w:right="0" w:firstLine="0"/>
              <w:jc w:val="left"/>
              <w:rPr>
                <w:rtl w:val="0"/>
              </w:rPr>
            </w:pPr>
            <w:r>
              <w:rPr>
                <w:b w:val="1"/>
                <w:bCs w:val="1"/>
                <w:shd w:val="nil" w:color="auto" w:fill="auto"/>
                <w:rtl w:val="0"/>
                <w:lang w:val="en-US"/>
              </w:rPr>
              <w:t>*This should be the date on which you submit your assessment</w:t>
            </w:r>
          </w:p>
        </w:tc>
        <w:tc>
          <w:tcPr>
            <w:tcW w:type="dxa" w:w="5103"/>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Heading 2"/>
        <w:widowControl w:val="0"/>
        <w:spacing w:line="240" w:lineRule="auto"/>
        <w:ind w:left="108" w:hanging="108"/>
      </w:pPr>
    </w:p>
    <w:p>
      <w:pPr>
        <w:pStyle w:val="Heading 2"/>
        <w:widowControl w:val="0"/>
        <w:spacing w:line="240" w:lineRule="auto"/>
      </w:pPr>
    </w:p>
    <w:p>
      <w:pPr>
        <w:pStyle w:val="Heading 3"/>
      </w:pPr>
    </w:p>
    <w:p>
      <w:pPr>
        <w:pStyle w:val="Heading 2"/>
      </w:pPr>
      <w:r>
        <w:rPr>
          <w:rFonts w:cs="Arial Unicode MS" w:eastAsia="Arial Unicode MS"/>
          <w:rtl w:val="0"/>
          <w:lang w:val="en-US"/>
        </w:rPr>
        <w:t xml:space="preserve">Declaration by Assessor </w:t>
      </w:r>
    </w:p>
    <w:p>
      <w:pPr>
        <w:pStyle w:val="Body A"/>
      </w:pPr>
    </w:p>
    <w:tbl>
      <w:tblPr>
        <w:tblW w:w="901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972"/>
        <w:gridCol w:w="6038"/>
      </w:tblGrid>
      <w:tr>
        <w:tblPrEx>
          <w:shd w:val="clear" w:color="auto" w:fill="cfcad0"/>
        </w:tblPrEx>
        <w:trPr>
          <w:trHeight w:val="1642" w:hRule="atLeast"/>
        </w:trPr>
        <w:tc>
          <w:tcPr>
            <w:tcW w:type="dxa" w:w="9010"/>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80"/>
            </w:tcMar>
            <w:vAlign w:val="top"/>
          </w:tcPr>
          <w:p>
            <w:pPr>
              <w:pStyle w:val="Body A"/>
            </w:pPr>
            <w:r>
              <w:rPr>
                <w:b w:val="1"/>
                <w:bCs w:val="1"/>
                <w:shd w:val="nil" w:color="auto" w:fill="auto"/>
                <w:rtl w:val="0"/>
                <w:lang w:val="en-US"/>
              </w:rPr>
              <w:t>I confirm that I am satisfied that to the best of my knowledge, the work produced is solely that of the learner.</w:t>
            </w: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A"/>
              <w:spacing w:before="120" w:after="120" w:line="360" w:lineRule="auto"/>
            </w:pPr>
            <w:r>
              <w:rPr>
                <w:b w:val="1"/>
                <w:bCs w:val="1"/>
                <w:shd w:val="nil" w:color="auto" w:fill="auto"/>
                <w:rtl w:val="0"/>
                <w:lang w:val="en-US"/>
              </w:rPr>
              <w:t>Assessor name: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A"/>
              <w:spacing w:before="120" w:after="120" w:line="360" w:lineRule="auto"/>
            </w:pPr>
            <w:r>
              <w:rPr>
                <w:b w:val="1"/>
                <w:bCs w:val="1"/>
                <w:shd w:val="nil" w:color="auto" w:fill="auto"/>
                <w:rtl w:val="0"/>
                <w:lang w:val="en-US"/>
              </w:rPr>
              <w:t>Assessor signature: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305" w:hRule="atLeast"/>
        </w:trPr>
        <w:tc>
          <w:tcPr>
            <w:tcW w:type="dxa" w:w="2972"/>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A"/>
              <w:spacing w:before="120" w:after="120" w:line="360" w:lineRule="auto"/>
            </w:pPr>
            <w:r>
              <w:rPr>
                <w:b w:val="1"/>
                <w:bCs w:val="1"/>
                <w:shd w:val="nil" w:color="auto" w:fill="auto"/>
                <w:rtl w:val="0"/>
                <w:lang w:val="en-US"/>
              </w:rPr>
              <w:t>Date:</w:t>
            </w:r>
          </w:p>
        </w:tc>
        <w:tc>
          <w:tcPr>
            <w:tcW w:type="dxa" w:w="6038"/>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Body A"/>
        <w:widowControl w:val="0"/>
        <w:spacing w:line="240" w:lineRule="auto"/>
        <w:ind w:left="108" w:hanging="108"/>
      </w:pPr>
    </w:p>
    <w:p>
      <w:pPr>
        <w:pStyle w:val="Body A"/>
        <w:widowControl w:val="0"/>
        <w:spacing w:line="240" w:lineRule="auto"/>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spacing w:line="240" w:lineRule="auto"/>
      </w:pPr>
      <w:r>
        <w:rPr>
          <w:rFonts w:ascii="Arial Unicode MS" w:cs="Arial Unicode MS" w:hAnsi="Arial Unicode MS" w:eastAsia="Arial Unicode MS"/>
          <w:b w:val="0"/>
          <w:bCs w:val="0"/>
          <w:i w:val="0"/>
          <w:iCs w:val="0"/>
        </w:rPr>
        <w:br w:type="page"/>
      </w:r>
    </w:p>
    <w:p>
      <w:pPr>
        <w:pStyle w:val="Body A"/>
      </w:pPr>
    </w:p>
    <w:p>
      <w:pPr>
        <w:pStyle w:val="Nornal"/>
        <w:ind w:right="1977"/>
        <w:rPr>
          <w:rFonts w:ascii="Segoe UI" w:cs="Segoe UI" w:hAnsi="Segoe UI" w:eastAsia="Segoe UI"/>
          <w:outline w:val="0"/>
          <w:color w:val="00616a"/>
          <w:sz w:val="52"/>
          <w:szCs w:val="52"/>
          <w:u w:color="00616a"/>
          <w14:textFill>
            <w14:solidFill>
              <w14:srgbClr w14:val="00616A"/>
            </w14:solidFill>
          </w14:textFill>
        </w:rPr>
      </w:pPr>
      <w:r>
        <w:rPr>
          <w:outline w:val="0"/>
          <w:color w:val="00616a"/>
          <w:sz w:val="48"/>
          <w:szCs w:val="48"/>
          <w:u w:color="00616a"/>
          <w14:textFill>
            <w14:solidFill>
              <w14:srgbClr w14:val="00616A"/>
            </w14:solidFill>
          </w14:textFill>
        </w:rPr>
        <w:drawing xmlns:a="http://schemas.openxmlformats.org/drawingml/2006/main">
          <wp:anchor distT="57150" distB="57150" distL="57150" distR="57150" simplePos="0" relativeHeight="251659264" behindDoc="0" locked="0" layoutInCell="1" allowOverlap="1">
            <wp:simplePos x="0" y="0"/>
            <wp:positionH relativeFrom="column">
              <wp:posOffset>5114925</wp:posOffset>
            </wp:positionH>
            <wp:positionV relativeFrom="line">
              <wp:posOffset>288925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0">
                      <a:extLst/>
                    </a:blip>
                    <a:stretch>
                      <a:fillRect/>
                    </a:stretch>
                  </pic:blipFill>
                  <pic:spPr>
                    <a:xfrm>
                      <a:off x="0" y="0"/>
                      <a:ext cx="1120140" cy="1120140"/>
                    </a:xfrm>
                    <a:prstGeom prst="rect">
                      <a:avLst/>
                    </a:prstGeom>
                    <a:ln w="12700" cap="flat">
                      <a:noFill/>
                      <a:miter lim="400000"/>
                    </a:ln>
                    <a:effectLst/>
                  </pic:spPr>
                </pic:pic>
              </a:graphicData>
            </a:graphic>
          </wp:anchor>
        </w:drawing>
      </w:r>
      <w:r>
        <w:rPr>
          <w:outline w:val="0"/>
          <w:color w:val="00616a"/>
          <w:sz w:val="52"/>
          <w:szCs w:val="52"/>
          <w:u w:color="00616a"/>
          <w:rtl w:val="0"/>
          <w:lang w:val="en-US"/>
          <w14:textFill>
            <w14:solidFill>
              <w14:srgbClr w14:val="00616A"/>
            </w14:solidFill>
          </w14:textFill>
        </w:rPr>
        <w:t xml:space="preserve">5OS01 </w:t>
      </w:r>
    </w:p>
    <w:p>
      <w:pPr>
        <w:pStyle w:val="Nornal"/>
        <w:spacing w:after="1080"/>
        <w:ind w:right="1977"/>
        <w:rPr>
          <w:outline w:val="0"/>
          <w:color w:val="00616a"/>
          <w:sz w:val="52"/>
          <w:szCs w:val="52"/>
          <w:u w:color="00616a"/>
          <w14:textFill>
            <w14:solidFill>
              <w14:srgbClr w14:val="00616A"/>
            </w14:solidFill>
          </w14:textFill>
        </w:rPr>
      </w:pPr>
      <w:r>
        <w:rPr>
          <w:outline w:val="0"/>
          <w:color w:val="00616a"/>
          <w:sz w:val="52"/>
          <w:szCs w:val="52"/>
          <w:u w:color="00616a"/>
          <w:rtl w:val="0"/>
          <w:lang w:val="en-US"/>
          <w14:textFill>
            <w14:solidFill>
              <w14:srgbClr w14:val="00616A"/>
            </w14:solidFill>
          </w14:textFill>
        </w:rPr>
        <w:t>Specialist employment law</w:t>
      </w:r>
    </w:p>
    <w:p>
      <w:pPr>
        <w:pStyle w:val="Heading"/>
        <w:rPr>
          <w:sz w:val="40"/>
          <w:szCs w:val="40"/>
          <w:lang w:val="en-US"/>
        </w:rPr>
      </w:pPr>
      <w:r>
        <w:rPr>
          <w:sz w:val="40"/>
          <w:szCs w:val="40"/>
          <w:rtl w:val="0"/>
          <w:lang w:val="en-US"/>
        </w:rPr>
        <w:t>Assessment Criteria marking descriptors.</w:t>
      </w:r>
    </w:p>
    <w:p>
      <w:pPr>
        <w:pStyle w:val="Nornal"/>
      </w:pPr>
      <w:r>
        <w:rPr>
          <w:rFonts w:cs="Arial Unicode MS" w:eastAsia="Arial Unicode MS"/>
          <w:rtl w:val="0"/>
          <w:lang w:val="en-US"/>
        </w:rPr>
        <w:t xml:space="preserve">Assessors will mark in line with the following assessment criteria (AC) marking descriptors, and will indicate where the learner sits within the marking band range </w:t>
      </w:r>
      <w:r>
        <w:rPr>
          <w:rFonts w:cs="Arial Unicode MS" w:eastAsia="Arial Unicode MS"/>
          <w:b w:val="1"/>
          <w:bCs w:val="1"/>
          <w:i w:val="1"/>
          <w:iCs w:val="1"/>
          <w:outline w:val="0"/>
          <w:color w:val="004147"/>
          <w:u w:color="004147"/>
          <w:rtl w:val="0"/>
          <w:lang w:val="en-US"/>
          <w14:textFill>
            <w14:solidFill>
              <w14:srgbClr w14:val="004147"/>
            </w14:solidFill>
          </w14:textFill>
        </w:rPr>
        <w:t>for each AC</w:t>
      </w:r>
      <w:r>
        <w:rPr>
          <w:rFonts w:cs="Arial Unicode MS" w:eastAsia="Arial Unicode MS"/>
          <w:outline w:val="0"/>
          <w:color w:val="004147"/>
          <w:u w:color="004147"/>
          <w:rtl w:val="0"/>
          <w:lang w:val="en-US"/>
          <w14:textFill>
            <w14:solidFill>
              <w14:srgbClr w14:val="004147"/>
            </w14:solidFill>
          </w14:textFill>
        </w:rPr>
        <w:t xml:space="preserve">. </w:t>
      </w:r>
    </w:p>
    <w:p>
      <w:pPr>
        <w:pStyle w:val="Nornal"/>
      </w:pPr>
      <w:r>
        <w:rPr>
          <w:rFonts w:cs="Arial Unicode MS" w:eastAsia="Arial Unicode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cs="Arial Unicode MS" w:eastAsia="Arial Unicode MS"/>
          <w:b w:val="1"/>
          <w:bCs w:val="1"/>
          <w:rtl w:val="0"/>
          <w:lang w:val="en-US"/>
        </w:rPr>
        <w:t>every</w:t>
      </w:r>
      <w:r>
        <w:rPr>
          <w:rFonts w:cs="Arial Unicode MS" w:eastAsia="Arial Unicode MS"/>
          <w:rtl w:val="0"/>
          <w:lang w:val="en-US"/>
        </w:rPr>
        <w:t xml:space="preserve"> assessment criterion, so assessors must use their discretion in making grading decisions.</w:t>
      </w:r>
    </w:p>
    <w:p>
      <w:pPr>
        <w:pStyle w:val="Nornal"/>
      </w:pPr>
      <w:r>
        <w:rPr>
          <w:rFonts w:cs="Arial Unicode MS" w:eastAsia="Arial Unicode MS"/>
          <w:rtl w:val="0"/>
          <w:lang w:val="en-US"/>
        </w:rPr>
        <w:t xml:space="preserve">The grid below shows the range for each unit assessment result based on total number of marks awarded across all assessment criteria.  </w:t>
      </w:r>
    </w:p>
    <w:p>
      <w:pPr>
        <w:pStyle w:val="Nornal"/>
        <w:rPr>
          <w:b w:val="1"/>
          <w:bCs w:val="1"/>
          <w:u w:val="single"/>
        </w:rPr>
      </w:pPr>
      <w:r>
        <w:rPr>
          <w:rFonts w:cs="Arial Unicode MS" w:eastAsia="Arial Unicode MS"/>
          <w:b w:val="1"/>
          <w:bCs w:val="1"/>
          <w:rtl w:val="0"/>
          <w:lang w:val="en-US"/>
        </w:rPr>
        <w:t xml:space="preserve">To pass the unit assessment learners must achieve a 2 (Low Pass) or above </w:t>
      </w:r>
      <w:r>
        <w:rPr>
          <w:rFonts w:cs="Arial Unicode MS" w:eastAsia="Arial Unicode MS"/>
          <w:b w:val="1"/>
          <w:bCs w:val="1"/>
          <w:u w:val="single"/>
          <w:rtl w:val="0"/>
          <w:lang w:val="en-US"/>
        </w:rPr>
        <w:t>for each of the assessment criteria.</w:t>
      </w:r>
    </w:p>
    <w:p>
      <w:pPr>
        <w:pStyle w:val="Nornal"/>
      </w:pPr>
      <w:r>
        <w:rPr>
          <w:rFonts w:cs="Arial Unicode MS" w:eastAsia="Arial Unicode MS"/>
          <w:rtl w:val="0"/>
          <w:lang w:val="en-US"/>
        </w:rPr>
        <w:t xml:space="preserve">The overall result achieved will dictate the outcome the learner receives for the unit, provided </w:t>
      </w:r>
      <w:r>
        <w:rPr>
          <w:rFonts w:cs="Arial Unicode MS" w:eastAsia="Arial Unicode MS"/>
          <w:b w:val="1"/>
          <w:bCs w:val="1"/>
          <w:rtl w:val="0"/>
          <w:lang w:val="en-US"/>
        </w:rPr>
        <w:t>NONE</w:t>
      </w:r>
      <w:r>
        <w:rPr>
          <w:rFonts w:cs="Arial Unicode MS" w:eastAsia="Arial Unicode MS"/>
          <w:rtl w:val="0"/>
          <w:lang w:val="en-US"/>
        </w:rPr>
        <w:t xml:space="preserve"> of the assessment criteria have been failed or referred. </w:t>
      </w:r>
    </w:p>
    <w:p>
      <w:pPr>
        <w:pStyle w:val="Nornal"/>
      </w:pPr>
      <w:r>
        <w:rPr>
          <w:rFonts w:cs="Arial Unicode MS" w:eastAsia="Arial Unicode MS"/>
          <w:rtl w:val="0"/>
          <w:lang w:val="en-US"/>
        </w:rPr>
        <w:t xml:space="preserve">Please note that learners will receive a </w:t>
      </w:r>
      <w:r>
        <w:rPr>
          <w:rFonts w:cs="Arial Unicode MS" w:eastAsia="Arial Unicode MS"/>
          <w:b w:val="1"/>
          <w:bCs w:val="1"/>
          <w:rtl w:val="0"/>
          <w:lang w:val="en-US"/>
        </w:rPr>
        <w:t>Pass or Fail</w:t>
      </w:r>
      <w:r>
        <w:rPr>
          <w:rFonts w:cs="Arial Unicode MS" w:eastAsia="Arial Unicode MS"/>
          <w:rtl w:val="0"/>
          <w:lang w:val="en-US"/>
        </w:rPr>
        <w:t xml:space="preserve"> result from the CIPD at unit level. </w:t>
      </w:r>
      <w:r>
        <w:rPr>
          <w:rFonts w:cs="Arial Unicode MS" w:eastAsia="Arial Unicode MS"/>
          <w:b w:val="1"/>
          <w:bCs w:val="1"/>
          <w:rtl w:val="0"/>
          <w:lang w:val="en-US"/>
        </w:rPr>
        <w:t xml:space="preserve">Referral </w:t>
      </w:r>
      <w:r>
        <w:rPr>
          <w:rFonts w:cs="Arial Unicode MS" w:eastAsia="Arial Unicode MS"/>
          <w:rtl w:val="0"/>
          <w:lang w:val="en-US"/>
        </w:rPr>
        <w:t>grades can be used internally by the centre.</w:t>
      </w:r>
    </w:p>
    <w:p>
      <w:pPr>
        <w:pStyle w:val="Body A"/>
        <w:rPr>
          <w:b w:val="1"/>
          <w:bCs w:val="1"/>
          <w:sz w:val="36"/>
          <w:szCs w:val="36"/>
        </w:rPr>
      </w:pPr>
    </w:p>
    <w:tbl>
      <w:tblPr>
        <w:tblW w:w="601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53"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Overall mark</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Unit result</w:t>
            </w:r>
          </w:p>
        </w:tc>
      </w:tr>
      <w:tr>
        <w:tblPrEx>
          <w:shd w:val="clear" w:color="auto" w:fill="cfcad0"/>
        </w:tblPrEx>
        <w:trPr>
          <w:trHeight w:val="30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0 to 21</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Fail</w:t>
            </w:r>
          </w:p>
        </w:tc>
      </w:tr>
      <w:tr>
        <w:tblPrEx>
          <w:shd w:val="clear" w:color="auto" w:fill="cfcad0"/>
        </w:tblPrEx>
        <w:trPr>
          <w:trHeight w:val="30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22 to 28</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Low Pass</w:t>
            </w:r>
          </w:p>
        </w:tc>
      </w:tr>
      <w:tr>
        <w:tblPrEx>
          <w:shd w:val="clear" w:color="auto" w:fill="cfcad0"/>
        </w:tblPrEx>
        <w:trPr>
          <w:trHeight w:val="30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29 to 35</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Pass</w:t>
            </w:r>
          </w:p>
        </w:tc>
      </w:tr>
      <w:tr>
        <w:tblPrEx>
          <w:shd w:val="clear" w:color="auto" w:fill="cfcad0"/>
        </w:tblPrEx>
        <w:trPr>
          <w:trHeight w:val="253"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36 to 44</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High Pass</w:t>
            </w:r>
          </w:p>
        </w:tc>
      </w:tr>
    </w:tbl>
    <w:p>
      <w:pPr>
        <w:pStyle w:val="Body A"/>
        <w:widowControl w:val="0"/>
        <w:spacing w:line="240" w:lineRule="auto"/>
        <w:ind w:left="108" w:hanging="108"/>
        <w:rPr>
          <w:b w:val="1"/>
          <w:bCs w:val="1"/>
          <w:sz w:val="36"/>
          <w:szCs w:val="36"/>
        </w:rPr>
      </w:pPr>
    </w:p>
    <w:p>
      <w:pPr>
        <w:pStyle w:val="Body A"/>
      </w:pPr>
      <w:r>
        <w:rPr>
          <w:rFonts w:ascii="Arial Unicode MS" w:cs="Arial Unicode MS" w:hAnsi="Arial Unicode MS" w:eastAsia="Arial Unicode MS"/>
          <w:b w:val="0"/>
          <w:bCs w:val="0"/>
          <w:i w:val="0"/>
          <w:iCs w:val="0"/>
          <w:sz w:val="36"/>
          <w:szCs w:val="36"/>
        </w:rPr>
        <w:br w:type="page"/>
      </w:r>
    </w:p>
    <w:p>
      <w:pPr>
        <w:pStyle w:val="Heading"/>
        <w:rPr>
          <w:i w:val="0"/>
          <w:iCs w:val="0"/>
          <w:outline w:val="0"/>
          <w:color w:val="243e15"/>
          <w:u w:color="243e15"/>
          <w:lang w:val="en-US"/>
          <w14:textFill>
            <w14:solidFill>
              <w14:srgbClr w14:val="243E15"/>
            </w14:solidFill>
          </w14:textFill>
        </w:rPr>
      </w:pPr>
      <w:r>
        <w:rPr>
          <w:sz w:val="40"/>
          <w:szCs w:val="40"/>
          <w:rtl w:val="0"/>
          <w:lang w:val="en-US"/>
        </w:rPr>
        <w:t>Marking Descriptors</w:t>
      </w:r>
    </w:p>
    <w:tbl>
      <w:tblPr>
        <w:tblW w:w="962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590"/>
        <w:gridCol w:w="7066"/>
      </w:tblGrid>
      <w:tr>
        <w:tblPrEx>
          <w:shd w:val="clear" w:color="auto" w:fill="520d5d"/>
        </w:tblPrEx>
        <w:trPr>
          <w:trHeight w:val="37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Mark</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b3d7db"/>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1923"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1</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Body A"/>
              <w:jc w:val="both"/>
            </w:pPr>
            <w:r>
              <w:rPr>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A"/>
              <w:spacing w:after="40"/>
              <w:rPr>
                <w:shd w:val="nil" w:color="auto" w:fill="auto"/>
              </w:rPr>
            </w:pPr>
            <w:r>
              <w:rPr>
                <w:shd w:val="nil" w:color="auto" w:fill="auto"/>
                <w:rtl w:val="0"/>
                <w:lang w:val="en-US"/>
              </w:rPr>
              <w:t>Insufficient demonstration of knowledge, understanding or skills (as appropriate) required to meet the AC.</w:t>
            </w:r>
          </w:p>
          <w:p>
            <w:pPr>
              <w:pStyle w:val="Body A"/>
              <w:bidi w:val="0"/>
              <w:spacing w:after="40"/>
              <w:ind w:left="0" w:right="0" w:firstLine="0"/>
              <w:jc w:val="left"/>
              <w:rPr>
                <w:shd w:val="nil" w:color="auto" w:fill="auto"/>
                <w:rtl w:val="0"/>
              </w:rPr>
            </w:pPr>
            <w:r>
              <w:rPr>
                <w:shd w:val="nil" w:color="auto" w:fill="auto"/>
                <w:rtl w:val="0"/>
                <w:lang w:val="en-US"/>
              </w:rPr>
              <w:t>Insufficient examples included, where required, to support answers.</w:t>
            </w:r>
          </w:p>
          <w:p>
            <w:pPr>
              <w:pStyle w:val="Body A"/>
              <w:bidi w:val="0"/>
              <w:spacing w:after="40"/>
              <w:ind w:left="0" w:right="0" w:firstLine="0"/>
              <w:jc w:val="left"/>
              <w:rPr>
                <w:shd w:val="nil" w:color="auto" w:fill="auto"/>
                <w:rtl w:val="0"/>
              </w:rPr>
            </w:pPr>
            <w:r>
              <w:rPr>
                <w:shd w:val="nil" w:color="auto" w:fill="auto"/>
                <w:rtl w:val="0"/>
                <w:lang w:val="en-US"/>
              </w:rPr>
              <w:t>Presentation and structure of assignment is not appropriate and does not meet the assessment brief.</w:t>
            </w:r>
          </w:p>
          <w:p>
            <w:pPr>
              <w:pStyle w:val="Body A"/>
              <w:bidi w:val="0"/>
              <w:spacing w:after="40"/>
              <w:ind w:left="0" w:right="0" w:firstLine="0"/>
              <w:jc w:val="left"/>
              <w:rPr>
                <w:rtl w:val="0"/>
              </w:rPr>
            </w:pPr>
            <w:r>
              <w:rPr>
                <w:shd w:val="nil" w:color="auto" w:fill="auto"/>
                <w:rtl w:val="0"/>
                <w:lang w:val="en-US"/>
              </w:rPr>
              <w:t>Insufficient or no evidence of the use of references to wider reading to help inform answer.</w:t>
            </w:r>
          </w:p>
        </w:tc>
      </w:tr>
      <w:tr>
        <w:tblPrEx>
          <w:shd w:val="clear" w:color="auto" w:fill="520d5d"/>
        </w:tblPrEx>
        <w:trPr>
          <w:trHeight w:val="2739"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cee6e8"/>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2</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cee6e8"/>
            <w:tcMar>
              <w:top w:type="dxa" w:w="80"/>
              <w:left w:type="dxa" w:w="80"/>
              <w:bottom w:type="dxa" w:w="80"/>
              <w:right w:type="dxa" w:w="80"/>
            </w:tcMar>
            <w:vAlign w:val="top"/>
          </w:tcPr>
          <w:p>
            <w:pPr>
              <w:pStyle w:val="Body A"/>
              <w:jc w:val="both"/>
            </w:pPr>
            <w:r>
              <w:rPr>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A"/>
              <w:spacing w:after="40"/>
              <w:rPr>
                <w:shd w:val="nil" w:color="auto" w:fill="auto"/>
              </w:rPr>
            </w:pPr>
            <w:r>
              <w:rPr>
                <w:shd w:val="nil" w:color="auto" w:fill="auto"/>
                <w:rtl w:val="0"/>
                <w:lang w:val="en-US"/>
              </w:rPr>
              <w:t xml:space="preserve">Demonstrates an acceptable level of knowledge, understanding or skills (as appropriate) required to meet the AC.  </w:t>
            </w:r>
          </w:p>
          <w:p>
            <w:pPr>
              <w:pStyle w:val="Body A"/>
              <w:bidi w:val="0"/>
              <w:spacing w:after="40"/>
              <w:ind w:left="0" w:right="0" w:firstLine="0"/>
              <w:jc w:val="left"/>
              <w:rPr>
                <w:shd w:val="nil" w:color="auto" w:fill="auto"/>
                <w:rtl w:val="0"/>
              </w:rPr>
            </w:pPr>
            <w:r>
              <w:rPr>
                <w:shd w:val="nil" w:color="auto" w:fill="auto"/>
                <w:rtl w:val="0"/>
                <w:lang w:val="en-US"/>
              </w:rPr>
              <w:t>Sufficient and acceptable examples included, where required, to support answers.</w:t>
            </w:r>
          </w:p>
          <w:p>
            <w:pPr>
              <w:pStyle w:val="Body A"/>
              <w:bidi w:val="0"/>
              <w:spacing w:after="40"/>
              <w:ind w:left="0" w:right="0" w:firstLine="0"/>
              <w:jc w:val="left"/>
              <w:rPr>
                <w:shd w:val="nil" w:color="auto" w:fill="auto"/>
                <w:rtl w:val="0"/>
              </w:rPr>
            </w:pPr>
            <w:r>
              <w:rPr>
                <w:shd w:val="nil" w:color="auto" w:fill="auto"/>
                <w:rtl w:val="0"/>
                <w:lang w:val="en-US"/>
              </w:rPr>
              <w:t>Required format adopted but some improvement required to the structure and presentation of the assignment.</w:t>
            </w:r>
          </w:p>
          <w:p>
            <w:pPr>
              <w:pStyle w:val="Body A"/>
              <w:bidi w:val="0"/>
              <w:spacing w:after="40"/>
              <w:ind w:left="0" w:right="0" w:firstLine="0"/>
              <w:jc w:val="left"/>
              <w:rPr>
                <w:shd w:val="nil" w:color="auto" w:fill="auto"/>
                <w:rtl w:val="0"/>
              </w:rPr>
            </w:pPr>
            <w:r>
              <w:rPr>
                <w:shd w:val="nil" w:color="auto" w:fill="auto"/>
                <w:rtl w:val="0"/>
                <w:lang w:val="en-US"/>
              </w:rPr>
              <w:t>Answers are acceptable but could be clearer in responding to the task and presented in a more coherent way.</w:t>
            </w:r>
          </w:p>
          <w:p>
            <w:pPr>
              <w:pStyle w:val="Body A"/>
              <w:bidi w:val="0"/>
              <w:spacing w:after="40"/>
              <w:ind w:left="0" w:right="0" w:firstLine="0"/>
              <w:jc w:val="left"/>
              <w:rPr>
                <w:rtl w:val="0"/>
              </w:rPr>
            </w:pPr>
            <w:r>
              <w:rPr>
                <w:shd w:val="nil" w:color="auto" w:fill="auto"/>
                <w:rtl w:val="0"/>
                <w:lang w:val="en-US"/>
              </w:rPr>
              <w:t>Sufficient evidence of the use of references to wider reading to help inform answer.</w:t>
            </w:r>
          </w:p>
        </w:tc>
      </w:tr>
      <w:tr>
        <w:tblPrEx>
          <w:shd w:val="clear" w:color="auto" w:fill="520d5d"/>
        </w:tblPrEx>
        <w:trPr>
          <w:trHeight w:val="248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3eff1"/>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3</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3eff1"/>
            <w:tcMar>
              <w:top w:type="dxa" w:w="80"/>
              <w:left w:type="dxa" w:w="80"/>
              <w:bottom w:type="dxa" w:w="80"/>
              <w:right w:type="dxa" w:w="80"/>
            </w:tcMar>
            <w:vAlign w:val="top"/>
          </w:tcPr>
          <w:p>
            <w:pPr>
              <w:pStyle w:val="Body A"/>
              <w:jc w:val="both"/>
            </w:pPr>
            <w:r>
              <w:rPr>
                <w:b w:val="1"/>
                <w:bCs w:val="1"/>
                <w:outline w:val="0"/>
                <w:color w:val="004147"/>
                <w:sz w:val="28"/>
                <w:szCs w:val="28"/>
                <w:u w:color="004147"/>
                <w:shd w:val="nil" w:color="auto" w:fill="auto"/>
                <w:rtl w:val="0"/>
                <w:lang w:val="en-US"/>
                <w14:textFill>
                  <w14:solidFill>
                    <w14:srgbClr w14:val="004147"/>
                  </w14:solidFill>
                </w14:textFill>
              </w:rPr>
              <w:t>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A"/>
              <w:spacing w:after="40"/>
              <w:rPr>
                <w:shd w:val="nil" w:color="auto" w:fill="auto"/>
              </w:rPr>
            </w:pPr>
            <w:r>
              <w:rPr>
                <w:shd w:val="nil" w:color="auto" w:fill="auto"/>
                <w:rtl w:val="0"/>
                <w:lang w:val="en-US"/>
              </w:rPr>
              <w:t>Demonstrates good knowledge, understanding or skills (as appropriate) required to meet the AC.</w:t>
            </w:r>
          </w:p>
          <w:p>
            <w:pPr>
              <w:pStyle w:val="Body A"/>
              <w:bidi w:val="0"/>
              <w:spacing w:after="40"/>
              <w:ind w:left="0" w:right="0" w:firstLine="0"/>
              <w:jc w:val="left"/>
              <w:rPr>
                <w:shd w:val="nil" w:color="auto" w:fill="auto"/>
                <w:rtl w:val="0"/>
              </w:rPr>
            </w:pPr>
            <w:r>
              <w:rPr>
                <w:shd w:val="nil" w:color="auto" w:fill="auto"/>
                <w:rtl w:val="0"/>
                <w:lang w:val="en-US"/>
              </w:rPr>
              <w:t>Includes confident use of examples, where required, to support each answer.</w:t>
            </w:r>
          </w:p>
          <w:p>
            <w:pPr>
              <w:pStyle w:val="Body A"/>
              <w:bidi w:val="0"/>
              <w:spacing w:after="40"/>
              <w:ind w:left="0" w:right="0" w:firstLine="0"/>
              <w:jc w:val="left"/>
              <w:rPr>
                <w:shd w:val="nil" w:color="auto" w:fill="auto"/>
                <w:rtl w:val="0"/>
              </w:rPr>
            </w:pPr>
            <w:r>
              <w:rPr>
                <w:shd w:val="nil" w:color="auto" w:fill="auto"/>
                <w:rtl w:val="0"/>
                <w:lang w:val="en-US"/>
              </w:rPr>
              <w:t>Presentation and structure of assignment is appropriate for the assessment brief.</w:t>
            </w:r>
          </w:p>
          <w:p>
            <w:pPr>
              <w:pStyle w:val="Body A"/>
              <w:bidi w:val="0"/>
              <w:spacing w:after="40"/>
              <w:ind w:left="0" w:right="0" w:firstLine="0"/>
              <w:jc w:val="left"/>
              <w:rPr>
                <w:shd w:val="nil" w:color="auto" w:fill="auto"/>
                <w:rtl w:val="0"/>
              </w:rPr>
            </w:pPr>
            <w:r>
              <w:rPr>
                <w:shd w:val="nil" w:color="auto" w:fill="auto"/>
                <w:rtl w:val="0"/>
                <w:lang w:val="en-US"/>
              </w:rPr>
              <w:t>Answers are clear and well expressed.</w:t>
            </w:r>
          </w:p>
          <w:p>
            <w:pPr>
              <w:pStyle w:val="Body A"/>
              <w:bidi w:val="0"/>
              <w:spacing w:after="40"/>
              <w:ind w:left="0" w:right="0" w:firstLine="0"/>
              <w:jc w:val="left"/>
              <w:rPr>
                <w:rtl w:val="0"/>
              </w:rPr>
            </w:pPr>
            <w:r>
              <w:rPr>
                <w:shd w:val="nil" w:color="auto" w:fill="auto"/>
                <w:rtl w:val="0"/>
                <w:lang w:val="en-US"/>
              </w:rPr>
              <w:t>Good evidence of the use of references to wider reading to help inform answer.</w:t>
            </w:r>
          </w:p>
        </w:tc>
      </w:tr>
      <w:tr>
        <w:tblPrEx>
          <w:shd w:val="clear" w:color="auto" w:fill="cfcad0"/>
        </w:tblPrEx>
        <w:trPr>
          <w:trHeight w:val="3296" w:hRule="atLeast"/>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ff6f7"/>
            <w:tcMar>
              <w:top w:type="dxa" w:w="80"/>
              <w:left w:type="dxa" w:w="80"/>
              <w:bottom w:type="dxa" w:w="80"/>
              <w:right w:type="dxa" w:w="80"/>
            </w:tcMar>
            <w:vAlign w:val="top"/>
          </w:tcPr>
          <w:p>
            <w:pPr>
              <w:pStyle w:val="Body A"/>
              <w:jc w:val="both"/>
            </w:pPr>
            <w:r>
              <w:rPr>
                <w:b w:val="1"/>
                <w:bCs w:val="1"/>
                <w:outline w:val="0"/>
                <w:color w:val="004147"/>
                <w:sz w:val="32"/>
                <w:szCs w:val="32"/>
                <w:u w:color="004147"/>
                <w:shd w:val="nil" w:color="auto" w:fill="auto"/>
                <w:rtl w:val="0"/>
                <w:lang w:val="en-US"/>
                <w14:textFill>
                  <w14:solidFill>
                    <w14:srgbClr w14:val="004147"/>
                  </w14:solidFill>
                </w14:textFill>
              </w:rPr>
              <w:t>4</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ff6f7"/>
            <w:tcMar>
              <w:top w:type="dxa" w:w="80"/>
              <w:left w:type="dxa" w:w="80"/>
              <w:bottom w:type="dxa" w:w="80"/>
              <w:right w:type="dxa" w:w="80"/>
            </w:tcMar>
            <w:vAlign w:val="top"/>
          </w:tcPr>
          <w:p>
            <w:pPr>
              <w:pStyle w:val="Body A"/>
              <w:jc w:val="both"/>
            </w:pPr>
            <w:r>
              <w:rPr>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A"/>
              <w:spacing w:after="40"/>
              <w:rPr>
                <w:shd w:val="nil" w:color="auto" w:fill="auto"/>
              </w:rPr>
            </w:pPr>
            <w:r>
              <w:rPr>
                <w:shd w:val="nil" w:color="auto" w:fill="auto"/>
                <w:rtl w:val="0"/>
                <w:lang w:val="en-US"/>
              </w:rPr>
              <w:t>Demonstrates a wide range and confident level of knowledge, understanding or skill (as appropriate).</w:t>
            </w:r>
          </w:p>
          <w:p>
            <w:pPr>
              <w:pStyle w:val="Body A"/>
              <w:bidi w:val="0"/>
              <w:spacing w:after="40"/>
              <w:ind w:left="0" w:right="0" w:firstLine="0"/>
              <w:jc w:val="left"/>
              <w:rPr>
                <w:shd w:val="nil" w:color="auto" w:fill="auto"/>
                <w:rtl w:val="0"/>
              </w:rPr>
            </w:pPr>
            <w:r>
              <w:rPr>
                <w:shd w:val="nil" w:color="auto" w:fill="auto"/>
                <w:rtl w:val="0"/>
                <w:lang w:val="en-US"/>
              </w:rPr>
              <w:t>Includes strong examples that illustrate the point being made, that link and support the answer well.</w:t>
            </w:r>
          </w:p>
          <w:p>
            <w:pPr>
              <w:pStyle w:val="Body A"/>
              <w:bidi w:val="0"/>
              <w:spacing w:after="40"/>
              <w:ind w:left="0" w:right="0" w:firstLine="0"/>
              <w:jc w:val="left"/>
              <w:rPr>
                <w:shd w:val="nil" w:color="auto" w:fill="auto"/>
                <w:rtl w:val="0"/>
              </w:rPr>
            </w:pPr>
            <w:r>
              <w:rPr>
                <w:shd w:val="nil" w:color="auto" w:fill="auto"/>
                <w:rtl w:val="0"/>
                <w:lang w:val="en-US"/>
              </w:rPr>
              <w:t>Answers are applied to the case organisation or an alternative organisation.</w:t>
            </w:r>
          </w:p>
          <w:p>
            <w:pPr>
              <w:pStyle w:val="Body A"/>
              <w:bidi w:val="0"/>
              <w:spacing w:after="40"/>
              <w:ind w:left="0" w:right="0" w:firstLine="0"/>
              <w:jc w:val="left"/>
              <w:rPr>
                <w:shd w:val="nil" w:color="auto" w:fill="auto"/>
                <w:rtl w:val="0"/>
              </w:rPr>
            </w:pPr>
            <w:r>
              <w:rPr>
                <w:shd w:val="nil" w:color="auto" w:fill="auto"/>
                <w:rtl w:val="0"/>
                <w:lang w:val="en-US"/>
              </w:rPr>
              <w:t>Answers are clear, concise and well argued, directly respond to what has been asked.</w:t>
            </w:r>
          </w:p>
          <w:p>
            <w:pPr>
              <w:pStyle w:val="Body A"/>
              <w:bidi w:val="0"/>
              <w:spacing w:after="40"/>
              <w:ind w:left="0" w:right="0" w:firstLine="0"/>
              <w:jc w:val="left"/>
              <w:rPr>
                <w:shd w:val="nil" w:color="auto" w:fill="auto"/>
                <w:rtl w:val="0"/>
              </w:rPr>
            </w:pPr>
            <w:r>
              <w:rPr>
                <w:shd w:val="nil" w:color="auto" w:fill="auto"/>
                <w:rtl w:val="0"/>
                <w:lang w:val="en-US"/>
              </w:rPr>
              <w:t>The presentation of the assignment is well structured, coherent and focusses on the need of the questions.</w:t>
            </w:r>
          </w:p>
          <w:p>
            <w:pPr>
              <w:pStyle w:val="Body A"/>
              <w:bidi w:val="0"/>
              <w:spacing w:after="40"/>
              <w:ind w:left="0" w:right="0" w:firstLine="0"/>
              <w:jc w:val="left"/>
              <w:rPr>
                <w:rtl w:val="0"/>
              </w:rPr>
            </w:pPr>
            <w:r>
              <w:rPr>
                <w:shd w:val="nil" w:color="auto" w:fill="auto"/>
                <w:rtl w:val="0"/>
                <w:lang w:val="en-US"/>
              </w:rPr>
              <w:t xml:space="preserve">Considerable evidence of the use of references to wider reading to inform answer. </w:t>
            </w:r>
          </w:p>
        </w:tc>
      </w:tr>
    </w:tbl>
    <w:p>
      <w:pPr>
        <w:pStyle w:val="Heading"/>
        <w:widowControl w:val="0"/>
        <w:spacing w:line="240" w:lineRule="auto"/>
        <w:ind w:left="108" w:hanging="108"/>
        <w:rPr>
          <w:i w:val="0"/>
          <w:iCs w:val="0"/>
          <w:outline w:val="0"/>
          <w:color w:val="243e15"/>
          <w:u w:color="243e15"/>
          <w:lang w:val="en-US"/>
          <w14:textFill>
            <w14:solidFill>
              <w14:srgbClr w14:val="243E15"/>
            </w14:solidFill>
          </w14:textFill>
        </w:rPr>
      </w:pPr>
    </w:p>
    <w:p>
      <w:pPr>
        <w:pStyle w:val="Body A"/>
        <w:spacing w:line="240" w:lineRule="auto"/>
      </w:pPr>
    </w:p>
    <w:p>
      <w:pPr>
        <w:pStyle w:val="Body A"/>
      </w:pPr>
    </w:p>
    <w:p>
      <w:pPr>
        <w:pStyle w:val="Body A"/>
        <w:spacing w:line="240" w:lineRule="auto"/>
      </w:pPr>
      <w:r>
        <w:rPr>
          <w:rFonts w:ascii="Arial Unicode MS" w:cs="Arial Unicode MS" w:hAnsi="Arial Unicode MS" w:eastAsia="Arial Unicode MS"/>
          <w:b w:val="0"/>
          <w:bCs w:val="0"/>
          <w:i w:val="0"/>
          <w:iCs w:val="0"/>
        </w:rPr>
        <w:br w:type="page"/>
      </w:r>
    </w:p>
    <w:p>
      <w:pPr>
        <w:pStyle w:val="Body A"/>
      </w:pPr>
    </w:p>
    <w:p>
      <w:pPr>
        <w:pStyle w:val="Heading"/>
        <w:rPr>
          <w:sz w:val="40"/>
          <w:szCs w:val="40"/>
          <w:lang w:val="en-US"/>
        </w:rPr>
      </w:pPr>
      <w:r>
        <w:rPr>
          <w:sz w:val="40"/>
          <w:szCs w:val="40"/>
          <w:rtl w:val="0"/>
          <w:lang w:val="en-US"/>
        </w:rPr>
        <w:t>Marking grid and feedback for learner</w:t>
      </w:r>
    </w:p>
    <w:tbl>
      <w:tblPr>
        <w:tblW w:w="980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4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sz w:val="32"/>
                <w:szCs w:val="32"/>
                <w:u w:color="004147"/>
                <w:shd w:val="nil" w:color="auto" w:fill="auto"/>
                <w:rtl w:val="0"/>
                <w:lang w:val="en-US"/>
                <w14:textFill>
                  <w14:solidFill>
                    <w14:srgbClr w14:val="004147"/>
                  </w14:solidFill>
                </w14:textFill>
              </w:rPr>
              <w:t>Unit 5OS01: Assessor Feedback to Learner</w:t>
            </w:r>
          </w:p>
        </w:tc>
      </w:tr>
      <w:tr>
        <w:tblPrEx>
          <w:shd w:val="clear" w:color="auto" w:fill="cfcad0"/>
        </w:tblPrEx>
        <w:trPr>
          <w:trHeight w:val="25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Centre number</w:t>
            </w:r>
          </w:p>
        </w:tc>
        <w:tc>
          <w:tcPr>
            <w:tcW w:type="dxa" w:w="6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i w:val="1"/>
                <w:iCs w:val="1"/>
                <w:outline w:val="0"/>
                <w:color w:val="004147"/>
                <w:sz w:val="22"/>
                <w:szCs w:val="22"/>
                <w:u w:color="004147"/>
                <w:shd w:val="nil" w:color="auto" w:fill="auto"/>
                <w:rtl w:val="0"/>
                <w:lang w:val="en-US"/>
                <w14:textOutline w14:w="12700" w14:cap="flat">
                  <w14:noFill/>
                  <w14:miter w14:lim="400000"/>
                </w14:textOutline>
                <w14:textFill>
                  <w14:solidFill>
                    <w14:srgbClr w14:val="004147"/>
                  </w14:solidFill>
                </w14:textFill>
              </w:rPr>
              <w:t>669</w:t>
            </w:r>
          </w:p>
        </w:tc>
      </w:tr>
      <w:tr>
        <w:tblPrEx>
          <w:shd w:val="clear" w:color="auto" w:fill="cfcad0"/>
        </w:tblPrEx>
        <w:trPr>
          <w:trHeight w:val="25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Centre name</w:t>
            </w:r>
          </w:p>
        </w:tc>
        <w:tc>
          <w:tcPr>
            <w:tcW w:type="dxa" w:w="6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outline w:val="0"/>
                <w:color w:val="004147"/>
                <w:sz w:val="22"/>
                <w:szCs w:val="22"/>
                <w:u w:color="004147"/>
                <w:shd w:val="nil" w:color="auto" w:fill="auto"/>
                <w:rtl w:val="0"/>
                <w:lang w:val="en-US"/>
                <w14:textOutline w14:w="12700" w14:cap="flat">
                  <w14:noFill/>
                  <w14:miter w14:lim="400000"/>
                </w14:textOutline>
                <w14:textFill>
                  <w14:solidFill>
                    <w14:srgbClr w14:val="004147"/>
                  </w14:solidFill>
                </w14:textFill>
              </w:rPr>
              <w:t>University of Wales Trinity St David</w:t>
            </w:r>
          </w:p>
        </w:tc>
      </w:tr>
      <w:tr>
        <w:tblPrEx>
          <w:shd w:val="clear" w:color="auto" w:fill="cfcad0"/>
        </w:tblPrEx>
        <w:trPr>
          <w:trHeight w:val="51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outline w:val="0"/>
                <w:color w:val="004147"/>
                <w:sz w:val="22"/>
                <w:szCs w:val="22"/>
                <w:u w:color="004147"/>
                <w:shd w:val="nil" w:color="auto" w:fill="auto"/>
                <w:rtl w:val="0"/>
                <w:lang w:val="en-US"/>
                <w14:textOutline w14:w="12700" w14:cap="flat">
                  <w14:noFill/>
                  <w14:miter w14:lim="400000"/>
                </w14:textOutline>
                <w14:textFill>
                  <w14:solidFill>
                    <w14:srgbClr w14:val="004147"/>
                  </w14:solidFill>
                </w14:textFill>
              </w:rPr>
              <w:t>8655544</w:t>
            </w:r>
          </w:p>
        </w:tc>
      </w:tr>
      <w:tr>
        <w:tblPrEx>
          <w:shd w:val="clear" w:color="auto" w:fill="cfcad0"/>
        </w:tblPrEx>
        <w:trPr>
          <w:trHeight w:val="25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Learner surname</w:t>
            </w:r>
          </w:p>
        </w:tc>
        <w:tc>
          <w:tcPr>
            <w:tcW w:type="dxa" w:w="6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i w:val="1"/>
                <w:iCs w:val="1"/>
                <w:outline w:val="0"/>
                <w:color w:val="004147"/>
                <w:sz w:val="22"/>
                <w:szCs w:val="22"/>
                <w:u w:color="004147"/>
                <w:shd w:val="nil" w:color="auto" w:fill="auto"/>
                <w:rtl w:val="0"/>
                <w:lang w:val="en-US"/>
                <w14:textOutline w14:w="12700" w14:cap="flat">
                  <w14:noFill/>
                  <w14:miter w14:lim="400000"/>
                </w14:textOutline>
                <w14:textFill>
                  <w14:solidFill>
                    <w14:srgbClr w14:val="004147"/>
                  </w14:solidFill>
                </w14:textFill>
              </w:rPr>
              <w:t>Carrie Wedlake</w:t>
            </w:r>
          </w:p>
        </w:tc>
      </w:tr>
      <w:tr>
        <w:tblPrEx>
          <w:shd w:val="clear" w:color="auto" w:fill="cfcad0"/>
        </w:tblPrEx>
        <w:trPr>
          <w:trHeight w:val="25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Learner other names</w:t>
            </w:r>
          </w:p>
        </w:tc>
        <w:tc>
          <w:tcPr>
            <w:tcW w:type="dxa" w:w="6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i w:val="1"/>
                <w:iCs w:val="1"/>
                <w:outline w:val="0"/>
                <w:color w:val="004147"/>
                <w:sz w:val="22"/>
                <w:szCs w:val="22"/>
                <w:u w:color="004147"/>
                <w:shd w:val="nil" w:color="auto" w:fill="auto"/>
                <w:rtl w:val="0"/>
                <w:lang w:val="en-US"/>
                <w14:textOutline w14:w="12700" w14:cap="flat">
                  <w14:noFill/>
                  <w14:miter w14:lim="400000"/>
                </w14:textOutline>
                <w14:textFill>
                  <w14:solidFill>
                    <w14:srgbClr w14:val="004147"/>
                  </w14:solidFill>
                </w14:textFill>
              </w:rPr>
              <w:t>Rebecca</w:t>
            </w:r>
          </w:p>
        </w:tc>
      </w:tr>
    </w:tbl>
    <w:p>
      <w:pPr>
        <w:pStyle w:val="Heading"/>
        <w:widowControl w:val="0"/>
        <w:spacing w:line="240" w:lineRule="auto"/>
        <w:ind w:left="108" w:hanging="108"/>
        <w:rPr>
          <w:sz w:val="40"/>
          <w:szCs w:val="40"/>
          <w:lang w:val="en-US"/>
        </w:rPr>
      </w:pPr>
    </w:p>
    <w:p>
      <w:pPr>
        <w:pStyle w:val="Heading"/>
        <w:widowControl w:val="0"/>
        <w:spacing w:line="240" w:lineRule="auto"/>
        <w:rPr>
          <w:sz w:val="40"/>
          <w:szCs w:val="40"/>
        </w:rPr>
      </w:pPr>
    </w:p>
    <w:p>
      <w:pPr>
        <w:pStyle w:val="Body A"/>
      </w:pPr>
    </w:p>
    <w:p>
      <w:pPr>
        <w:pStyle w:val="Body A"/>
      </w:pPr>
    </w:p>
    <w:p>
      <w:pPr>
        <w:pStyle w:val="Body A"/>
      </w:pPr>
    </w:p>
    <w:tbl>
      <w:tblPr>
        <w:tblW w:w="980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1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TASK 1</w:t>
            </w:r>
          </w:p>
        </w:tc>
      </w:tr>
      <w:tr>
        <w:tblPrEx>
          <w:shd w:val="clear" w:color="auto" w:fill="cfcad0"/>
        </w:tblPrEx>
        <w:trPr>
          <w:trHeight w:val="51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AC Number</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Mark </w:t>
            </w:r>
          </w:p>
          <w:p>
            <w:pPr>
              <w:pStyle w:val="Body A"/>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30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1.1</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Evaluate the aims and objectives of employment regulation</w:t>
            </w:r>
            <w:r>
              <w:rPr>
                <w:outline w:val="0"/>
                <w:color w:val="004147"/>
                <w:u w:color="004147"/>
                <w:shd w:val="clear" w:color="auto" w:fill="c0c0c0"/>
                <w:rtl w:val="0"/>
                <w:lang w:val="en-US"/>
                <w14:textFill>
                  <w14:solidFill>
                    <w14:srgbClr w14:val="004147"/>
                  </w14:solidFill>
                </w14:textFill>
              </w:rPr>
              <w:t xml:space="preserve">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1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1.2</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Examine the role played by the tribunal and courts system in enforcing employment law.</w:t>
            </w:r>
            <w:r>
              <w:rPr>
                <w:b w:val="1"/>
                <w:bCs w:val="1"/>
                <w:outline w:val="0"/>
                <w:color w:val="004147"/>
                <w:u w:color="004147"/>
                <w:shd w:val="nil" w:color="auto" w:fill="auto"/>
                <w:rtl w:val="0"/>
                <w:lang w:val="en-US"/>
                <w14:textFill>
                  <w14:solidFill>
                    <w14:srgbClr w14:val="004147"/>
                  </w14:solidFill>
                </w14:textFill>
              </w:rPr>
              <w:t xml:space="preserve">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1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1.3</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Explain how cases are settled before and during formal legal procedures.</w:t>
            </w:r>
            <w:r>
              <w:rPr>
                <w:b w:val="1"/>
                <w:bCs w:val="1"/>
                <w:outline w:val="0"/>
                <w:color w:val="004147"/>
                <w:u w:color="004147"/>
                <w:shd w:val="nil" w:color="auto" w:fill="auto"/>
                <w:rtl w:val="0"/>
                <w:lang w:val="en-US"/>
                <w14:textFill>
                  <w14:solidFill>
                    <w14:srgbClr w14:val="004147"/>
                  </w14:solidFill>
                </w14:textFill>
              </w:rPr>
              <w:t xml:space="preserve">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3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2.1</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Evaluate the principles of discrimination law in recruitment, selection and employment.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30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2.2</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Discuss the legal requirements of equal pay</w:t>
            </w:r>
            <w:r>
              <w:rPr>
                <w:outline w:val="0"/>
                <w:color w:val="004147"/>
                <w:u w:color="004147"/>
                <w:shd w:val="clear" w:color="auto" w:fill="c0c0c0"/>
                <w:rtl w:val="0"/>
                <w:lang w:val="en-US"/>
                <w14:textFill>
                  <w14:solidFill>
                    <w14:srgbClr w14:val="004147"/>
                  </w14:solidFill>
                </w14:textFill>
              </w:rPr>
              <w:t xml:space="preserve">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30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3.1</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Discuss the legal implications of managing change.</w:t>
            </w:r>
            <w:r>
              <w:rPr>
                <w:b w:val="1"/>
                <w:bCs w:val="1"/>
                <w:outline w:val="0"/>
                <w:color w:val="004147"/>
                <w:u w:color="004147"/>
                <w:shd w:val="nil" w:color="auto" w:fill="auto"/>
                <w:rtl w:val="0"/>
                <w:lang w:val="en-US"/>
                <w14:textFill>
                  <w14:solidFill>
                    <w14:srgbClr w14:val="004147"/>
                  </w14:solidFill>
                </w14:textFill>
              </w:rPr>
              <w:t xml:space="preserve">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1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3.2</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Explain the legal requirements relating to transfers of undertakings.</w:t>
            </w:r>
            <w:r>
              <w:rPr>
                <w:outline w:val="0"/>
                <w:color w:val="004147"/>
                <w:u w:color="004147"/>
                <w:shd w:val="clear" w:color="auto" w:fill="c0c0c0"/>
                <w:rtl w:val="0"/>
                <w:lang w:val="en-US"/>
                <w14:textFill>
                  <w14:solidFill>
                    <w14:srgbClr w14:val="004147"/>
                  </w14:solidFill>
                </w14:textFill>
              </w:rPr>
              <w:t xml:space="preserve">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30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4.1</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Explain the major statutory rights workers have in relation to pay</w:t>
            </w:r>
            <w:r>
              <w:rPr>
                <w:outline w:val="0"/>
                <w:color w:val="004147"/>
                <w:u w:color="004147"/>
                <w:shd w:val="clear" w:color="auto" w:fill="c0c0c0"/>
                <w:rtl w:val="0"/>
                <w:lang w:val="en-US"/>
                <w14:textFill>
                  <w14:solidFill>
                    <w14:srgbClr w14:val="004147"/>
                  </w14:solidFill>
                </w14:textFill>
              </w:rPr>
              <w:t>.</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30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4.2</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Explain the major statutory rights in leave and working time.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1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4.3</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Explain the main principles of maternity, paternity and adoption rights in the context of employment rights.</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30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outline w:val="0"/>
                <w:color w:val="004147"/>
                <w:u w:color="004147"/>
                <w:shd w:val="nil" w:color="auto" w:fill="auto"/>
                <w:rtl w:val="0"/>
                <w:lang w:val="en-US"/>
                <w14:textFill>
                  <w14:solidFill>
                    <w14:srgbClr w14:val="004147"/>
                  </w14:solidFill>
                </w14:textFill>
              </w:rPr>
              <w:t>4.4</w:t>
            </w: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shd w:val="nil" w:color="auto" w:fill="auto"/>
                <w:rtl w:val="0"/>
                <w:lang w:val="en-US"/>
              </w:rPr>
              <w:t>Explain other employment rights relating to flexible working.</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7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102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 xml:space="preserve">Total marks for TASK </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2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Total marks for TASK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2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Total marks for TASK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total marks here</w:t>
            </w:r>
          </w:p>
        </w:tc>
      </w:tr>
    </w:tbl>
    <w:p>
      <w:pPr>
        <w:pStyle w:val="Body A"/>
        <w:widowControl w:val="0"/>
        <w:spacing w:line="240" w:lineRule="auto"/>
        <w:ind w:left="108" w:hanging="108"/>
      </w:pPr>
    </w:p>
    <w:p>
      <w:pPr>
        <w:pStyle w:val="Body A"/>
        <w:widowControl w:val="0"/>
        <w:spacing w:line="240" w:lineRule="auto"/>
      </w:pPr>
    </w:p>
    <w:p>
      <w:pPr>
        <w:pStyle w:val="Body A"/>
      </w:pPr>
    </w:p>
    <w:p>
      <w:pPr>
        <w:pStyle w:val="Body A"/>
      </w:pPr>
    </w:p>
    <w:p>
      <w:pPr>
        <w:pStyle w:val="Body A"/>
      </w:pPr>
    </w:p>
    <w:tbl>
      <w:tblPr>
        <w:tblW w:w="980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769"/>
        <w:gridCol w:w="924"/>
        <w:gridCol w:w="1848"/>
        <w:gridCol w:w="3016"/>
        <w:gridCol w:w="1245"/>
      </w:tblGrid>
      <w:tr>
        <w:tblPrEx>
          <w:shd w:val="clear" w:color="auto" w:fill="cfcad0"/>
        </w:tblPrEx>
        <w:trPr>
          <w:trHeight w:val="77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Total marks for UNIT</w:t>
            </w:r>
          </w:p>
        </w:tc>
        <w:tc>
          <w:tcPr>
            <w:tcW w:type="dxa" w:w="1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jc w:val="right"/>
            </w:pPr>
            <w:r>
              <w:rPr>
                <w:b w:val="1"/>
                <w:bCs w:val="1"/>
                <w:outline w:val="0"/>
                <w:color w:val="004147"/>
                <w:u w:color="004147"/>
                <w:shd w:val="nil" w:color="auto" w:fill="auto"/>
                <w:rtl w:val="0"/>
                <w:lang w:val="en-US"/>
                <w14:textFill>
                  <w14:solidFill>
                    <w14:srgbClr w14:val="004147"/>
                  </w14:solidFill>
                </w14:textFill>
              </w:rPr>
              <w:t>Grade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77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Total marks for UNIT (resubmission 1 if applicable)</w:t>
            </w:r>
          </w:p>
        </w:tc>
        <w:tc>
          <w:tcPr>
            <w:tcW w:type="dxa" w:w="1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jc w:val="right"/>
            </w:pPr>
            <w:r>
              <w:rPr>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77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tabs>
                <w:tab w:val="left" w:pos="2317"/>
                <w:tab w:val="right" w:pos="7656"/>
              </w:tabs>
            </w:pPr>
            <w:r>
              <w:rPr>
                <w:b w:val="1"/>
                <w:bCs w:val="1"/>
                <w:outline w:val="0"/>
                <w:color w:val="004147"/>
                <w:u w:color="004147"/>
                <w:shd w:val="nil" w:color="auto" w:fill="auto"/>
                <w:rtl w:val="0"/>
                <w:lang w:val="en-US"/>
                <w14:textFill>
                  <w14:solidFill>
                    <w14:srgbClr w14:val="004147"/>
                  </w14:solidFill>
                </w14:textFill>
              </w:rPr>
              <w:t>Total marks for UNIT (resubmission 2 if applicable)</w:t>
            </w:r>
          </w:p>
        </w:tc>
        <w:tc>
          <w:tcPr>
            <w:tcW w:type="dxa" w:w="1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jc w:val="right"/>
            </w:pPr>
            <w:r>
              <w:rPr>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2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1545" w:hRule="atLeast"/>
        </w:trPr>
        <w:tc>
          <w:tcPr>
            <w:tcW w:type="dxa" w:w="980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Assessor Feedback Summary</w:t>
            </w:r>
          </w:p>
          <w:p>
            <w:pPr>
              <w:pStyle w:val="Body A"/>
              <w:rPr>
                <w:b w:val="1"/>
                <w:bCs w:val="1"/>
                <w:outline w:val="0"/>
                <w:color w:val="004147"/>
                <w:u w:color="004147"/>
                <w:shd w:val="nil" w:color="auto" w:fill="auto"/>
                <w:lang w:val="en-US"/>
                <w14:textFill>
                  <w14:solidFill>
                    <w14:srgbClr w14:val="004147"/>
                  </w14:solidFill>
                </w14:textFill>
              </w:rPr>
            </w:pPr>
          </w:p>
          <w:p>
            <w:pPr>
              <w:pStyle w:val="Body A"/>
              <w:bidi w:val="0"/>
              <w:ind w:left="0" w:right="0" w:firstLine="0"/>
              <w:jc w:val="left"/>
              <w:rPr>
                <w:rtl w:val="0"/>
              </w:rPr>
            </w:pPr>
            <w:r>
              <w:rPr>
                <w:i w:val="1"/>
                <w:iCs w:val="1"/>
                <w:outline w:val="0"/>
                <w:color w:val="004147"/>
                <w:u w:color="004147"/>
                <w:shd w:val="clear" w:color="auto" w:fill="c0c0c0"/>
                <w:rtl w:val="0"/>
                <w:lang w:val="en-US"/>
                <w14:textFill>
                  <w14:solidFill>
                    <w14:srgbClr w14:val="004147"/>
                  </w14:solidFill>
                </w14:textFill>
              </w:rPr>
              <w:t xml:space="preserve">Please enter your summary and developmental points for the learner here. Please use a different </w:t>
            </w:r>
            <w:r>
              <w:rPr>
                <w:i w:val="1"/>
                <w:iCs w:val="1"/>
                <w:outline w:val="0"/>
                <w:color w:val="ff0000"/>
                <w:u w:color="ff0000"/>
                <w:shd w:val="clear" w:color="auto" w:fill="c0c0c0"/>
                <w:rtl w:val="0"/>
                <w:lang w:val="en-US"/>
                <w14:textFill>
                  <w14:solidFill>
                    <w14:srgbClr w14:val="FF0000"/>
                  </w14:solidFill>
                </w14:textFill>
              </w:rPr>
              <w:t xml:space="preserve">font colour </w:t>
            </w:r>
            <w:r>
              <w:rPr>
                <w:i w:val="1"/>
                <w:iCs w:val="1"/>
                <w:outline w:val="0"/>
                <w:color w:val="004147"/>
                <w:u w:color="004147"/>
                <w:shd w:val="clear" w:color="auto" w:fill="c0c0c0"/>
                <w:rtl w:val="0"/>
                <w:lang w:val="en-US"/>
                <w14:textFill>
                  <w14:solidFill>
                    <w14:srgbClr w14:val="004147"/>
                  </w14:solidFill>
                </w14:textFill>
              </w:rPr>
              <w:t xml:space="preserve">for any resubmission comments. </w:t>
            </w:r>
            <w:r>
              <w:rPr>
                <w:i w:val="1"/>
                <w:iCs w:val="1"/>
                <w:outline w:val="0"/>
                <w:color w:val="004147"/>
                <w:u w:color="004147"/>
                <w:shd w:val="clear" w:color="auto" w:fill="c0c0c0"/>
                <w14:textFill>
                  <w14:solidFill>
                    <w14:srgbClr w14:val="004147"/>
                  </w14:solidFill>
                </w14:textFill>
              </w:rPr>
            </w:r>
          </w:p>
        </w:tc>
      </w:tr>
      <w:tr>
        <w:tblPrEx>
          <w:shd w:val="clear" w:color="auto" w:fill="cfcad0"/>
        </w:tblPrEx>
        <w:trPr>
          <w:trHeight w:val="51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Assessor signature</w:t>
            </w:r>
          </w:p>
        </w:tc>
        <w:tc>
          <w:tcPr>
            <w:tcW w:type="dxa" w:w="703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your Assessor signature here</w:t>
            </w:r>
          </w:p>
        </w:tc>
      </w:tr>
      <w:tr>
        <w:tblPrEx>
          <w:shd w:val="clear" w:color="auto" w:fill="cfcad0"/>
        </w:tblPrEx>
        <w:trPr>
          <w:trHeight w:val="51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A"/>
            </w:pPr>
            <w:r>
              <w:rPr>
                <w:b w:val="1"/>
                <w:bCs w:val="1"/>
                <w:outline w:val="0"/>
                <w:color w:val="004147"/>
                <w:u w:color="004147"/>
                <w:shd w:val="nil" w:color="auto" w:fill="auto"/>
                <w:rtl w:val="0"/>
                <w:lang w:val="en-US"/>
                <w14:textFill>
                  <w14:solidFill>
                    <w14:srgbClr w14:val="004147"/>
                  </w14:solidFill>
                </w14:textFill>
              </w:rPr>
              <w:t>Date</w:t>
            </w:r>
          </w:p>
        </w:tc>
        <w:tc>
          <w:tcPr>
            <w:tcW w:type="dxa" w:w="703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i w:val="1"/>
                <w:iCs w:val="1"/>
                <w:outline w:val="0"/>
                <w:color w:val="004147"/>
                <w:u w:color="004147"/>
                <w:shd w:val="clear" w:color="auto" w:fill="c0c0c0"/>
                <w:rtl w:val="0"/>
                <w:lang w:val="en-US"/>
                <w14:textFill>
                  <w14:solidFill>
                    <w14:srgbClr w14:val="004147"/>
                  </w14:solidFill>
                </w14:textFill>
              </w:rPr>
              <w:t>Please enter date here</w:t>
            </w:r>
          </w:p>
        </w:tc>
      </w:tr>
    </w:tbl>
    <w:p>
      <w:pPr>
        <w:pStyle w:val="Body A"/>
        <w:widowControl w:val="0"/>
        <w:spacing w:line="240" w:lineRule="auto"/>
        <w:ind w:left="108" w:hanging="108"/>
      </w:pPr>
    </w:p>
    <w:p>
      <w:pPr>
        <w:pStyle w:val="Body A"/>
        <w:widowControl w:val="0"/>
        <w:spacing w:line="240" w:lineRule="auto"/>
      </w:pPr>
    </w:p>
    <w:p>
      <w:pPr>
        <w:pStyle w:val="Body A"/>
      </w:pPr>
    </w:p>
    <w:p>
      <w:pPr>
        <w:pStyle w:val="Body A"/>
      </w:pPr>
    </w:p>
    <w:p>
      <w:pPr>
        <w:pStyle w:val="Body A"/>
        <w:tabs>
          <w:tab w:val="left" w:pos="5425"/>
        </w:tabs>
      </w:pPr>
      <w:r>
        <w:tab/>
      </w:r>
    </w:p>
    <w:sectPr>
      <w:headerReference w:type="default" r:id="rId11"/>
      <w:footerReference w:type="default" r:id="rId12"/>
      <w:pgSz w:w="11900" w:h="16840" w:orient="portrait"/>
      <w:pgMar w:top="1077" w:right="964" w:bottom="1077" w:left="1134" w:header="624"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Segoe U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tab/>
      <w:t>Version 1 - January 2023</w:t>
      <w:tab/>
    </w:r>
    <w:r>
      <w:rPr/>
      <w:fldChar w:fldCharType="begin" w:fldLock="0"/>
    </w:r>
    <w:r>
      <w:instrText xml:space="preserve"> PAGE </w:instrText>
    </w:r>
    <w:r>
      <w:rPr/>
      <w:fldChar w:fldCharType="separate" w:fldLock="0"/>
    </w:r>
    <w:r>
      <w:rPr/>
      <w:fldChar w:fldCharType="end" w:fldLock="0"/>
    </w:r>
  </w:p>
  <w:p>
    <w:pPr>
      <w:pStyle w:val="footer"/>
    </w:pP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b w:val="1"/>
        <w:bCs w:val="1"/>
        <w:sz w:val="24"/>
        <w:szCs w:val="24"/>
        <w:rtl w:val="0"/>
        <w:lang w:val="en-US"/>
      </w:rPr>
      <w:t>Version 1 - January 2023, the last moderation window for results for this assessment brief is January 2025</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4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
      <w:lvlJc w:val="left"/>
      <w:pPr>
        <w:ind w:left="1415" w:hanging="335"/>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4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6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
      <w:lvlJc w:val="left"/>
      <w:pPr>
        <w:ind w:left="3575" w:hanging="335"/>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0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2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
      <w:lvlJc w:val="left"/>
      <w:pPr>
        <w:ind w:left="5735" w:hanging="335"/>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6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numStyleLink w:val="Imported Style 4"/>
  </w:abstractNum>
  <w:abstractNum w:abstractNumId="6">
    <w:multiLevelType w:val="hybridMultilevel"/>
    <w:styleLink w:val="Imported Style 4"/>
    <w:lvl w:ilvl="0">
      <w:start w:val="1"/>
      <w:numFmt w:val="bullet"/>
      <w:suff w:val="tab"/>
      <w:lvlText w:val="▪"/>
      <w:lvlJc w:val="left"/>
      <w:pPr>
        <w:ind w:left="70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1">
      <w:start w:val="1"/>
      <w:numFmt w:val="bullet"/>
      <w:suff w:val="tab"/>
      <w:lvlText w:val="□"/>
      <w:lvlJc w:val="left"/>
      <w:pPr>
        <w:ind w:left="142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2">
      <w:start w:val="1"/>
      <w:numFmt w:val="bullet"/>
      <w:suff w:val="tab"/>
      <w:lvlText w:val="▪"/>
      <w:lvlJc w:val="left"/>
      <w:pPr>
        <w:ind w:left="214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3">
      <w:start w:val="1"/>
      <w:numFmt w:val="bullet"/>
      <w:suff w:val="tab"/>
      <w:lvlText w:val="•"/>
      <w:lvlJc w:val="left"/>
      <w:pPr>
        <w:ind w:left="286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4">
      <w:start w:val="1"/>
      <w:numFmt w:val="bullet"/>
      <w:suff w:val="tab"/>
      <w:lvlText w:val="□"/>
      <w:lvlJc w:val="left"/>
      <w:pPr>
        <w:ind w:left="358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5">
      <w:start w:val="1"/>
      <w:numFmt w:val="bullet"/>
      <w:suff w:val="tab"/>
      <w:lvlText w:val="▪"/>
      <w:lvlJc w:val="left"/>
      <w:pPr>
        <w:ind w:left="430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6">
      <w:start w:val="1"/>
      <w:numFmt w:val="bullet"/>
      <w:suff w:val="tab"/>
      <w:lvlText w:val="•"/>
      <w:lvlJc w:val="left"/>
      <w:pPr>
        <w:ind w:left="502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7">
      <w:start w:val="1"/>
      <w:numFmt w:val="bullet"/>
      <w:suff w:val="tab"/>
      <w:lvlText w:val="□"/>
      <w:lvlJc w:val="left"/>
      <w:pPr>
        <w:ind w:left="574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8">
      <w:start w:val="1"/>
      <w:numFmt w:val="bullet"/>
      <w:suff w:val="tab"/>
      <w:lvlText w:val="▪"/>
      <w:lvlJc w:val="left"/>
      <w:pPr>
        <w:ind w:left="6469"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108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start w:val="1"/>
        <w:numFmt w:val="bullet"/>
        <w:suff w:val="tab"/>
        <w:lvlText w:val="□"/>
        <w:lvlJc w:val="left"/>
        <w:pPr>
          <w:ind w:left="196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start w:val="1"/>
        <w:numFmt w:val="bullet"/>
        <w:suff w:val="tab"/>
        <w:lvlText w:val="▪"/>
        <w:lvlJc w:val="left"/>
        <w:pPr>
          <w:ind w:left="26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start w:val="1"/>
        <w:numFmt w:val="bullet"/>
        <w:suff w:val="tab"/>
        <w:lvlText w:val="•"/>
        <w:lvlJc w:val="left"/>
        <w:pPr>
          <w:ind w:left="3040" w:hanging="5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start w:val="1"/>
        <w:numFmt w:val="bullet"/>
        <w:suff w:val="tab"/>
        <w:lvlText w:val="□"/>
        <w:lvlJc w:val="left"/>
        <w:pPr>
          <w:ind w:left="412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start w:val="1"/>
        <w:numFmt w:val="bullet"/>
        <w:suff w:val="tab"/>
        <w:lvlText w:val="▪"/>
        <w:lvlJc w:val="left"/>
        <w:pPr>
          <w:ind w:left="484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start w:val="1"/>
        <w:numFmt w:val="bullet"/>
        <w:suff w:val="tab"/>
        <w:lvlText w:val="•"/>
        <w:lvlJc w:val="left"/>
        <w:pPr>
          <w:ind w:left="5200" w:hanging="5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start w:val="1"/>
        <w:numFmt w:val="bullet"/>
        <w:suff w:val="tab"/>
        <w:lvlText w:val="□"/>
        <w:lvlJc w:val="left"/>
        <w:pPr>
          <w:ind w:left="62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start w:val="1"/>
        <w:numFmt w:val="bullet"/>
        <w:suff w:val="tab"/>
        <w:lvlText w:val="▪"/>
        <w:lvlJc w:val="left"/>
        <w:pPr>
          <w:ind w:left="700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3">
    <w:abstractNumId w:val="2"/>
  </w:num>
  <w:num w:numId="4">
    <w:abstractNumId w:val="1"/>
  </w:num>
  <w:num w:numId="5">
    <w:abstractNumId w:val="4"/>
  </w:num>
  <w:num w:numId="6">
    <w:abstractNumId w:val="3"/>
  </w:num>
  <w:num w:numId="7">
    <w:abstractNumId w:val="6"/>
  </w:num>
  <w:num w:numId="8">
    <w:abstractNumId w:val="5"/>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w:hAnsi="Arial" w:eastAsia="Arial"/>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14:textOutline w14:w="12700" w14:cap="flat">
        <w14:noFill/>
        <w14:miter w14:lim="400000"/>
      </w14:textOutline>
      <w14:textFill>
        <w14:solidFill>
          <w14:srgbClr w14:val="7F7F7F"/>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3"/>
      </w:numPr>
    </w:pPr>
  </w:style>
  <w:style w:type="paragraph" w:styleId="Heading">
    <w:name w:val="Heading"/>
    <w:next w:val="Body A"/>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fr-FR"/>
      <w14:textOutline w14:w="12700" w14:cap="flat">
        <w14:noFill/>
        <w14:miter w14:lim="400000"/>
      </w14:textOutline>
      <w14:textFill>
        <w14:solidFill>
          <w14:srgbClr w14:val="004147"/>
        </w14:solidFill>
      </w14:textFill>
    </w:rPr>
  </w:style>
  <w:style w:type="numbering" w:styleId="Imported Style 3">
    <w:name w:val="Imported Style 3"/>
    <w:pPr>
      <w:numPr>
        <w:numId w:val="5"/>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4">
    <w:name w:val="Imported Style 4"/>
    <w:pPr>
      <w:numPr>
        <w:numId w:val="7"/>
      </w:numPr>
    </w:pPr>
  </w:style>
  <w:style w:type="paragraph" w:styleId="Heading 3">
    <w:name w:val="Heading 3"/>
    <w:next w:val="Body A"/>
    <w:pPr>
      <w:keepNext w:val="1"/>
      <w:keepLines w:val="1"/>
      <w:pageBreakBefore w:val="0"/>
      <w:widowControl w:val="1"/>
      <w:shd w:val="clear" w:color="auto" w:fill="auto"/>
      <w:suppressAutoHyphens w:val="0"/>
      <w:bidi w:val="0"/>
      <w:spacing w:before="120" w:after="120" w:line="264" w:lineRule="auto"/>
      <w:ind w:left="0" w:right="227" w:firstLine="0"/>
      <w:jc w:val="left"/>
      <w:outlineLvl w:val="2"/>
    </w:pPr>
    <w:rPr>
      <w:rFonts w:ascii="Arial" w:cs="Arial Unicode MS" w:hAnsi="Arial" w:eastAsia="Arial Unicode MS"/>
      <w:b w:val="1"/>
      <w:bCs w:val="1"/>
      <w:i w:val="0"/>
      <w:iCs w:val="0"/>
      <w:caps w:val="0"/>
      <w:smallCaps w:val="0"/>
      <w:strike w:val="0"/>
      <w:dstrike w:val="0"/>
      <w:outline w:val="0"/>
      <w:color w:val="004147"/>
      <w:spacing w:val="0"/>
      <w:kern w:val="0"/>
      <w:position w:val="0"/>
      <w:sz w:val="24"/>
      <w:szCs w:val="24"/>
      <w:u w:val="none" w:color="004147"/>
      <w:shd w:val="nil" w:color="auto" w:fill="auto"/>
      <w:vertAlign w:val="baseline"/>
      <w:lang w:val="en-US"/>
      <w14:textOutline w14:w="12700" w14:cap="flat">
        <w14:noFill/>
        <w14:miter w14:lim="400000"/>
      </w14:textOutline>
      <w14:textFill>
        <w14:solidFill>
          <w14:srgbClr w14:val="004147"/>
        </w14:solidFill>
      </w14:textFill>
    </w:r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1.jpeg"/><Relationship Id="rId10" Type="http://schemas.openxmlformats.org/officeDocument/2006/relationships/image" Target="media/image2.png"/><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numbering" Target="numbering.xml"/><Relationship Id="rId14"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5.png"/></Relationships>

</file>

<file path=word/_rels/footer3.xml.rels><?xml version="1.0" encoding="UTF-8"?>
<Relationships xmlns="http://schemas.openxmlformats.org/package/2006/relationships"><Relationship Id="rId1" Type="http://schemas.openxmlformats.org/officeDocument/2006/relationships/image" Target="media/image5.png"/></Relationships>

</file>

<file path=word/_rels/header1.xml.rels><?xml version="1.0" encoding="UTF-8"?>
<Relationships xmlns="http://schemas.openxmlformats.org/package/2006/relationships"><Relationship Id="rId1" Type="http://schemas.openxmlformats.org/officeDocument/2006/relationships/image" Target="media/image3.png"/></Relationships>

</file>

<file path=word/_rels/header2.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