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3177E" w14:textId="77777777" w:rsidR="00EC7556" w:rsidRDefault="00EC7556">
      <w:pPr>
        <w:spacing w:line="360" w:lineRule="auto"/>
        <w:rPr>
          <w:rFonts w:eastAsia="Times New Roman"/>
          <w:sz w:val="24"/>
          <w:szCs w:val="24"/>
        </w:rPr>
      </w:pPr>
    </w:p>
    <w:p w14:paraId="549902D5" w14:textId="77777777" w:rsidR="00EC7556" w:rsidRDefault="00BA0CF0">
      <w:pPr>
        <w:spacing w:line="360" w:lineRule="auto"/>
        <w:rPr>
          <w:rFonts w:eastAsia="Times New Roman"/>
          <w:sz w:val="24"/>
          <w:szCs w:val="24"/>
        </w:rPr>
      </w:pPr>
      <w:r>
        <w:rPr>
          <w:rFonts w:eastAsia="Times New Roman"/>
          <w:noProof/>
          <w:sz w:val="24"/>
          <w:szCs w:val="24"/>
          <w:lang w:val="en-IN"/>
        </w:rPr>
        <w:drawing>
          <wp:inline distT="0" distB="0" distL="0" distR="0" wp14:anchorId="25743DFD" wp14:editId="777AC94E">
            <wp:extent cx="1762125" cy="619125"/>
            <wp:effectExtent l="0" t="0" r="0" b="0"/>
            <wp:docPr id="1026"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6" cstate="print"/>
                    <a:srcRect/>
                    <a:stretch/>
                  </pic:blipFill>
                  <pic:spPr>
                    <a:xfrm>
                      <a:off x="0" y="0"/>
                      <a:ext cx="1762125" cy="619125"/>
                    </a:xfrm>
                    <a:prstGeom prst="rect">
                      <a:avLst/>
                    </a:prstGeom>
                    <a:ln w="9525" cap="flat" cmpd="sng">
                      <a:solidFill>
                        <a:srgbClr val="000000"/>
                      </a:solidFill>
                      <a:prstDash val="solid"/>
                      <a:round/>
                      <a:headEnd type="none" w="med" len="med"/>
                      <a:tailEnd type="none" w="med" len="med"/>
                    </a:ln>
                  </pic:spPr>
                </pic:pic>
              </a:graphicData>
            </a:graphic>
          </wp:inline>
        </w:drawing>
      </w:r>
    </w:p>
    <w:p w14:paraId="0D0E78DA" w14:textId="77777777" w:rsidR="00EC7556" w:rsidRDefault="00EC7556">
      <w:pPr>
        <w:spacing w:line="360" w:lineRule="auto"/>
        <w:jc w:val="both"/>
        <w:rPr>
          <w:rFonts w:eastAsia="Times New Roman"/>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EC7556" w14:paraId="3F50A4CD" w14:textId="77777777">
        <w:tc>
          <w:tcPr>
            <w:tcW w:w="2340" w:type="dxa"/>
            <w:tcMar>
              <w:top w:w="100" w:type="dxa"/>
              <w:left w:w="100" w:type="dxa"/>
              <w:bottom w:w="100" w:type="dxa"/>
              <w:right w:w="100" w:type="dxa"/>
            </w:tcMar>
          </w:tcPr>
          <w:p w14:paraId="7F3F0401"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Student name</w:t>
            </w:r>
          </w:p>
        </w:tc>
        <w:tc>
          <w:tcPr>
            <w:tcW w:w="2340" w:type="dxa"/>
            <w:tcMar>
              <w:top w:w="100" w:type="dxa"/>
              <w:left w:w="100" w:type="dxa"/>
              <w:bottom w:w="100" w:type="dxa"/>
              <w:right w:w="100" w:type="dxa"/>
            </w:tcMar>
          </w:tcPr>
          <w:p w14:paraId="2F899F23"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lang w:val="en-US"/>
              </w:rPr>
              <w:t xml:space="preserve">Bhavisha khistariya </w:t>
            </w:r>
          </w:p>
        </w:tc>
        <w:tc>
          <w:tcPr>
            <w:tcW w:w="2340" w:type="dxa"/>
            <w:tcMar>
              <w:top w:w="100" w:type="dxa"/>
              <w:left w:w="100" w:type="dxa"/>
              <w:bottom w:w="100" w:type="dxa"/>
              <w:right w:w="100" w:type="dxa"/>
            </w:tcMar>
          </w:tcPr>
          <w:p w14:paraId="4DAAD675"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Student ID number</w:t>
            </w:r>
          </w:p>
        </w:tc>
        <w:tc>
          <w:tcPr>
            <w:tcW w:w="2340" w:type="dxa"/>
            <w:tcMar>
              <w:top w:w="100" w:type="dxa"/>
              <w:left w:w="100" w:type="dxa"/>
              <w:bottom w:w="100" w:type="dxa"/>
              <w:right w:w="100" w:type="dxa"/>
            </w:tcMar>
          </w:tcPr>
          <w:p w14:paraId="2DF2310E"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lang w:val="en-US"/>
              </w:rPr>
              <w:t>2609963</w:t>
            </w:r>
          </w:p>
        </w:tc>
      </w:tr>
      <w:tr w:rsidR="00EC7556" w14:paraId="4B1FB9D4" w14:textId="77777777">
        <w:trPr>
          <w:trHeight w:val="440"/>
        </w:trPr>
        <w:tc>
          <w:tcPr>
            <w:tcW w:w="2340" w:type="dxa"/>
            <w:tcMar>
              <w:top w:w="100" w:type="dxa"/>
              <w:left w:w="100" w:type="dxa"/>
              <w:bottom w:w="100" w:type="dxa"/>
              <w:right w:w="100" w:type="dxa"/>
            </w:tcMar>
          </w:tcPr>
          <w:p w14:paraId="13CF2797"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Programme</w:t>
            </w:r>
          </w:p>
        </w:tc>
        <w:tc>
          <w:tcPr>
            <w:tcW w:w="7020" w:type="dxa"/>
            <w:gridSpan w:val="3"/>
            <w:tcMar>
              <w:top w:w="100" w:type="dxa"/>
              <w:left w:w="100" w:type="dxa"/>
              <w:bottom w:w="100" w:type="dxa"/>
              <w:right w:w="100" w:type="dxa"/>
            </w:tcMar>
          </w:tcPr>
          <w:p w14:paraId="0D2E7A8A"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Master of Business Administration</w:t>
            </w:r>
          </w:p>
        </w:tc>
      </w:tr>
      <w:tr w:rsidR="00EC7556" w14:paraId="7D6F9E79" w14:textId="77777777">
        <w:trPr>
          <w:trHeight w:val="440"/>
        </w:trPr>
        <w:tc>
          <w:tcPr>
            <w:tcW w:w="2340" w:type="dxa"/>
            <w:tcMar>
              <w:top w:w="100" w:type="dxa"/>
              <w:left w:w="100" w:type="dxa"/>
              <w:bottom w:w="100" w:type="dxa"/>
              <w:right w:w="100" w:type="dxa"/>
            </w:tcMar>
          </w:tcPr>
          <w:p w14:paraId="1B28CE9D"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Module Name</w:t>
            </w:r>
          </w:p>
        </w:tc>
        <w:tc>
          <w:tcPr>
            <w:tcW w:w="7020" w:type="dxa"/>
            <w:gridSpan w:val="3"/>
            <w:tcMar>
              <w:top w:w="100" w:type="dxa"/>
              <w:left w:w="100" w:type="dxa"/>
              <w:bottom w:w="100" w:type="dxa"/>
              <w:right w:w="100" w:type="dxa"/>
            </w:tcMar>
          </w:tcPr>
          <w:p w14:paraId="078B1349"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Marketing Management</w:t>
            </w:r>
          </w:p>
        </w:tc>
      </w:tr>
      <w:tr w:rsidR="00EC7556" w14:paraId="4BA65F0A" w14:textId="77777777">
        <w:trPr>
          <w:trHeight w:val="440"/>
        </w:trPr>
        <w:tc>
          <w:tcPr>
            <w:tcW w:w="2340" w:type="dxa"/>
            <w:tcMar>
              <w:top w:w="100" w:type="dxa"/>
              <w:left w:w="100" w:type="dxa"/>
              <w:bottom w:w="100" w:type="dxa"/>
              <w:right w:w="100" w:type="dxa"/>
            </w:tcMar>
          </w:tcPr>
          <w:p w14:paraId="3E1F88AF" w14:textId="77777777" w:rsidR="00EC7556" w:rsidRDefault="00BA0CF0">
            <w:pPr>
              <w:widowControl w:val="0"/>
              <w:spacing w:line="360" w:lineRule="auto"/>
              <w:rPr>
                <w:rFonts w:eastAsia="Times New Roman"/>
                <w:b/>
                <w:bCs/>
                <w:sz w:val="24"/>
                <w:szCs w:val="24"/>
              </w:rPr>
            </w:pPr>
            <w:r>
              <w:rPr>
                <w:rFonts w:eastAsia="Times New Roman"/>
                <w:b/>
                <w:bCs/>
                <w:sz w:val="24"/>
                <w:szCs w:val="24"/>
              </w:rPr>
              <w:t>Module code</w:t>
            </w:r>
          </w:p>
        </w:tc>
        <w:tc>
          <w:tcPr>
            <w:tcW w:w="7020" w:type="dxa"/>
            <w:gridSpan w:val="3"/>
            <w:tcMar>
              <w:top w:w="100" w:type="dxa"/>
              <w:left w:w="100" w:type="dxa"/>
              <w:bottom w:w="100" w:type="dxa"/>
              <w:right w:w="100" w:type="dxa"/>
            </w:tcMar>
          </w:tcPr>
          <w:p w14:paraId="5ACB7DCF" w14:textId="77777777" w:rsidR="00EC7556" w:rsidRDefault="00BA0CF0">
            <w:pPr>
              <w:widowControl w:val="0"/>
              <w:spacing w:line="360" w:lineRule="auto"/>
              <w:rPr>
                <w:rFonts w:eastAsia="Times New Roman"/>
                <w:b/>
                <w:bCs/>
                <w:sz w:val="24"/>
                <w:szCs w:val="24"/>
              </w:rPr>
            </w:pPr>
            <w:r>
              <w:rPr>
                <w:rFonts w:eastAsia="Times New Roman"/>
                <w:b/>
                <w:bCs/>
                <w:sz w:val="24"/>
                <w:szCs w:val="24"/>
              </w:rPr>
              <w:t>LCMB7024</w:t>
            </w:r>
          </w:p>
        </w:tc>
      </w:tr>
      <w:tr w:rsidR="00EC7556" w14:paraId="0576A20C" w14:textId="77777777">
        <w:trPr>
          <w:trHeight w:val="440"/>
        </w:trPr>
        <w:tc>
          <w:tcPr>
            <w:tcW w:w="2340" w:type="dxa"/>
            <w:tcMar>
              <w:top w:w="100" w:type="dxa"/>
              <w:left w:w="100" w:type="dxa"/>
              <w:bottom w:w="100" w:type="dxa"/>
              <w:right w:w="100" w:type="dxa"/>
            </w:tcMar>
          </w:tcPr>
          <w:p w14:paraId="4898F19A"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Lecturer</w:t>
            </w:r>
          </w:p>
        </w:tc>
        <w:tc>
          <w:tcPr>
            <w:tcW w:w="7020" w:type="dxa"/>
            <w:gridSpan w:val="3"/>
            <w:tcMar>
              <w:top w:w="100" w:type="dxa"/>
              <w:left w:w="100" w:type="dxa"/>
              <w:bottom w:w="100" w:type="dxa"/>
              <w:right w:w="100" w:type="dxa"/>
            </w:tcMar>
          </w:tcPr>
          <w:p w14:paraId="2E797B29"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Taonga Kaonga Sobere-Snithers (Birmingham)</w:t>
            </w:r>
          </w:p>
        </w:tc>
      </w:tr>
      <w:tr w:rsidR="00EC7556" w14:paraId="28ACA0A4" w14:textId="77777777">
        <w:trPr>
          <w:trHeight w:val="440"/>
        </w:trPr>
        <w:tc>
          <w:tcPr>
            <w:tcW w:w="2340" w:type="dxa"/>
            <w:tcMar>
              <w:top w:w="100" w:type="dxa"/>
              <w:left w:w="100" w:type="dxa"/>
              <w:bottom w:w="100" w:type="dxa"/>
              <w:right w:w="100" w:type="dxa"/>
            </w:tcMar>
          </w:tcPr>
          <w:p w14:paraId="33336B25"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Assignment Title</w:t>
            </w:r>
          </w:p>
        </w:tc>
        <w:tc>
          <w:tcPr>
            <w:tcW w:w="7020" w:type="dxa"/>
            <w:gridSpan w:val="3"/>
            <w:tcMar>
              <w:top w:w="100" w:type="dxa"/>
              <w:left w:w="100" w:type="dxa"/>
              <w:bottom w:w="100" w:type="dxa"/>
              <w:right w:w="100" w:type="dxa"/>
            </w:tcMar>
          </w:tcPr>
          <w:p w14:paraId="56A23A8A"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Assessment component 1: Marketing Environment Analysis</w:t>
            </w:r>
          </w:p>
        </w:tc>
      </w:tr>
      <w:tr w:rsidR="00EC7556" w14:paraId="3399A783" w14:textId="77777777">
        <w:trPr>
          <w:trHeight w:val="440"/>
        </w:trPr>
        <w:tc>
          <w:tcPr>
            <w:tcW w:w="2340" w:type="dxa"/>
            <w:tcMar>
              <w:top w:w="100" w:type="dxa"/>
              <w:left w:w="100" w:type="dxa"/>
              <w:bottom w:w="100" w:type="dxa"/>
              <w:right w:w="100" w:type="dxa"/>
            </w:tcMar>
          </w:tcPr>
          <w:p w14:paraId="019B8B9F"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Word count</w:t>
            </w:r>
          </w:p>
        </w:tc>
        <w:tc>
          <w:tcPr>
            <w:tcW w:w="7020" w:type="dxa"/>
            <w:gridSpan w:val="3"/>
            <w:tcMar>
              <w:top w:w="100" w:type="dxa"/>
              <w:left w:w="100" w:type="dxa"/>
              <w:bottom w:w="100" w:type="dxa"/>
              <w:right w:w="100" w:type="dxa"/>
            </w:tcMar>
          </w:tcPr>
          <w:p w14:paraId="474816A6"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2545</w:t>
            </w:r>
          </w:p>
        </w:tc>
      </w:tr>
      <w:tr w:rsidR="00EC7556" w14:paraId="7E717894" w14:textId="77777777">
        <w:trPr>
          <w:trHeight w:val="440"/>
        </w:trPr>
        <w:tc>
          <w:tcPr>
            <w:tcW w:w="2340" w:type="dxa"/>
            <w:tcMar>
              <w:top w:w="100" w:type="dxa"/>
              <w:left w:w="100" w:type="dxa"/>
              <w:bottom w:w="100" w:type="dxa"/>
              <w:right w:w="100" w:type="dxa"/>
            </w:tcMar>
          </w:tcPr>
          <w:p w14:paraId="28BC1D4A"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 xml:space="preserve">Date of Submission </w:t>
            </w:r>
          </w:p>
        </w:tc>
        <w:tc>
          <w:tcPr>
            <w:tcW w:w="7020" w:type="dxa"/>
            <w:gridSpan w:val="3"/>
            <w:tcMar>
              <w:top w:w="100" w:type="dxa"/>
              <w:left w:w="100" w:type="dxa"/>
              <w:bottom w:w="100" w:type="dxa"/>
              <w:right w:w="100" w:type="dxa"/>
            </w:tcMar>
          </w:tcPr>
          <w:p w14:paraId="53BC6B69" w14:textId="77777777" w:rsidR="00EC7556" w:rsidRDefault="00BA0CF0">
            <w:pPr>
              <w:widowControl w:val="0"/>
              <w:pBdr>
                <w:top w:val="nil"/>
                <w:left w:val="nil"/>
                <w:bottom w:val="nil"/>
                <w:right w:val="nil"/>
                <w:between w:val="nil"/>
              </w:pBdr>
              <w:spacing w:line="360" w:lineRule="auto"/>
              <w:rPr>
                <w:rFonts w:eastAsia="Times New Roman"/>
                <w:b/>
                <w:bCs/>
                <w:sz w:val="24"/>
                <w:szCs w:val="24"/>
              </w:rPr>
            </w:pPr>
            <w:r>
              <w:rPr>
                <w:rFonts w:eastAsia="Times New Roman"/>
                <w:b/>
                <w:bCs/>
                <w:sz w:val="24"/>
                <w:szCs w:val="24"/>
              </w:rPr>
              <w:t>22</w:t>
            </w:r>
            <w:r>
              <w:rPr>
                <w:rFonts w:eastAsia="Times New Roman"/>
                <w:b/>
                <w:bCs/>
                <w:sz w:val="24"/>
                <w:szCs w:val="24"/>
                <w:vertAlign w:val="superscript"/>
              </w:rPr>
              <w:t>nd</w:t>
            </w:r>
            <w:r>
              <w:rPr>
                <w:rFonts w:eastAsia="Times New Roman"/>
                <w:b/>
                <w:bCs/>
                <w:sz w:val="24"/>
                <w:szCs w:val="24"/>
              </w:rPr>
              <w:t xml:space="preserve"> of October, 2026</w:t>
            </w:r>
          </w:p>
        </w:tc>
      </w:tr>
    </w:tbl>
    <w:p w14:paraId="622BB302" w14:textId="77777777" w:rsidR="00EC7556" w:rsidRDefault="00EC7556">
      <w:pPr>
        <w:spacing w:line="360" w:lineRule="auto"/>
        <w:jc w:val="both"/>
        <w:rPr>
          <w:sz w:val="24"/>
          <w:szCs w:val="24"/>
        </w:rPr>
      </w:pPr>
    </w:p>
    <w:p w14:paraId="417F4DA3" w14:textId="77777777" w:rsidR="00EC7556" w:rsidRDefault="00BA0CF0">
      <w:pPr>
        <w:spacing w:line="360" w:lineRule="auto"/>
        <w:jc w:val="both"/>
        <w:rPr>
          <w:sz w:val="24"/>
          <w:szCs w:val="24"/>
        </w:rPr>
      </w:pPr>
      <w:r>
        <w:rPr>
          <w:sz w:val="24"/>
          <w:szCs w:val="24"/>
        </w:rPr>
        <w:br w:type="page"/>
      </w:r>
      <w:r>
        <w:rPr>
          <w:b/>
          <w:color w:val="000000"/>
          <w:sz w:val="24"/>
          <w:szCs w:val="24"/>
        </w:rPr>
        <w:lastRenderedPageBreak/>
        <w:t>Table of Contents</w:t>
      </w:r>
    </w:p>
    <w:p w14:paraId="4BD22DFF" w14:textId="77777777" w:rsidR="00EC7556" w:rsidRDefault="00BA0CF0">
      <w:pPr>
        <w:pStyle w:val="TOC1"/>
        <w:tabs>
          <w:tab w:val="right" w:leader="dot" w:pos="9350"/>
        </w:tabs>
        <w:spacing w:line="360" w:lineRule="auto"/>
        <w:rPr>
          <w:rFonts w:ascii="Calibri" w:eastAsia="SimSun" w:hAnsi="Calibri" w:cs="SimSun"/>
          <w:noProof/>
          <w:kern w:val="2"/>
          <w:sz w:val="24"/>
          <w:szCs w:val="24"/>
          <w:lang w:val="en-IN" w:eastAsia="en-GB"/>
          <w14:ligatures w14:val="standardContextual"/>
        </w:rPr>
      </w:pPr>
      <w:r>
        <w:rPr>
          <w:sz w:val="24"/>
          <w:szCs w:val="24"/>
        </w:rPr>
        <w:fldChar w:fldCharType="begin"/>
      </w:r>
      <w:r>
        <w:rPr>
          <w:sz w:val="24"/>
          <w:szCs w:val="24"/>
        </w:rPr>
        <w:instrText xml:space="preserve"> TOC \o "1-3" \h \z \u </w:instrText>
      </w:r>
      <w:r>
        <w:rPr>
          <w:sz w:val="24"/>
          <w:szCs w:val="24"/>
        </w:rPr>
        <w:fldChar w:fldCharType="separate"/>
      </w:r>
      <w:hyperlink w:anchor="_Toc243423320" w:history="1">
        <w:r>
          <w:rPr>
            <w:rStyle w:val="Hyperlink"/>
            <w:rFonts w:eastAsia="Times New Roman"/>
            <w:noProof/>
          </w:rPr>
          <w:t>Task 1: Marketing Environment Analysis</w:t>
        </w:r>
        <w:r>
          <w:rPr>
            <w:noProof/>
            <w:webHidden/>
          </w:rPr>
          <w:tab/>
        </w:r>
        <w:r>
          <w:rPr>
            <w:noProof/>
            <w:webHidden/>
          </w:rPr>
          <w:fldChar w:fldCharType="begin"/>
        </w:r>
        <w:r>
          <w:rPr>
            <w:noProof/>
            <w:webHidden/>
          </w:rPr>
          <w:instrText xml:space="preserve"> PAGEREF _Toc243423320 \h </w:instrText>
        </w:r>
        <w:r>
          <w:rPr>
            <w:noProof/>
            <w:webHidden/>
          </w:rPr>
        </w:r>
        <w:r>
          <w:rPr>
            <w:noProof/>
            <w:webHidden/>
          </w:rPr>
          <w:fldChar w:fldCharType="separate"/>
        </w:r>
        <w:r>
          <w:rPr>
            <w:noProof/>
            <w:webHidden/>
          </w:rPr>
          <w:t>4</w:t>
        </w:r>
        <w:r>
          <w:rPr>
            <w:noProof/>
            <w:webHidden/>
          </w:rPr>
          <w:fldChar w:fldCharType="end"/>
        </w:r>
      </w:hyperlink>
    </w:p>
    <w:p w14:paraId="593B69ED" w14:textId="77777777" w:rsidR="00EC7556" w:rsidRDefault="00BA0CF0">
      <w:pPr>
        <w:pStyle w:val="TOC2"/>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21" w:history="1">
        <w:r>
          <w:rPr>
            <w:rStyle w:val="Hyperlink"/>
            <w:rFonts w:eastAsia="Times New Roman"/>
            <w:noProof/>
          </w:rPr>
          <w:t>Introduction to the marketing environment of BHP</w:t>
        </w:r>
        <w:r>
          <w:rPr>
            <w:noProof/>
            <w:webHidden/>
          </w:rPr>
          <w:tab/>
        </w:r>
        <w:r>
          <w:rPr>
            <w:noProof/>
            <w:webHidden/>
          </w:rPr>
          <w:fldChar w:fldCharType="begin"/>
        </w:r>
        <w:r>
          <w:rPr>
            <w:noProof/>
            <w:webHidden/>
          </w:rPr>
          <w:instrText xml:space="preserve"> PAGEREF _Toc243423321 \h </w:instrText>
        </w:r>
        <w:r>
          <w:rPr>
            <w:noProof/>
            <w:webHidden/>
          </w:rPr>
        </w:r>
        <w:r>
          <w:rPr>
            <w:noProof/>
            <w:webHidden/>
          </w:rPr>
          <w:fldChar w:fldCharType="separate"/>
        </w:r>
        <w:r>
          <w:rPr>
            <w:noProof/>
            <w:webHidden/>
          </w:rPr>
          <w:t>4</w:t>
        </w:r>
        <w:r>
          <w:rPr>
            <w:noProof/>
            <w:webHidden/>
          </w:rPr>
          <w:fldChar w:fldCharType="end"/>
        </w:r>
      </w:hyperlink>
    </w:p>
    <w:p w14:paraId="575B7E37" w14:textId="77777777" w:rsidR="00EC7556" w:rsidRDefault="00BA0CF0">
      <w:pPr>
        <w:pStyle w:val="TOC2"/>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22" w:history="1">
        <w:r>
          <w:rPr>
            <w:rStyle w:val="Hyperlink"/>
            <w:rFonts w:eastAsia="Times New Roman"/>
            <w:noProof/>
          </w:rPr>
          <w:t>Natural Environment Actor</w:t>
        </w:r>
        <w:r>
          <w:rPr>
            <w:noProof/>
            <w:webHidden/>
          </w:rPr>
          <w:tab/>
        </w:r>
        <w:r>
          <w:rPr>
            <w:noProof/>
            <w:webHidden/>
          </w:rPr>
          <w:fldChar w:fldCharType="begin"/>
        </w:r>
        <w:r>
          <w:rPr>
            <w:noProof/>
            <w:webHidden/>
          </w:rPr>
          <w:instrText xml:space="preserve"> PAGEREF _Toc243423322 \h </w:instrText>
        </w:r>
        <w:r>
          <w:rPr>
            <w:noProof/>
            <w:webHidden/>
          </w:rPr>
        </w:r>
        <w:r>
          <w:rPr>
            <w:noProof/>
            <w:webHidden/>
          </w:rPr>
          <w:fldChar w:fldCharType="separate"/>
        </w:r>
        <w:r>
          <w:rPr>
            <w:noProof/>
            <w:webHidden/>
          </w:rPr>
          <w:t>4</w:t>
        </w:r>
        <w:r>
          <w:rPr>
            <w:noProof/>
            <w:webHidden/>
          </w:rPr>
          <w:fldChar w:fldCharType="end"/>
        </w:r>
      </w:hyperlink>
    </w:p>
    <w:p w14:paraId="6C05EB01" w14:textId="77777777" w:rsidR="00EC7556" w:rsidRDefault="00BA0CF0">
      <w:pPr>
        <w:pStyle w:val="TOC2"/>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23" w:history="1">
        <w:r>
          <w:rPr>
            <w:rStyle w:val="Hyperlink"/>
            <w:rFonts w:eastAsia="Times New Roman"/>
            <w:noProof/>
          </w:rPr>
          <w:t>Political and regulatory environment</w:t>
        </w:r>
        <w:r>
          <w:rPr>
            <w:noProof/>
            <w:webHidden/>
          </w:rPr>
          <w:tab/>
        </w:r>
        <w:r>
          <w:rPr>
            <w:noProof/>
            <w:webHidden/>
          </w:rPr>
          <w:fldChar w:fldCharType="begin"/>
        </w:r>
        <w:r>
          <w:rPr>
            <w:noProof/>
            <w:webHidden/>
          </w:rPr>
          <w:instrText xml:space="preserve"> PAGEREF _Toc243423323 \h </w:instrText>
        </w:r>
        <w:r>
          <w:rPr>
            <w:noProof/>
            <w:webHidden/>
          </w:rPr>
        </w:r>
        <w:r>
          <w:rPr>
            <w:noProof/>
            <w:webHidden/>
          </w:rPr>
          <w:fldChar w:fldCharType="separate"/>
        </w:r>
        <w:r>
          <w:rPr>
            <w:noProof/>
            <w:webHidden/>
          </w:rPr>
          <w:t>7</w:t>
        </w:r>
        <w:r>
          <w:rPr>
            <w:noProof/>
            <w:webHidden/>
          </w:rPr>
          <w:fldChar w:fldCharType="end"/>
        </w:r>
      </w:hyperlink>
    </w:p>
    <w:p w14:paraId="3A157C33" w14:textId="77777777" w:rsidR="00EC7556" w:rsidRDefault="00BA0CF0">
      <w:pPr>
        <w:pStyle w:val="TOC2"/>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24" w:history="1">
        <w:r>
          <w:rPr>
            <w:rStyle w:val="Hyperlink"/>
            <w:rFonts w:eastAsia="Times New Roman"/>
            <w:noProof/>
          </w:rPr>
          <w:t>Social Factors: Growing Expectations of Sustainability</w:t>
        </w:r>
        <w:r>
          <w:rPr>
            <w:noProof/>
            <w:webHidden/>
          </w:rPr>
          <w:tab/>
        </w:r>
        <w:r>
          <w:rPr>
            <w:noProof/>
            <w:webHidden/>
          </w:rPr>
          <w:fldChar w:fldCharType="begin"/>
        </w:r>
        <w:r>
          <w:rPr>
            <w:noProof/>
            <w:webHidden/>
          </w:rPr>
          <w:instrText xml:space="preserve"> PAGEREF _Toc243423324 \h </w:instrText>
        </w:r>
        <w:r>
          <w:rPr>
            <w:noProof/>
            <w:webHidden/>
          </w:rPr>
        </w:r>
        <w:r>
          <w:rPr>
            <w:noProof/>
            <w:webHidden/>
          </w:rPr>
          <w:fldChar w:fldCharType="separate"/>
        </w:r>
        <w:r>
          <w:rPr>
            <w:noProof/>
            <w:webHidden/>
          </w:rPr>
          <w:t>7</w:t>
        </w:r>
        <w:r>
          <w:rPr>
            <w:noProof/>
            <w:webHidden/>
          </w:rPr>
          <w:fldChar w:fldCharType="end"/>
        </w:r>
      </w:hyperlink>
    </w:p>
    <w:p w14:paraId="654A8DA9" w14:textId="77777777" w:rsidR="00EC7556" w:rsidRDefault="00BA0CF0">
      <w:pPr>
        <w:pStyle w:val="TOC2"/>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25" w:history="1">
        <w:r>
          <w:rPr>
            <w:rStyle w:val="Hyperlink"/>
            <w:rFonts w:eastAsia="Times New Roman"/>
            <w:noProof/>
          </w:rPr>
          <w:t>Critical evaluation</w:t>
        </w:r>
        <w:r>
          <w:rPr>
            <w:noProof/>
            <w:webHidden/>
          </w:rPr>
          <w:tab/>
        </w:r>
        <w:r>
          <w:rPr>
            <w:noProof/>
            <w:webHidden/>
          </w:rPr>
          <w:fldChar w:fldCharType="begin"/>
        </w:r>
        <w:r>
          <w:rPr>
            <w:noProof/>
            <w:webHidden/>
          </w:rPr>
          <w:instrText xml:space="preserve"> PAGEREF _Toc243423325 \h </w:instrText>
        </w:r>
        <w:r>
          <w:rPr>
            <w:noProof/>
            <w:webHidden/>
          </w:rPr>
        </w:r>
        <w:r>
          <w:rPr>
            <w:noProof/>
            <w:webHidden/>
          </w:rPr>
          <w:fldChar w:fldCharType="separate"/>
        </w:r>
        <w:r>
          <w:rPr>
            <w:noProof/>
            <w:webHidden/>
          </w:rPr>
          <w:t>8</w:t>
        </w:r>
        <w:r>
          <w:rPr>
            <w:noProof/>
            <w:webHidden/>
          </w:rPr>
          <w:fldChar w:fldCharType="end"/>
        </w:r>
      </w:hyperlink>
    </w:p>
    <w:p w14:paraId="78298420" w14:textId="77777777" w:rsidR="00EC7556" w:rsidRDefault="00BA0CF0">
      <w:pPr>
        <w:pStyle w:val="TOC1"/>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26" w:history="1">
        <w:r>
          <w:rPr>
            <w:rStyle w:val="Hyperlink"/>
            <w:rFonts w:eastAsia="Times New Roman"/>
            <w:noProof/>
          </w:rPr>
          <w:t>Task 2: Strategic Growth and Competitive Positioning</w:t>
        </w:r>
        <w:r>
          <w:rPr>
            <w:noProof/>
            <w:webHidden/>
          </w:rPr>
          <w:tab/>
        </w:r>
        <w:r>
          <w:rPr>
            <w:noProof/>
            <w:webHidden/>
          </w:rPr>
          <w:fldChar w:fldCharType="begin"/>
        </w:r>
        <w:r>
          <w:rPr>
            <w:noProof/>
            <w:webHidden/>
          </w:rPr>
          <w:instrText xml:space="preserve"> PAGEREF _Toc243423326 \h </w:instrText>
        </w:r>
        <w:r>
          <w:rPr>
            <w:noProof/>
            <w:webHidden/>
          </w:rPr>
        </w:r>
        <w:r>
          <w:rPr>
            <w:noProof/>
            <w:webHidden/>
          </w:rPr>
          <w:fldChar w:fldCharType="separate"/>
        </w:r>
        <w:r>
          <w:rPr>
            <w:noProof/>
            <w:webHidden/>
          </w:rPr>
          <w:t>9</w:t>
        </w:r>
        <w:r>
          <w:rPr>
            <w:noProof/>
            <w:webHidden/>
          </w:rPr>
          <w:fldChar w:fldCharType="end"/>
        </w:r>
      </w:hyperlink>
    </w:p>
    <w:p w14:paraId="6BBEC9DE" w14:textId="77777777" w:rsidR="00EC7556" w:rsidRDefault="00BA0CF0">
      <w:pPr>
        <w:pStyle w:val="TOC2"/>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27" w:history="1">
        <w:r>
          <w:rPr>
            <w:rStyle w:val="Hyperlink"/>
            <w:rFonts w:eastAsia="Times New Roman"/>
            <w:noProof/>
          </w:rPr>
          <w:t>Ansoff matrix analysis</w:t>
        </w:r>
        <w:r>
          <w:rPr>
            <w:noProof/>
            <w:webHidden/>
          </w:rPr>
          <w:tab/>
        </w:r>
        <w:r>
          <w:rPr>
            <w:noProof/>
            <w:webHidden/>
          </w:rPr>
          <w:fldChar w:fldCharType="begin"/>
        </w:r>
        <w:r>
          <w:rPr>
            <w:noProof/>
            <w:webHidden/>
          </w:rPr>
          <w:instrText xml:space="preserve"> PAGEREF _Toc243423327 \h </w:instrText>
        </w:r>
        <w:r>
          <w:rPr>
            <w:noProof/>
            <w:webHidden/>
          </w:rPr>
        </w:r>
        <w:r>
          <w:rPr>
            <w:noProof/>
            <w:webHidden/>
          </w:rPr>
          <w:fldChar w:fldCharType="separate"/>
        </w:r>
        <w:r>
          <w:rPr>
            <w:noProof/>
            <w:webHidden/>
          </w:rPr>
          <w:t>9</w:t>
        </w:r>
        <w:r>
          <w:rPr>
            <w:noProof/>
            <w:webHidden/>
          </w:rPr>
          <w:fldChar w:fldCharType="end"/>
        </w:r>
      </w:hyperlink>
    </w:p>
    <w:p w14:paraId="11532870" w14:textId="77777777" w:rsidR="00EC7556" w:rsidRDefault="00BA0CF0">
      <w:pPr>
        <w:pStyle w:val="TOC2"/>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28" w:history="1">
        <w:r>
          <w:rPr>
            <w:rStyle w:val="Hyperlink"/>
            <w:rFonts w:eastAsia="Times New Roman"/>
            <w:noProof/>
          </w:rPr>
          <w:t>Recommended growth strategy</w:t>
        </w:r>
        <w:r>
          <w:rPr>
            <w:noProof/>
            <w:webHidden/>
          </w:rPr>
          <w:tab/>
        </w:r>
        <w:r>
          <w:rPr>
            <w:noProof/>
            <w:webHidden/>
          </w:rPr>
          <w:fldChar w:fldCharType="begin"/>
        </w:r>
        <w:r>
          <w:rPr>
            <w:noProof/>
            <w:webHidden/>
          </w:rPr>
          <w:instrText xml:space="preserve"> PAGEREF _Toc243423328 \h </w:instrText>
        </w:r>
        <w:r>
          <w:rPr>
            <w:noProof/>
            <w:webHidden/>
          </w:rPr>
        </w:r>
        <w:r>
          <w:rPr>
            <w:noProof/>
            <w:webHidden/>
          </w:rPr>
          <w:fldChar w:fldCharType="separate"/>
        </w:r>
        <w:r>
          <w:rPr>
            <w:noProof/>
            <w:webHidden/>
          </w:rPr>
          <w:t>11</w:t>
        </w:r>
        <w:r>
          <w:rPr>
            <w:noProof/>
            <w:webHidden/>
          </w:rPr>
          <w:fldChar w:fldCharType="end"/>
        </w:r>
      </w:hyperlink>
    </w:p>
    <w:p w14:paraId="3E42FB9F" w14:textId="77777777" w:rsidR="00EC7556" w:rsidRDefault="00BA0CF0">
      <w:pPr>
        <w:pStyle w:val="TOC2"/>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29" w:history="1">
        <w:r>
          <w:rPr>
            <w:rStyle w:val="Hyperlink"/>
            <w:rFonts w:eastAsia="Times New Roman"/>
            <w:noProof/>
          </w:rPr>
          <w:t>Potential competitive advantage : Applying Porter’s Generic Strategies</w:t>
        </w:r>
        <w:r>
          <w:rPr>
            <w:noProof/>
            <w:webHidden/>
          </w:rPr>
          <w:tab/>
        </w:r>
        <w:r>
          <w:rPr>
            <w:noProof/>
            <w:webHidden/>
          </w:rPr>
          <w:fldChar w:fldCharType="begin"/>
        </w:r>
        <w:r>
          <w:rPr>
            <w:noProof/>
            <w:webHidden/>
          </w:rPr>
          <w:instrText xml:space="preserve"> PAGEREF _Toc243423329 \h </w:instrText>
        </w:r>
        <w:r>
          <w:rPr>
            <w:noProof/>
            <w:webHidden/>
          </w:rPr>
        </w:r>
        <w:r>
          <w:rPr>
            <w:noProof/>
            <w:webHidden/>
          </w:rPr>
          <w:fldChar w:fldCharType="separate"/>
        </w:r>
        <w:r>
          <w:rPr>
            <w:noProof/>
            <w:webHidden/>
          </w:rPr>
          <w:t>12</w:t>
        </w:r>
        <w:r>
          <w:rPr>
            <w:noProof/>
            <w:webHidden/>
          </w:rPr>
          <w:fldChar w:fldCharType="end"/>
        </w:r>
      </w:hyperlink>
    </w:p>
    <w:p w14:paraId="2ABBDFAD" w14:textId="77777777" w:rsidR="00EC7556" w:rsidRDefault="00BA0CF0">
      <w:pPr>
        <w:pStyle w:val="TOC1"/>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30" w:history="1">
        <w:r>
          <w:rPr>
            <w:rStyle w:val="Hyperlink"/>
            <w:rFonts w:eastAsia="Times New Roman"/>
            <w:noProof/>
          </w:rPr>
          <w:t>Task 3: Managerial and Professional Reflection</w:t>
        </w:r>
        <w:r>
          <w:rPr>
            <w:noProof/>
            <w:webHidden/>
          </w:rPr>
          <w:tab/>
        </w:r>
        <w:r>
          <w:rPr>
            <w:noProof/>
            <w:webHidden/>
          </w:rPr>
          <w:fldChar w:fldCharType="begin"/>
        </w:r>
        <w:r>
          <w:rPr>
            <w:noProof/>
            <w:webHidden/>
          </w:rPr>
          <w:instrText xml:space="preserve"> PAGEREF _Toc243423330 \h </w:instrText>
        </w:r>
        <w:r>
          <w:rPr>
            <w:noProof/>
            <w:webHidden/>
          </w:rPr>
        </w:r>
        <w:r>
          <w:rPr>
            <w:noProof/>
            <w:webHidden/>
          </w:rPr>
          <w:fldChar w:fldCharType="separate"/>
        </w:r>
        <w:r>
          <w:rPr>
            <w:noProof/>
            <w:webHidden/>
          </w:rPr>
          <w:t>13</w:t>
        </w:r>
        <w:r>
          <w:rPr>
            <w:noProof/>
            <w:webHidden/>
          </w:rPr>
          <w:fldChar w:fldCharType="end"/>
        </w:r>
      </w:hyperlink>
    </w:p>
    <w:p w14:paraId="0480AC52" w14:textId="77777777" w:rsidR="00EC7556" w:rsidRDefault="00BA0CF0">
      <w:pPr>
        <w:pStyle w:val="TOC1"/>
        <w:tabs>
          <w:tab w:val="right" w:leader="dot" w:pos="9350"/>
        </w:tabs>
        <w:spacing w:line="360" w:lineRule="auto"/>
        <w:rPr>
          <w:rFonts w:ascii="Calibri" w:eastAsia="SimSun" w:hAnsi="Calibri" w:cs="SimSun"/>
          <w:noProof/>
          <w:kern w:val="2"/>
          <w:sz w:val="24"/>
          <w:szCs w:val="24"/>
          <w:lang w:val="en-IN" w:eastAsia="en-GB"/>
          <w14:ligatures w14:val="standardContextual"/>
        </w:rPr>
      </w:pPr>
      <w:hyperlink w:anchor="_Toc243423331" w:history="1">
        <w:r>
          <w:rPr>
            <w:rStyle w:val="Hyperlink"/>
            <w:rFonts w:eastAsia="Times New Roman"/>
            <w:noProof/>
          </w:rPr>
          <w:t>References</w:t>
        </w:r>
        <w:r>
          <w:rPr>
            <w:noProof/>
            <w:webHidden/>
          </w:rPr>
          <w:tab/>
        </w:r>
        <w:r>
          <w:rPr>
            <w:noProof/>
            <w:webHidden/>
          </w:rPr>
          <w:fldChar w:fldCharType="begin"/>
        </w:r>
        <w:r>
          <w:rPr>
            <w:noProof/>
            <w:webHidden/>
          </w:rPr>
          <w:instrText xml:space="preserve"> PAGEREF _Toc243423331 \h </w:instrText>
        </w:r>
        <w:r>
          <w:rPr>
            <w:noProof/>
            <w:webHidden/>
          </w:rPr>
        </w:r>
        <w:r>
          <w:rPr>
            <w:noProof/>
            <w:webHidden/>
          </w:rPr>
          <w:fldChar w:fldCharType="separate"/>
        </w:r>
        <w:r>
          <w:rPr>
            <w:noProof/>
            <w:webHidden/>
          </w:rPr>
          <w:t>15</w:t>
        </w:r>
        <w:r>
          <w:rPr>
            <w:noProof/>
            <w:webHidden/>
          </w:rPr>
          <w:fldChar w:fldCharType="end"/>
        </w:r>
      </w:hyperlink>
    </w:p>
    <w:p w14:paraId="575F694E" w14:textId="77777777" w:rsidR="00EC7556" w:rsidRDefault="00BA0CF0">
      <w:pPr>
        <w:spacing w:line="360" w:lineRule="auto"/>
        <w:rPr>
          <w:sz w:val="24"/>
          <w:szCs w:val="24"/>
        </w:rPr>
      </w:pPr>
      <w:r>
        <w:rPr>
          <w:b/>
          <w:bCs/>
          <w:noProof/>
          <w:sz w:val="24"/>
          <w:szCs w:val="24"/>
        </w:rPr>
        <w:fldChar w:fldCharType="end"/>
      </w:r>
    </w:p>
    <w:p w14:paraId="0257B2ED" w14:textId="77777777" w:rsidR="00EC7556" w:rsidRDefault="00BA0CF0">
      <w:pPr>
        <w:spacing w:after="160" w:line="360" w:lineRule="auto"/>
        <w:rPr>
          <w:rFonts w:eastAsia="Times New Roman"/>
          <w:b/>
          <w:bCs/>
          <w:sz w:val="24"/>
          <w:szCs w:val="24"/>
        </w:rPr>
      </w:pPr>
      <w:r>
        <w:rPr>
          <w:rFonts w:eastAsia="Times New Roman"/>
          <w:b/>
          <w:bCs/>
          <w:sz w:val="24"/>
          <w:szCs w:val="24"/>
        </w:rPr>
        <w:br w:type="page"/>
      </w:r>
    </w:p>
    <w:p w14:paraId="7977DC8D" w14:textId="77777777" w:rsidR="00EC7556" w:rsidRDefault="00BA0CF0">
      <w:pPr>
        <w:pStyle w:val="Heading1"/>
        <w:rPr>
          <w:rFonts w:ascii="Arial" w:eastAsia="Times New Roman" w:hAnsi="Arial" w:cs="Arial"/>
          <w:szCs w:val="24"/>
        </w:rPr>
      </w:pPr>
      <w:bookmarkStart w:id="0" w:name="_Toc243423320"/>
      <w:r>
        <w:rPr>
          <w:rFonts w:ascii="Arial" w:eastAsia="Times New Roman" w:hAnsi="Arial" w:cs="Arial"/>
          <w:szCs w:val="24"/>
        </w:rPr>
        <w:lastRenderedPageBreak/>
        <w:t>Task 1: Marketing Environment Analysis</w:t>
      </w:r>
      <w:bookmarkEnd w:id="0"/>
      <w:r>
        <w:rPr>
          <w:rFonts w:ascii="Arial" w:eastAsia="Times New Roman" w:hAnsi="Arial" w:cs="Arial"/>
          <w:szCs w:val="24"/>
        </w:rPr>
        <w:t xml:space="preserve"> </w:t>
      </w:r>
    </w:p>
    <w:p w14:paraId="0654FEBF" w14:textId="77777777" w:rsidR="00EC7556" w:rsidRDefault="00BA0CF0">
      <w:pPr>
        <w:pStyle w:val="Heading2"/>
        <w:rPr>
          <w:rFonts w:ascii="Arial" w:eastAsia="Times New Roman" w:hAnsi="Arial" w:cs="Arial"/>
          <w:b w:val="0"/>
          <w:i w:val="0"/>
          <w:szCs w:val="24"/>
        </w:rPr>
      </w:pPr>
      <w:bookmarkStart w:id="1" w:name="_Toc243423321"/>
      <w:r>
        <w:rPr>
          <w:rFonts w:ascii="Arial" w:eastAsia="Times New Roman" w:hAnsi="Arial" w:cs="Arial"/>
          <w:szCs w:val="24"/>
        </w:rPr>
        <w:t>Introduction to the marketing environment of BHP</w:t>
      </w:r>
      <w:bookmarkEnd w:id="1"/>
      <w:r>
        <w:rPr>
          <w:rFonts w:ascii="Arial" w:eastAsia="Times New Roman" w:hAnsi="Arial" w:cs="Arial"/>
          <w:szCs w:val="24"/>
        </w:rPr>
        <w:t xml:space="preserve"> </w:t>
      </w:r>
    </w:p>
    <w:p w14:paraId="05BD90A0" w14:textId="77777777" w:rsidR="00EC7556" w:rsidRDefault="00BA0CF0">
      <w:pPr>
        <w:spacing w:line="360" w:lineRule="auto"/>
        <w:jc w:val="both"/>
        <w:rPr>
          <w:rFonts w:eastAsia="Times New Roman"/>
          <w:sz w:val="24"/>
          <w:szCs w:val="24"/>
        </w:rPr>
      </w:pPr>
      <w:r>
        <w:rPr>
          <w:sz w:val="24"/>
          <w:szCs w:val="24"/>
        </w:rPr>
        <w:t>Broken Hill Proprietary Company Limited</w:t>
      </w:r>
      <w:r>
        <w:rPr>
          <w:rFonts w:eastAsia="Times New Roman"/>
          <w:sz w:val="24"/>
          <w:szCs w:val="24"/>
        </w:rPr>
        <w:t xml:space="preserve"> (BHP) is known as the largest Australia-based mining company worldwide, and is a leading producer of copper, iron ore, and metallurgical coal (BHP, 2026). The main strategy of this company is to responsibly manage the most resilient long-term portfolio of assets in highly attractive commodities (BHP, 2026). The purpose of BHP is to bring resources and people together for developing a better world. As a leading mining company, BHP operates within a business-to-business (B2B) commodity marketing environment,</w:t>
      </w:r>
      <w:r>
        <w:rPr>
          <w:rFonts w:eastAsia="Times New Roman"/>
          <w:sz w:val="24"/>
          <w:szCs w:val="24"/>
        </w:rPr>
        <w:t xml:space="preserve"> which is centred around global industrial demand for copper, steelmaking coal, and iron ore, which might impact environmental sustainability (BHP, 2026a). </w:t>
      </w:r>
    </w:p>
    <w:p w14:paraId="5461F62F" w14:textId="77777777" w:rsidR="00EC7556" w:rsidRDefault="00BA0CF0">
      <w:pPr>
        <w:spacing w:line="360" w:lineRule="auto"/>
        <w:jc w:val="both"/>
        <w:rPr>
          <w:rFonts w:eastAsia="Times New Roman"/>
          <w:sz w:val="24"/>
          <w:szCs w:val="24"/>
        </w:rPr>
      </w:pPr>
      <w:r>
        <w:rPr>
          <w:rFonts w:eastAsia="Times New Roman"/>
          <w:sz w:val="24"/>
          <w:szCs w:val="24"/>
        </w:rPr>
        <w:t xml:space="preserve">The mining industry continuously faces environmental challenges, such as water pollution, acid mine drainage, a high carbon footprint, and greenhouse gas emissions (Lu, 2021). </w:t>
      </w:r>
      <w:r>
        <w:rPr>
          <w:rFonts w:eastAsia="Times New Roman"/>
          <w:sz w:val="24"/>
          <w:szCs w:val="24"/>
        </w:rPr>
        <w:t xml:space="preserve">Hence, BHP has introduced concern and low-carbon products, established operational emissions targets, such as GHG emissions Scope 1 and 2 and a long-term goal relating to value-chain emissions and  support decarbonisation (BHP, 2026b). In this regard, the following analysis critically evaluates three external actors which are related to the macro environments factors that are influencing BHP’s transition.  </w:t>
      </w:r>
    </w:p>
    <w:p w14:paraId="4D2E3B6C" w14:textId="77777777" w:rsidR="00EC7556" w:rsidRDefault="00BA0CF0">
      <w:pPr>
        <w:pStyle w:val="Heading2"/>
        <w:rPr>
          <w:rFonts w:ascii="Arial" w:eastAsia="Times New Roman" w:hAnsi="Arial" w:cs="Arial"/>
          <w:szCs w:val="24"/>
        </w:rPr>
      </w:pPr>
      <w:bookmarkStart w:id="2" w:name="_Toc243423322"/>
      <w:r>
        <w:rPr>
          <w:rFonts w:ascii="Arial" w:eastAsia="Times New Roman" w:hAnsi="Arial" w:cs="Arial"/>
          <w:szCs w:val="24"/>
        </w:rPr>
        <w:t>Natural Environment Actor</w:t>
      </w:r>
      <w:bookmarkEnd w:id="2"/>
    </w:p>
    <w:p w14:paraId="01AA699E" w14:textId="77777777" w:rsidR="00EC7556" w:rsidRDefault="00BA0CF0">
      <w:pPr>
        <w:spacing w:line="360" w:lineRule="auto"/>
        <w:jc w:val="both"/>
        <w:rPr>
          <w:rFonts w:eastAsia="Times New Roman"/>
          <w:sz w:val="24"/>
          <w:szCs w:val="24"/>
        </w:rPr>
      </w:pPr>
      <w:r>
        <w:rPr>
          <w:rFonts w:eastAsia="Times New Roman"/>
          <w:sz w:val="24"/>
          <w:szCs w:val="24"/>
        </w:rPr>
        <w:t xml:space="preserve">The natural environment demonstrates the most important external actor, where climate change is reshaping the legitimacy and operating conditions of the mining industry. </w:t>
      </w:r>
    </w:p>
    <w:p w14:paraId="01A27B8A" w14:textId="77777777" w:rsidR="00EC7556" w:rsidRDefault="00BA0CF0">
      <w:pPr>
        <w:spacing w:line="360" w:lineRule="auto"/>
        <w:jc w:val="center"/>
        <w:rPr>
          <w:rFonts w:eastAsia="Times New Roman"/>
          <w:sz w:val="24"/>
          <w:szCs w:val="24"/>
        </w:rPr>
      </w:pPr>
      <w:r>
        <w:rPr>
          <w:rFonts w:eastAsia="Times New Roman"/>
          <w:noProof/>
          <w:sz w:val="24"/>
          <w:szCs w:val="24"/>
          <w:lang w:val="en-IN"/>
        </w:rPr>
        <w:lastRenderedPageBreak/>
        <w:drawing>
          <wp:inline distT="0" distB="0" distL="0" distR="0" wp14:anchorId="3C89B098" wp14:editId="0948896B">
            <wp:extent cx="5324475" cy="2971800"/>
            <wp:effectExtent l="25400" t="25400" r="25400" b="25400"/>
            <wp:docPr id="102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cstate="print"/>
                    <a:srcRect/>
                    <a:stretch/>
                  </pic:blipFill>
                  <pic:spPr>
                    <a:xfrm>
                      <a:off x="0" y="0"/>
                      <a:ext cx="5324475" cy="2971800"/>
                    </a:xfrm>
                    <a:prstGeom prst="rect">
                      <a:avLst/>
                    </a:prstGeom>
                    <a:ln w="25400" cap="flat" cmpd="sng">
                      <a:solidFill>
                        <a:srgbClr val="000000"/>
                      </a:solidFill>
                      <a:prstDash val="solid"/>
                      <a:round/>
                      <a:headEnd type="none" w="med" len="med"/>
                      <a:tailEnd type="none" w="med" len="med"/>
                    </a:ln>
                  </pic:spPr>
                </pic:pic>
              </a:graphicData>
            </a:graphic>
          </wp:inline>
        </w:drawing>
      </w:r>
    </w:p>
    <w:p w14:paraId="516A05E5" w14:textId="77777777" w:rsidR="00EC7556" w:rsidRDefault="00BA0CF0">
      <w:pPr>
        <w:spacing w:line="360" w:lineRule="auto"/>
        <w:jc w:val="center"/>
        <w:rPr>
          <w:rFonts w:eastAsia="Times New Roman"/>
          <w:sz w:val="24"/>
          <w:szCs w:val="24"/>
        </w:rPr>
      </w:pPr>
      <w:r>
        <w:rPr>
          <w:rFonts w:eastAsia="Times New Roman"/>
          <w:sz w:val="24"/>
          <w:szCs w:val="24"/>
        </w:rPr>
        <w:t>Figure 1: GHG emissions</w:t>
      </w:r>
    </w:p>
    <w:p w14:paraId="6B710BD5" w14:textId="77777777" w:rsidR="00EC7556" w:rsidRDefault="00BA0CF0">
      <w:pPr>
        <w:spacing w:line="360" w:lineRule="auto"/>
        <w:jc w:val="center"/>
        <w:rPr>
          <w:rFonts w:eastAsia="Times New Roman"/>
          <w:sz w:val="24"/>
          <w:szCs w:val="24"/>
        </w:rPr>
      </w:pPr>
      <w:r>
        <w:rPr>
          <w:rFonts w:eastAsia="Times New Roman"/>
          <w:sz w:val="24"/>
          <w:szCs w:val="24"/>
        </w:rPr>
        <w:t xml:space="preserve">(Source: ICMM, 2026) </w:t>
      </w:r>
    </w:p>
    <w:p w14:paraId="6ADFDBD1" w14:textId="77777777" w:rsidR="00EC7556" w:rsidRDefault="00BA0CF0">
      <w:pPr>
        <w:spacing w:line="360" w:lineRule="auto"/>
        <w:jc w:val="both"/>
        <w:rPr>
          <w:rFonts w:eastAsia="Times New Roman"/>
          <w:sz w:val="24"/>
          <w:szCs w:val="24"/>
        </w:rPr>
      </w:pPr>
      <w:r>
        <w:rPr>
          <w:rFonts w:eastAsia="Times New Roman"/>
          <w:sz w:val="24"/>
          <w:szCs w:val="24"/>
        </w:rPr>
        <w:t>The mining industry continuously generates greenhouse-gas (GHG) emissions, where 3% of global GHG emissions occur due to this industry, while mining operations also creates pressures relating to biodiversity, land, and water (ICMM, 2026). As part of this industry, BHP also experiences strategic tension between reducing environmental impacts regarding operations and economic development. Thus, it substantially influences</w:t>
      </w:r>
      <w:r>
        <w:rPr>
          <w:rFonts w:eastAsia="Times New Roman"/>
          <w:sz w:val="24"/>
          <w:szCs w:val="24"/>
        </w:rPr>
        <w:t xml:space="preserve"> the company in making effective transition-related strategies to reduce environmental impact. </w:t>
      </w:r>
    </w:p>
    <w:p w14:paraId="2900E16E" w14:textId="77777777" w:rsidR="00EC7556" w:rsidRDefault="00BA0CF0">
      <w:pPr>
        <w:spacing w:line="360" w:lineRule="auto"/>
        <w:jc w:val="both"/>
        <w:rPr>
          <w:rFonts w:eastAsia="Times New Roman"/>
          <w:sz w:val="24"/>
          <w:szCs w:val="24"/>
        </w:rPr>
      </w:pPr>
      <w:r>
        <w:rPr>
          <w:rFonts w:eastAsia="Times New Roman"/>
          <w:sz w:val="24"/>
          <w:szCs w:val="24"/>
        </w:rPr>
        <w:t>BHP is attempting to minimise environmental intensity of its operations by taking climate strategy, which includes reducing operational Scope 1 and 2 emissions through technology development (BHP, 2026c). For example, the company introduced battery-electric and diesel-electric trucks, which reduce environmental impacts by replacing diesel engines (BHP, 2026d).</w:t>
      </w:r>
      <w:r>
        <w:rPr>
          <w:rFonts w:eastAsia="Times New Roman"/>
          <w:sz w:val="24"/>
          <w:szCs w:val="24"/>
        </w:rPr>
        <w:t xml:space="preserve">The company also works with steelmaking customers to support technologies capable of reducing emissions intensity, such as long-term alternative pathways and modifications to existing blast-furnace processes (BHP, 2026d). </w:t>
      </w:r>
    </w:p>
    <w:p w14:paraId="21D50038" w14:textId="77777777" w:rsidR="00EC7556" w:rsidRDefault="00BA0CF0">
      <w:pPr>
        <w:spacing w:line="360" w:lineRule="auto"/>
        <w:jc w:val="center"/>
        <w:rPr>
          <w:rFonts w:eastAsia="Times New Roman"/>
          <w:sz w:val="24"/>
          <w:szCs w:val="24"/>
        </w:rPr>
      </w:pPr>
      <w:r>
        <w:rPr>
          <w:rFonts w:eastAsia="Times New Roman"/>
          <w:noProof/>
          <w:sz w:val="24"/>
          <w:szCs w:val="24"/>
          <w:lang w:val="en-IN"/>
        </w:rPr>
        <w:lastRenderedPageBreak/>
        <w:drawing>
          <wp:inline distT="0" distB="0" distL="0" distR="0" wp14:anchorId="3ECC8B50" wp14:editId="480953CE">
            <wp:extent cx="4933950" cy="4352925"/>
            <wp:effectExtent l="25400" t="25400" r="25400" b="25400"/>
            <wp:docPr id="1028"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8.png"/>
                    <pic:cNvPicPr/>
                  </pic:nvPicPr>
                  <pic:blipFill>
                    <a:blip r:embed="rId8" cstate="print"/>
                    <a:srcRect/>
                    <a:stretch/>
                  </pic:blipFill>
                  <pic:spPr>
                    <a:xfrm>
                      <a:off x="0" y="0"/>
                      <a:ext cx="4933950" cy="4352925"/>
                    </a:xfrm>
                    <a:prstGeom prst="rect">
                      <a:avLst/>
                    </a:prstGeom>
                    <a:ln w="25400" cap="flat" cmpd="sng">
                      <a:solidFill>
                        <a:srgbClr val="000000"/>
                      </a:solidFill>
                      <a:prstDash val="solid"/>
                      <a:round/>
                      <a:headEnd type="none" w="med" len="med"/>
                      <a:tailEnd type="none" w="med" len="med"/>
                    </a:ln>
                  </pic:spPr>
                </pic:pic>
              </a:graphicData>
            </a:graphic>
          </wp:inline>
        </w:drawing>
      </w:r>
    </w:p>
    <w:p w14:paraId="03763439" w14:textId="77777777" w:rsidR="00EC7556" w:rsidRDefault="00BA0CF0">
      <w:pPr>
        <w:spacing w:line="360" w:lineRule="auto"/>
        <w:jc w:val="center"/>
        <w:rPr>
          <w:rFonts w:eastAsia="Times New Roman"/>
          <w:sz w:val="24"/>
          <w:szCs w:val="24"/>
        </w:rPr>
      </w:pPr>
      <w:r>
        <w:rPr>
          <w:rFonts w:eastAsia="Times New Roman"/>
          <w:sz w:val="24"/>
          <w:szCs w:val="24"/>
        </w:rPr>
        <w:t xml:space="preserve">Figure 2: GHG emissions performance </w:t>
      </w:r>
    </w:p>
    <w:p w14:paraId="68BE13F2" w14:textId="77777777" w:rsidR="00EC7556" w:rsidRDefault="00BA0CF0">
      <w:pPr>
        <w:spacing w:line="360" w:lineRule="auto"/>
        <w:jc w:val="center"/>
        <w:rPr>
          <w:rFonts w:eastAsia="Times New Roman"/>
          <w:sz w:val="24"/>
          <w:szCs w:val="24"/>
        </w:rPr>
      </w:pPr>
      <w:r>
        <w:rPr>
          <w:rFonts w:eastAsia="Times New Roman"/>
          <w:sz w:val="24"/>
          <w:szCs w:val="24"/>
        </w:rPr>
        <w:t>(Source: Mining Technology, 2023)</w:t>
      </w:r>
    </w:p>
    <w:p w14:paraId="5F100F51" w14:textId="77777777" w:rsidR="00EC7556" w:rsidRDefault="00BA0CF0">
      <w:pPr>
        <w:spacing w:line="360" w:lineRule="auto"/>
        <w:jc w:val="both"/>
        <w:rPr>
          <w:rFonts w:eastAsia="Times New Roman"/>
          <w:sz w:val="24"/>
          <w:szCs w:val="24"/>
        </w:rPr>
      </w:pPr>
      <w:r>
        <w:rPr>
          <w:rFonts w:eastAsia="Times New Roman"/>
          <w:sz w:val="24"/>
          <w:szCs w:val="24"/>
        </w:rPr>
        <w:t>As the external environment creates pressures, the company has already started to promote sustainable initiatives, which creates opportunities for it. Promoting these initiatives also improved the GHG emissions performance of the company, where BHP achieved around a 25% reduction in its GHG emissions (Mining Technology, 2023). Apart from these opportunities, the company also faces several challenges. For example, promoting a decarbonisation strategy creates a financial burden on the company by increasing op</w:t>
      </w:r>
      <w:r>
        <w:rPr>
          <w:rFonts w:eastAsia="Times New Roman"/>
          <w:sz w:val="24"/>
          <w:szCs w:val="24"/>
        </w:rPr>
        <w:t>erating costs.</w:t>
      </w:r>
    </w:p>
    <w:p w14:paraId="06287F8E" w14:textId="77777777" w:rsidR="00EC7556" w:rsidRDefault="00BA0CF0">
      <w:pPr>
        <w:spacing w:line="360" w:lineRule="auto"/>
        <w:jc w:val="both"/>
        <w:rPr>
          <w:rFonts w:eastAsia="Times New Roman"/>
          <w:sz w:val="24"/>
          <w:szCs w:val="24"/>
        </w:rPr>
      </w:pPr>
      <w:r>
        <w:rPr>
          <w:rFonts w:eastAsia="Times New Roman"/>
          <w:sz w:val="24"/>
          <w:szCs w:val="24"/>
        </w:rPr>
        <w:t>Due to this external influence, the company launched its Climate Transition Action to achieve its long–term Scope 3 goals in its value chain by 2050 through renewable energy transition, fleet electrification, methane management, and emissions targets (BHP, 2026e). Therefore, the environmental actor creates threats in traditional and carbon-</w:t>
      </w:r>
      <w:r>
        <w:rPr>
          <w:rFonts w:eastAsia="Times New Roman"/>
          <w:sz w:val="24"/>
          <w:szCs w:val="24"/>
        </w:rPr>
        <w:lastRenderedPageBreak/>
        <w:t xml:space="preserve">intensive activities due to transition </w:t>
      </w:r>
      <w:r>
        <w:rPr>
          <w:rFonts w:eastAsia="Times New Roman"/>
          <w:sz w:val="24"/>
          <w:szCs w:val="24"/>
        </w:rPr>
        <w:t xml:space="preserve">pressures, but simultaneously creates opportunities by strengthening the strategic attractiveness of future-facing commodities.                </w:t>
      </w:r>
    </w:p>
    <w:p w14:paraId="5AB217FE" w14:textId="77777777" w:rsidR="00EC7556" w:rsidRDefault="00BA0CF0">
      <w:pPr>
        <w:pStyle w:val="Heading2"/>
        <w:rPr>
          <w:rFonts w:ascii="Arial" w:eastAsia="Times New Roman" w:hAnsi="Arial" w:cs="Arial"/>
          <w:szCs w:val="24"/>
        </w:rPr>
      </w:pPr>
      <w:bookmarkStart w:id="3" w:name="_Toc243423323"/>
      <w:r>
        <w:rPr>
          <w:rFonts w:ascii="Arial" w:eastAsia="Times New Roman" w:hAnsi="Arial" w:cs="Arial"/>
          <w:szCs w:val="24"/>
        </w:rPr>
        <w:t>Political and Legal environment</w:t>
      </w:r>
      <w:bookmarkEnd w:id="3"/>
      <w:r>
        <w:rPr>
          <w:rFonts w:ascii="Arial" w:eastAsia="Times New Roman" w:hAnsi="Arial" w:cs="Arial"/>
          <w:szCs w:val="24"/>
        </w:rPr>
        <w:t xml:space="preserve"> </w:t>
      </w:r>
    </w:p>
    <w:p w14:paraId="7D4F47F5" w14:textId="77777777" w:rsidR="00EC7556" w:rsidRDefault="00BA0CF0">
      <w:pPr>
        <w:spacing w:line="360" w:lineRule="auto"/>
        <w:jc w:val="both"/>
        <w:rPr>
          <w:rFonts w:eastAsia="Times New Roman"/>
          <w:sz w:val="24"/>
          <w:szCs w:val="24"/>
        </w:rPr>
      </w:pPr>
      <w:r>
        <w:rPr>
          <w:rFonts w:eastAsia="Times New Roman"/>
          <w:sz w:val="24"/>
          <w:szCs w:val="24"/>
        </w:rPr>
        <w:t xml:space="preserve">As external actors, the political and legal environment also increasingly translates environmental expectations into formal requirements for BHP. For example, as an Australian mining company, BHP operates under the Safeguard Mechanism, which is a primary policy by the Australian Government for regulating GHG emissions (DCCEEW, 2026). This mechanism applies to industrial facilities that cover emissions exceeding 100,000 tonnes of carbon dioxide equivalent per financial year (DCCEEW, 2026). </w:t>
      </w:r>
    </w:p>
    <w:p w14:paraId="6588764A" w14:textId="77777777" w:rsidR="00EC7556" w:rsidRDefault="00BA0CF0">
      <w:pPr>
        <w:spacing w:line="360" w:lineRule="auto"/>
        <w:jc w:val="both"/>
        <w:rPr>
          <w:rFonts w:eastAsia="Times New Roman"/>
          <w:sz w:val="24"/>
          <w:szCs w:val="24"/>
        </w:rPr>
      </w:pPr>
      <w:r>
        <w:rPr>
          <w:rFonts w:eastAsia="Times New Roman"/>
          <w:sz w:val="24"/>
          <w:szCs w:val="24"/>
        </w:rPr>
        <w:t xml:space="preserve">For BHP, operating under such regulation creates threats that significantly increases the importance of emission measurement, along with investing in lower-emission technologies (Forster, 2021). Therefore, regulation influences the company both positively and adversely, where decreasing emission baselines can boost compliance costs of BHP, which require additional capital investment (Jin </w:t>
      </w:r>
      <w:r>
        <w:rPr>
          <w:rFonts w:eastAsia="Times New Roman"/>
          <w:i/>
          <w:iCs/>
          <w:sz w:val="24"/>
          <w:szCs w:val="24"/>
        </w:rPr>
        <w:t>et al.</w:t>
      </w:r>
      <w:r>
        <w:rPr>
          <w:rFonts w:eastAsia="Times New Roman"/>
          <w:sz w:val="24"/>
          <w:szCs w:val="24"/>
        </w:rPr>
        <w:t xml:space="preserve">, 2025). </w:t>
      </w:r>
    </w:p>
    <w:p w14:paraId="3F2EF17D" w14:textId="77777777" w:rsidR="00EC7556" w:rsidRDefault="00BA0CF0">
      <w:pPr>
        <w:spacing w:line="360" w:lineRule="auto"/>
        <w:jc w:val="both"/>
        <w:rPr>
          <w:rFonts w:eastAsia="Times New Roman"/>
          <w:sz w:val="24"/>
          <w:szCs w:val="24"/>
        </w:rPr>
      </w:pPr>
      <w:r>
        <w:rPr>
          <w:rFonts w:eastAsia="Times New Roman"/>
          <w:sz w:val="24"/>
          <w:szCs w:val="24"/>
        </w:rPr>
        <w:t>Alternatively, predictable regulatory pressure from the Safeguard Mechanism also enables the company to accelerate innovation and encourage it to invest before future requirements become stricter. Considering this regulatory influence, the climate strategy of BHP addresses the significance of government policy and collaboration in driving the transition to net zero (BHP, 2026e).</w:t>
      </w:r>
    </w:p>
    <w:p w14:paraId="06F324E0" w14:textId="77777777" w:rsidR="00EC7556" w:rsidRDefault="00BA0CF0">
      <w:pPr>
        <w:spacing w:line="360" w:lineRule="auto"/>
        <w:jc w:val="both"/>
        <w:rPr>
          <w:rFonts w:eastAsia="Times New Roman"/>
          <w:sz w:val="24"/>
          <w:szCs w:val="24"/>
        </w:rPr>
      </w:pPr>
      <w:r>
        <w:rPr>
          <w:rFonts w:eastAsia="Times New Roman"/>
          <w:sz w:val="24"/>
          <w:szCs w:val="24"/>
        </w:rPr>
        <w:t>Therefore, the regulatory developments contribute to a more predictable direction of travel for investment in decarbonisation. Thus, the company needs to avoid treating compliance as the ultimate objective because a stronger strategic position can reduce operating emissions while supporting customer requirements, leading to responsible resource production. Therefore, the regulatory and political forces consequently act as constraints on the existing model of the company and also be considered a catalyst for</w:t>
      </w:r>
      <w:r>
        <w:rPr>
          <w:rFonts w:eastAsia="Times New Roman"/>
          <w:sz w:val="24"/>
          <w:szCs w:val="24"/>
        </w:rPr>
        <w:t xml:space="preserve"> innovation and strategic adaptation.          </w:t>
      </w:r>
    </w:p>
    <w:p w14:paraId="38DA5E65" w14:textId="77777777" w:rsidR="00EC7556" w:rsidRDefault="00BA0CF0">
      <w:pPr>
        <w:pStyle w:val="Heading2"/>
        <w:rPr>
          <w:rFonts w:ascii="Arial" w:eastAsia="Times New Roman" w:hAnsi="Arial" w:cs="Arial"/>
          <w:szCs w:val="24"/>
        </w:rPr>
      </w:pPr>
      <w:bookmarkStart w:id="4" w:name="_Toc243423324"/>
      <w:r>
        <w:rPr>
          <w:rFonts w:ascii="Arial" w:eastAsia="Times New Roman" w:hAnsi="Arial" w:cs="Arial"/>
          <w:szCs w:val="24"/>
        </w:rPr>
        <w:t>Social Factors: Growing Expectations of Sustainability</w:t>
      </w:r>
      <w:bookmarkEnd w:id="4"/>
    </w:p>
    <w:p w14:paraId="2C642B4C" w14:textId="77777777" w:rsidR="00EC7556" w:rsidRDefault="00BA0CF0">
      <w:pPr>
        <w:spacing w:line="360" w:lineRule="auto"/>
        <w:jc w:val="both"/>
        <w:rPr>
          <w:rFonts w:eastAsia="Times New Roman"/>
          <w:sz w:val="24"/>
          <w:szCs w:val="24"/>
        </w:rPr>
      </w:pPr>
      <w:r>
        <w:rPr>
          <w:rFonts w:eastAsia="Times New Roman"/>
          <w:sz w:val="24"/>
          <w:szCs w:val="24"/>
        </w:rPr>
        <w:t xml:space="preserve">This external actor determines whether the outer environmental transition of BHP generates commercial and reputational value. The customers of BHP include major industrial businesses and steelmakers and their decarbonisation strategies significantly influence the emissions, which is associated with the production of the company </w:t>
      </w:r>
      <w:r>
        <w:rPr>
          <w:rFonts w:eastAsia="Times New Roman"/>
          <w:sz w:val="24"/>
          <w:szCs w:val="24"/>
        </w:rPr>
        <w:lastRenderedPageBreak/>
        <w:t xml:space="preserve">(GlobalData, 2026). In Australia, 76% of customers and investors are increasingly </w:t>
      </w:r>
      <w:r>
        <w:rPr>
          <w:rFonts w:eastAsia="Times New Roman"/>
          <w:sz w:val="24"/>
          <w:szCs w:val="24"/>
        </w:rPr>
        <w:t>preferring sustainability to promote a better environment, which creates pressure for the company (South People, 2025). Getting external pressure from customers and wider stakeholders influenced the company to develop initiatives and targets, such as reducing at least 30% of operational GHG emissions by 2030 (BHP, 2026e). However, despite these initiatives, industrial customers of the company still need appropriate product quality, commercially viable prices, and reliable supply, while maintaining their own</w:t>
      </w:r>
      <w:r>
        <w:rPr>
          <w:rFonts w:eastAsia="Times New Roman"/>
          <w:sz w:val="24"/>
          <w:szCs w:val="24"/>
        </w:rPr>
        <w:t xml:space="preserve"> environmental footprints (Karim </w:t>
      </w:r>
      <w:r>
        <w:rPr>
          <w:rFonts w:eastAsia="Times New Roman"/>
          <w:i/>
          <w:iCs/>
          <w:sz w:val="24"/>
          <w:szCs w:val="24"/>
        </w:rPr>
        <w:t>et al</w:t>
      </w:r>
      <w:r>
        <w:rPr>
          <w:rFonts w:eastAsia="Times New Roman"/>
          <w:sz w:val="24"/>
          <w:szCs w:val="24"/>
        </w:rPr>
        <w:t xml:space="preserve">., 2024). Thus, it creates a strong tension for BHP in balancing environmental impact with customer demand.  </w:t>
      </w:r>
    </w:p>
    <w:p w14:paraId="19DDDDF3" w14:textId="77777777" w:rsidR="00EC7556" w:rsidRDefault="00BA0CF0">
      <w:pPr>
        <w:spacing w:line="360" w:lineRule="auto"/>
        <w:jc w:val="both"/>
        <w:rPr>
          <w:rFonts w:eastAsia="Times New Roman"/>
          <w:sz w:val="24"/>
          <w:szCs w:val="24"/>
        </w:rPr>
      </w:pPr>
      <w:r>
        <w:rPr>
          <w:rFonts w:eastAsia="Times New Roman"/>
          <w:sz w:val="24"/>
          <w:szCs w:val="24"/>
        </w:rPr>
        <w:t>Other wider stakeholders, like investors, government, and communities, are also influencing its transition towards low-carbon products. For instance, the Climate Transition Action Plan 2024 of the company received 92% shareholder support, which indicates that investors are substantially engaged</w:t>
      </w:r>
      <w:r>
        <w:rPr>
          <w:rFonts w:eastAsia="Times New Roman"/>
          <w:sz w:val="24"/>
          <w:szCs w:val="24"/>
        </w:rPr>
        <w:t xml:space="preserve"> with BHP’s climate strategy (BHP, 2026e). Alternatively, rather than focusing only on sustainability performance, communities and environmental stakeholders evaluate BHP according to its social responsibility, weather management, and biodiversity (BHP, 2026f). </w:t>
      </w:r>
    </w:p>
    <w:p w14:paraId="6F9876DC" w14:textId="77777777" w:rsidR="00EC7556" w:rsidRDefault="00BA0CF0">
      <w:pPr>
        <w:spacing w:line="360" w:lineRule="auto"/>
        <w:jc w:val="both"/>
        <w:rPr>
          <w:rFonts w:eastAsia="Times New Roman"/>
          <w:sz w:val="24"/>
          <w:szCs w:val="24"/>
        </w:rPr>
      </w:pPr>
      <w:r>
        <w:rPr>
          <w:rFonts w:eastAsia="Times New Roman"/>
          <w:sz w:val="24"/>
          <w:szCs w:val="24"/>
        </w:rPr>
        <w:t>Hence, it creates a stakeholder tension between shareholder support, environmental ambition, and social legitimacy. Therefore, the company needs to demonstrate that, rather than relying on a single sustainability narrative, responsible mining creates value for several stakeholders. BHP’s ability to provide credible emissions information, responsible operational practices, and engage customers in decarbonisation can influence whether its lower-carbon position translates into stronger stakeholder relationship</w:t>
      </w:r>
      <w:r>
        <w:rPr>
          <w:rFonts w:eastAsia="Times New Roman"/>
          <w:sz w:val="24"/>
          <w:szCs w:val="24"/>
        </w:rPr>
        <w:t xml:space="preserve">s.       </w:t>
      </w:r>
    </w:p>
    <w:p w14:paraId="4714CFFB" w14:textId="77777777" w:rsidR="00EC7556" w:rsidRDefault="00BA0CF0">
      <w:pPr>
        <w:pStyle w:val="Heading2"/>
        <w:rPr>
          <w:rFonts w:ascii="Arial" w:eastAsia="Times New Roman" w:hAnsi="Arial" w:cs="Arial"/>
          <w:szCs w:val="24"/>
        </w:rPr>
      </w:pPr>
      <w:bookmarkStart w:id="5" w:name="_Toc243423325"/>
      <w:r>
        <w:rPr>
          <w:rFonts w:ascii="Arial" w:eastAsia="Times New Roman" w:hAnsi="Arial" w:cs="Arial"/>
          <w:szCs w:val="24"/>
        </w:rPr>
        <w:t>Critical evaluation</w:t>
      </w:r>
      <w:bookmarkEnd w:id="5"/>
      <w:r>
        <w:rPr>
          <w:rFonts w:ascii="Arial" w:eastAsia="Times New Roman" w:hAnsi="Arial" w:cs="Arial"/>
          <w:szCs w:val="24"/>
        </w:rPr>
        <w:t xml:space="preserve"> </w:t>
      </w:r>
    </w:p>
    <w:p w14:paraId="047BA5FB" w14:textId="77777777" w:rsidR="00EC7556" w:rsidRDefault="00BA0CF0">
      <w:pPr>
        <w:spacing w:line="360" w:lineRule="auto"/>
        <w:jc w:val="both"/>
        <w:rPr>
          <w:rFonts w:eastAsia="Times New Roman"/>
          <w:sz w:val="24"/>
          <w:szCs w:val="24"/>
        </w:rPr>
      </w:pPr>
      <w:r>
        <w:rPr>
          <w:rFonts w:eastAsia="Times New Roman"/>
          <w:sz w:val="24"/>
          <w:szCs w:val="24"/>
        </w:rPr>
        <w:t>Evaluating the three external actors demonstrates that, rather than independent, these factors are more correlated. While external natural environmental pressure creates the fundamental need for the company to adapt to sustainable operations, political and regulatory pressure transform environmental expectations into measurable requirements (BHP, 2026c; DCCEEW, 2026). Similarly, customer and wider stakeholders create the pressure of maintaining the balance between commercial viability and environmental impa</w:t>
      </w:r>
      <w:r>
        <w:rPr>
          <w:rFonts w:eastAsia="Times New Roman"/>
          <w:sz w:val="24"/>
          <w:szCs w:val="24"/>
        </w:rPr>
        <w:t xml:space="preserve">ct (BHP, 2026f). From a critical perspective, the influence of environmental actor is </w:t>
      </w:r>
      <w:r>
        <w:rPr>
          <w:rFonts w:eastAsia="Times New Roman"/>
          <w:sz w:val="24"/>
          <w:szCs w:val="24"/>
        </w:rPr>
        <w:lastRenderedPageBreak/>
        <w:t xml:space="preserve">considered the most significant actor, as it drives the underlying transformation by which </w:t>
      </w:r>
      <w:r>
        <w:rPr>
          <w:rFonts w:eastAsia="Times New Roman"/>
          <w:sz w:val="24"/>
          <w:szCs w:val="24"/>
        </w:rPr>
        <w:t xml:space="preserve">the company shifts towards low-carbon products (BHP, 2026c). However, the impact of this external actor is intensified by stakeholder and regulatory pressure. Therefore, the company faces a dual challenge of decreasing the environmental intensity of its operations while positioning its future portfolio around different commodities that support decarbonisation.      </w:t>
      </w:r>
    </w:p>
    <w:p w14:paraId="169B40D7" w14:textId="77777777" w:rsidR="00EC7556" w:rsidRDefault="00BA0CF0">
      <w:pPr>
        <w:pStyle w:val="Heading1"/>
        <w:rPr>
          <w:rFonts w:ascii="Arial" w:eastAsia="Times New Roman" w:hAnsi="Arial" w:cs="Arial"/>
          <w:szCs w:val="24"/>
        </w:rPr>
      </w:pPr>
      <w:bookmarkStart w:id="6" w:name="_Toc243423326"/>
      <w:r>
        <w:rPr>
          <w:rFonts w:ascii="Arial" w:eastAsia="Times New Roman" w:hAnsi="Arial" w:cs="Arial"/>
          <w:szCs w:val="24"/>
        </w:rPr>
        <w:t>Task 2: Strategic Growth and Competitive Positioning</w:t>
      </w:r>
      <w:bookmarkEnd w:id="6"/>
      <w:r>
        <w:rPr>
          <w:rFonts w:ascii="Arial" w:eastAsia="Times New Roman" w:hAnsi="Arial" w:cs="Arial"/>
          <w:szCs w:val="24"/>
        </w:rPr>
        <w:t xml:space="preserve"> </w:t>
      </w:r>
    </w:p>
    <w:p w14:paraId="5D13237D" w14:textId="77777777" w:rsidR="00EC7556" w:rsidRDefault="00BA0CF0">
      <w:pPr>
        <w:spacing w:line="360" w:lineRule="auto"/>
        <w:jc w:val="both"/>
        <w:rPr>
          <w:rFonts w:eastAsia="Times New Roman"/>
          <w:sz w:val="24"/>
          <w:szCs w:val="24"/>
        </w:rPr>
      </w:pPr>
      <w:r>
        <w:rPr>
          <w:rFonts w:eastAsia="Times New Roman"/>
          <w:sz w:val="24"/>
          <w:szCs w:val="24"/>
        </w:rPr>
        <w:t>From the previous evaluation, it is found that BHP faces a strategic tension between maintaining value from established commodities and repositioning its portfolio towards resources associated with the lower-carbon transition (BHP, 2026d). The strategic challenge is therefore not simply to grow, but to achieve growth that remains commercially attractive while improving the long-term position of BHP in a decarbonising economy. Thus, to suggest a growth approach for the company, the Ansoff Matrix is used, whi</w:t>
      </w:r>
      <w:r>
        <w:rPr>
          <w:rFonts w:eastAsia="Times New Roman"/>
          <w:sz w:val="24"/>
          <w:szCs w:val="24"/>
        </w:rPr>
        <w:t xml:space="preserve">ch is described below. </w:t>
      </w:r>
    </w:p>
    <w:p w14:paraId="424552C5" w14:textId="77777777" w:rsidR="00EC7556" w:rsidRDefault="00BA0CF0">
      <w:pPr>
        <w:pStyle w:val="Heading2"/>
        <w:rPr>
          <w:rFonts w:ascii="Arial" w:eastAsia="Times New Roman" w:hAnsi="Arial" w:cs="Arial"/>
          <w:szCs w:val="24"/>
        </w:rPr>
      </w:pPr>
      <w:bookmarkStart w:id="7" w:name="_Toc243423327"/>
      <w:r>
        <w:rPr>
          <w:rFonts w:ascii="Arial" w:eastAsia="Times New Roman" w:hAnsi="Arial" w:cs="Arial"/>
          <w:szCs w:val="24"/>
        </w:rPr>
        <w:t>Ansoff matrix analysis</w:t>
      </w:r>
      <w:bookmarkEnd w:id="7"/>
      <w:r>
        <w:rPr>
          <w:rFonts w:ascii="Arial" w:eastAsia="Times New Roman" w:hAnsi="Arial" w:cs="Arial"/>
          <w:szCs w:val="24"/>
        </w:rPr>
        <w:t xml:space="preserve"> </w:t>
      </w:r>
    </w:p>
    <w:p w14:paraId="788519AB" w14:textId="77777777" w:rsidR="00EC7556" w:rsidRDefault="00BA0CF0">
      <w:pPr>
        <w:spacing w:line="360" w:lineRule="auto"/>
        <w:jc w:val="both"/>
        <w:rPr>
          <w:rFonts w:eastAsia="Times New Roman"/>
          <w:sz w:val="24"/>
          <w:szCs w:val="24"/>
          <w:shd w:val="clear" w:color="auto" w:fill="C27BA0"/>
        </w:rPr>
      </w:pPr>
      <w:r>
        <w:rPr>
          <w:rFonts w:eastAsia="Times New Roman"/>
          <w:sz w:val="24"/>
          <w:szCs w:val="24"/>
        </w:rPr>
        <w:t>For BHP, applying the Ansoff Matrix presents a different balance between opportunity, risk, and strategic fit by evaluating growth strategies (Loredana, 2016).</w:t>
      </w:r>
      <w:r>
        <w:rPr>
          <w:rFonts w:eastAsia="Times New Roman"/>
          <w:sz w:val="24"/>
          <w:szCs w:val="24"/>
          <w:shd w:val="clear" w:color="auto" w:fill="C27BA0"/>
        </w:rPr>
        <w:t xml:space="preserve"> </w:t>
      </w:r>
    </w:p>
    <w:p w14:paraId="2536A79D" w14:textId="77777777" w:rsidR="00EC7556" w:rsidRDefault="00BA0CF0">
      <w:pPr>
        <w:spacing w:line="360" w:lineRule="auto"/>
        <w:jc w:val="center"/>
        <w:rPr>
          <w:rFonts w:eastAsia="Times New Roman"/>
          <w:sz w:val="24"/>
          <w:szCs w:val="24"/>
        </w:rPr>
      </w:pPr>
      <w:r>
        <w:rPr>
          <w:rFonts w:eastAsia="Times New Roman"/>
          <w:noProof/>
          <w:sz w:val="24"/>
          <w:szCs w:val="24"/>
          <w:lang w:val="en-IN"/>
        </w:rPr>
        <w:drawing>
          <wp:inline distT="0" distB="0" distL="0" distR="0" wp14:anchorId="28E0D436" wp14:editId="5439F54E">
            <wp:extent cx="3619500" cy="3190875"/>
            <wp:effectExtent l="25400" t="25400" r="25400" b="25400"/>
            <wp:docPr id="1029"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2.png"/>
                    <pic:cNvPicPr/>
                  </pic:nvPicPr>
                  <pic:blipFill>
                    <a:blip r:embed="rId9" cstate="print"/>
                    <a:srcRect/>
                    <a:stretch/>
                  </pic:blipFill>
                  <pic:spPr>
                    <a:xfrm>
                      <a:off x="0" y="0"/>
                      <a:ext cx="3619500" cy="3190875"/>
                    </a:xfrm>
                    <a:prstGeom prst="rect">
                      <a:avLst/>
                    </a:prstGeom>
                    <a:ln w="25400" cap="flat" cmpd="sng">
                      <a:solidFill>
                        <a:srgbClr val="000000"/>
                      </a:solidFill>
                      <a:prstDash val="solid"/>
                      <a:round/>
                      <a:headEnd type="none" w="med" len="med"/>
                      <a:tailEnd type="none" w="med" len="med"/>
                    </a:ln>
                  </pic:spPr>
                </pic:pic>
              </a:graphicData>
            </a:graphic>
          </wp:inline>
        </w:drawing>
      </w:r>
    </w:p>
    <w:p w14:paraId="3CC8FA7E" w14:textId="77777777" w:rsidR="00EC7556" w:rsidRDefault="00BA0CF0">
      <w:pPr>
        <w:spacing w:line="360" w:lineRule="auto"/>
        <w:jc w:val="center"/>
        <w:rPr>
          <w:rFonts w:eastAsia="Times New Roman"/>
          <w:sz w:val="24"/>
          <w:szCs w:val="24"/>
        </w:rPr>
      </w:pPr>
      <w:r>
        <w:rPr>
          <w:rFonts w:eastAsia="Times New Roman"/>
          <w:sz w:val="24"/>
          <w:szCs w:val="24"/>
        </w:rPr>
        <w:t>Figure 3: Ansoff Matrix</w:t>
      </w:r>
    </w:p>
    <w:p w14:paraId="053E800E" w14:textId="77777777" w:rsidR="00EC7556" w:rsidRDefault="00BA0CF0">
      <w:pPr>
        <w:spacing w:line="360" w:lineRule="auto"/>
        <w:jc w:val="center"/>
        <w:rPr>
          <w:rFonts w:eastAsia="Times New Roman"/>
          <w:sz w:val="24"/>
          <w:szCs w:val="24"/>
        </w:rPr>
      </w:pPr>
      <w:r>
        <w:rPr>
          <w:rFonts w:eastAsia="Times New Roman"/>
          <w:sz w:val="24"/>
          <w:szCs w:val="24"/>
        </w:rPr>
        <w:lastRenderedPageBreak/>
        <w:t>(Source: Loredana, 2016)</w:t>
      </w:r>
    </w:p>
    <w:p w14:paraId="49C3491D" w14:textId="77777777" w:rsidR="00EC7556" w:rsidRDefault="00BA0CF0">
      <w:pPr>
        <w:spacing w:line="360" w:lineRule="auto"/>
        <w:jc w:val="both"/>
        <w:rPr>
          <w:rFonts w:eastAsia="Times New Roman"/>
          <w:b/>
          <w:bCs/>
          <w:sz w:val="24"/>
          <w:szCs w:val="24"/>
        </w:rPr>
      </w:pPr>
      <w:r>
        <w:rPr>
          <w:rFonts w:eastAsia="Times New Roman"/>
          <w:b/>
          <w:bCs/>
          <w:sz w:val="24"/>
          <w:szCs w:val="24"/>
        </w:rPr>
        <w:t xml:space="preserve">Market penetration </w:t>
      </w:r>
    </w:p>
    <w:p w14:paraId="63D8C7EE" w14:textId="77777777" w:rsidR="00EC7556" w:rsidRDefault="00BA0CF0">
      <w:pPr>
        <w:spacing w:line="360" w:lineRule="auto"/>
        <w:jc w:val="both"/>
        <w:rPr>
          <w:rFonts w:eastAsia="Times New Roman"/>
          <w:sz w:val="24"/>
          <w:szCs w:val="24"/>
        </w:rPr>
      </w:pPr>
      <w:r>
        <w:rPr>
          <w:rFonts w:eastAsia="Times New Roman"/>
          <w:sz w:val="24"/>
          <w:szCs w:val="24"/>
        </w:rPr>
        <w:t xml:space="preserve">Applying the approach of market penetration by BHP can enable it to increase its share of existing markets through existing commodities (Ferreira and de Sá, 2024). The company can implement this approach through productivity improvements and cost control, which can provide a low-risk option, as BHP already has relevant market knowledge and capabilities (BHP, 2026g). </w:t>
      </w:r>
    </w:p>
    <w:p w14:paraId="0E7AF2F8" w14:textId="77777777" w:rsidR="00EC7556" w:rsidRDefault="00BA0CF0">
      <w:pPr>
        <w:spacing w:line="360" w:lineRule="auto"/>
        <w:jc w:val="both"/>
        <w:rPr>
          <w:rFonts w:eastAsia="Times New Roman"/>
          <w:sz w:val="24"/>
          <w:szCs w:val="24"/>
        </w:rPr>
      </w:pPr>
      <w:r>
        <w:rPr>
          <w:rFonts w:eastAsia="Times New Roman"/>
          <w:bCs/>
          <w:sz w:val="24"/>
          <w:szCs w:val="24"/>
        </w:rPr>
        <w:t xml:space="preserve">Nevertheless, conducting the environmental analysis highlights that BHP faces challenges in meeting existing market demand due to having gaps in its existing product development and technologies. Operating in the existing market (Australia) with this gap can hinder the growth of the company. Thus, market penetration is not a suitable growth strategy for BHP because it is insufficient as the primary long-term growth strategy.  </w:t>
      </w:r>
      <w:r>
        <w:rPr>
          <w:rFonts w:eastAsia="Times New Roman"/>
          <w:sz w:val="24"/>
          <w:szCs w:val="24"/>
        </w:rPr>
        <w:t xml:space="preserve">   </w:t>
      </w:r>
    </w:p>
    <w:p w14:paraId="1DC7D116" w14:textId="77777777" w:rsidR="00EC7556" w:rsidRDefault="00BA0CF0">
      <w:pPr>
        <w:spacing w:line="360" w:lineRule="auto"/>
        <w:jc w:val="both"/>
        <w:rPr>
          <w:rFonts w:eastAsia="Times New Roman"/>
          <w:b/>
          <w:bCs/>
          <w:sz w:val="24"/>
          <w:szCs w:val="24"/>
        </w:rPr>
      </w:pPr>
      <w:r>
        <w:rPr>
          <w:rFonts w:eastAsia="Times New Roman"/>
          <w:b/>
          <w:bCs/>
          <w:sz w:val="24"/>
          <w:szCs w:val="24"/>
        </w:rPr>
        <w:t>Product development</w:t>
      </w:r>
    </w:p>
    <w:p w14:paraId="15AD0D4A" w14:textId="77777777" w:rsidR="00EC7556" w:rsidRDefault="00BA0CF0">
      <w:pPr>
        <w:spacing w:line="360" w:lineRule="auto"/>
        <w:jc w:val="both"/>
        <w:rPr>
          <w:rFonts w:eastAsia="Times New Roman"/>
          <w:bCs/>
          <w:sz w:val="24"/>
          <w:szCs w:val="24"/>
        </w:rPr>
      </w:pPr>
      <w:r>
        <w:rPr>
          <w:rFonts w:eastAsia="Times New Roman"/>
          <w:sz w:val="24"/>
          <w:szCs w:val="24"/>
        </w:rPr>
        <w:t xml:space="preserve">Through this approach, the company can introduce or differentiate new offerings in its existing markets, where adapting lower-emission mineral production, higher-quality ores, collaboration, and improved traceability can support the strategy implementation (Ferreira and de Sá, 2024). </w:t>
      </w:r>
      <w:r>
        <w:rPr>
          <w:rFonts w:eastAsia="Times New Roman"/>
          <w:bCs/>
          <w:sz w:val="24"/>
          <w:szCs w:val="24"/>
        </w:rPr>
        <w:t xml:space="preserve">This option is particularly relevant for BHP because its existing market already has a huge sustainability demand, where adapting product development can enable it to meet customers’ needs and investment in technologies to reduce emission intensity (BHP, 2026e). </w:t>
      </w:r>
    </w:p>
    <w:p w14:paraId="2AE3909F" w14:textId="77777777" w:rsidR="00EC7556" w:rsidRDefault="00BA0CF0">
      <w:pPr>
        <w:spacing w:line="360" w:lineRule="auto"/>
        <w:jc w:val="both"/>
        <w:rPr>
          <w:rFonts w:eastAsia="Times New Roman"/>
          <w:bCs/>
          <w:sz w:val="24"/>
          <w:szCs w:val="24"/>
        </w:rPr>
      </w:pPr>
      <w:r>
        <w:rPr>
          <w:rFonts w:eastAsia="Times New Roman"/>
          <w:bCs/>
          <w:sz w:val="24"/>
          <w:szCs w:val="24"/>
        </w:rPr>
        <w:t xml:space="preserve">For example, through product development, the company should manufacture hydrogen-powered mining haul trucks in its mining process to reduce emissions by replacing massive diesel engines. Although the commercial return is uncertain because of price sensitivity, the product development strategy can transform its environmental performance into customer value by embedding eco-friendly choices into every product life cycle stage (Ferreira and de Sá, 2024). </w:t>
      </w:r>
    </w:p>
    <w:p w14:paraId="772FFB33" w14:textId="77777777" w:rsidR="00EC7556" w:rsidRDefault="00BA0CF0">
      <w:pPr>
        <w:spacing w:line="360" w:lineRule="auto"/>
        <w:jc w:val="both"/>
        <w:rPr>
          <w:rFonts w:eastAsia="Times New Roman"/>
          <w:sz w:val="24"/>
          <w:szCs w:val="24"/>
        </w:rPr>
      </w:pPr>
      <w:r>
        <w:rPr>
          <w:rFonts w:eastAsia="Times New Roman"/>
          <w:bCs/>
          <w:sz w:val="24"/>
          <w:szCs w:val="24"/>
        </w:rPr>
        <w:t>Therefore, it is a suitable growth strategy for the company, which can provide a bridge between the company’s existing capabilities and changing customer requirements.</w:t>
      </w:r>
      <w:r>
        <w:rPr>
          <w:rFonts w:eastAsia="Times New Roman"/>
          <w:sz w:val="24"/>
          <w:szCs w:val="24"/>
        </w:rPr>
        <w:t xml:space="preserve">      </w:t>
      </w:r>
    </w:p>
    <w:p w14:paraId="06C4D2C2" w14:textId="77777777" w:rsidR="00EC7556" w:rsidRDefault="00BA0CF0">
      <w:pPr>
        <w:spacing w:line="360" w:lineRule="auto"/>
        <w:jc w:val="both"/>
        <w:rPr>
          <w:rFonts w:eastAsia="Times New Roman"/>
          <w:b/>
          <w:bCs/>
          <w:sz w:val="24"/>
          <w:szCs w:val="24"/>
        </w:rPr>
      </w:pPr>
      <w:r>
        <w:rPr>
          <w:rFonts w:eastAsia="Times New Roman"/>
          <w:b/>
          <w:bCs/>
          <w:sz w:val="24"/>
          <w:szCs w:val="24"/>
        </w:rPr>
        <w:t xml:space="preserve">Market development </w:t>
      </w:r>
    </w:p>
    <w:p w14:paraId="47D62070" w14:textId="77777777" w:rsidR="00EC7556" w:rsidRDefault="00BA0CF0">
      <w:pPr>
        <w:spacing w:line="360" w:lineRule="auto"/>
        <w:jc w:val="both"/>
        <w:rPr>
          <w:rFonts w:eastAsia="Times New Roman"/>
          <w:bCs/>
          <w:sz w:val="24"/>
          <w:szCs w:val="24"/>
        </w:rPr>
      </w:pPr>
      <w:r>
        <w:rPr>
          <w:rFonts w:eastAsia="Times New Roman"/>
          <w:sz w:val="24"/>
          <w:szCs w:val="24"/>
        </w:rPr>
        <w:t xml:space="preserve">For BHP, it can involve taking existing products into new markets, by which the company can expand its geographical applications of existing commodities (Ferreira and de Sá, </w:t>
      </w:r>
      <w:r>
        <w:rPr>
          <w:rFonts w:eastAsia="Times New Roman"/>
          <w:sz w:val="24"/>
          <w:szCs w:val="24"/>
        </w:rPr>
        <w:lastRenderedPageBreak/>
        <w:t xml:space="preserve">2024). </w:t>
      </w:r>
      <w:r>
        <w:rPr>
          <w:rFonts w:eastAsia="Times New Roman"/>
          <w:bCs/>
          <w:sz w:val="24"/>
          <w:szCs w:val="24"/>
        </w:rPr>
        <w:t xml:space="preserve">Considering the environmental analysis, international mining markets are exposed to regulatory and geopolitical risks, which may create regulatory challenges for the company (Radebe and Chipangamate, 2024). </w:t>
      </w:r>
    </w:p>
    <w:p w14:paraId="7CA738DB" w14:textId="77777777" w:rsidR="00EC7556" w:rsidRDefault="00BA0CF0">
      <w:pPr>
        <w:spacing w:line="360" w:lineRule="auto"/>
        <w:jc w:val="both"/>
        <w:rPr>
          <w:rFonts w:eastAsia="Times New Roman"/>
          <w:sz w:val="24"/>
          <w:szCs w:val="24"/>
        </w:rPr>
      </w:pPr>
      <w:r>
        <w:rPr>
          <w:rFonts w:eastAsia="Times New Roman"/>
          <w:bCs/>
          <w:sz w:val="24"/>
          <w:szCs w:val="24"/>
        </w:rPr>
        <w:t>Following market development although provides the opportunity for market expansion in different countries, such as Nigeria and Germany, it also creates external regulatory barriers for BHP, where it may face restrictions to meet international environmental rules and regulations. Thus, this strategy is not suitable for the company because it includes external regulatory challenges.</w:t>
      </w:r>
      <w:r>
        <w:rPr>
          <w:rFonts w:eastAsia="Times New Roman"/>
          <w:b/>
          <w:bCs/>
          <w:sz w:val="24"/>
          <w:szCs w:val="24"/>
        </w:rPr>
        <w:t xml:space="preserve"> </w:t>
      </w:r>
      <w:r>
        <w:rPr>
          <w:rFonts w:eastAsia="Times New Roman"/>
          <w:sz w:val="24"/>
          <w:szCs w:val="24"/>
        </w:rPr>
        <w:t xml:space="preserve"> </w:t>
      </w:r>
    </w:p>
    <w:p w14:paraId="363D3766" w14:textId="77777777" w:rsidR="00EC7556" w:rsidRDefault="00BA0CF0">
      <w:pPr>
        <w:spacing w:line="360" w:lineRule="auto"/>
        <w:jc w:val="both"/>
        <w:rPr>
          <w:rFonts w:eastAsia="Times New Roman"/>
          <w:b/>
          <w:bCs/>
          <w:sz w:val="24"/>
          <w:szCs w:val="24"/>
        </w:rPr>
      </w:pPr>
      <w:r>
        <w:rPr>
          <w:rFonts w:eastAsia="Times New Roman"/>
          <w:b/>
          <w:bCs/>
          <w:sz w:val="24"/>
          <w:szCs w:val="24"/>
        </w:rPr>
        <w:t>Diversification</w:t>
      </w:r>
    </w:p>
    <w:p w14:paraId="6583180C" w14:textId="77777777" w:rsidR="00EC7556" w:rsidRDefault="00BA0CF0">
      <w:pPr>
        <w:spacing w:line="360" w:lineRule="auto"/>
        <w:jc w:val="both"/>
        <w:rPr>
          <w:rFonts w:eastAsia="Times New Roman"/>
          <w:sz w:val="24"/>
          <w:szCs w:val="24"/>
        </w:rPr>
      </w:pPr>
      <w:r>
        <w:rPr>
          <w:rFonts w:eastAsia="Times New Roman"/>
          <w:sz w:val="24"/>
          <w:szCs w:val="24"/>
        </w:rPr>
        <w:t xml:space="preserve">Adapting diversification can enable BHP to reduce its dependency on individual commodities by creating exposure to new long-term demand drivers (Ferreira and de Sá, 2024). </w:t>
      </w:r>
      <w:r>
        <w:rPr>
          <w:rFonts w:eastAsia="Times New Roman"/>
          <w:bCs/>
          <w:sz w:val="24"/>
          <w:szCs w:val="24"/>
        </w:rPr>
        <w:t>However, applying this approach requires significant market knowledge about international regulatory compliance (Pereira Ferraz Soares Ferreira and Marques, 2024). Also, expanding its business in new countries, like Nigeria with new products, like sustainable technologies may face regulatory risks and financial constraints. Therefore, following this approach is not suitable for the company.</w:t>
      </w:r>
      <w:r>
        <w:rPr>
          <w:rFonts w:eastAsia="Times New Roman"/>
          <w:sz w:val="24"/>
          <w:szCs w:val="24"/>
        </w:rPr>
        <w:t xml:space="preserve">     </w:t>
      </w:r>
    </w:p>
    <w:p w14:paraId="713E75F3" w14:textId="77777777" w:rsidR="00EC7556" w:rsidRDefault="00BA0CF0">
      <w:pPr>
        <w:pStyle w:val="Heading2"/>
        <w:rPr>
          <w:rFonts w:ascii="Arial" w:eastAsia="Times New Roman" w:hAnsi="Arial" w:cs="Arial"/>
          <w:szCs w:val="24"/>
        </w:rPr>
      </w:pPr>
      <w:bookmarkStart w:id="8" w:name="_Toc243423328"/>
      <w:r>
        <w:rPr>
          <w:rFonts w:ascii="Arial" w:eastAsia="Times New Roman" w:hAnsi="Arial" w:cs="Arial"/>
          <w:szCs w:val="24"/>
        </w:rPr>
        <w:t>Recommended growth strategy</w:t>
      </w:r>
      <w:bookmarkEnd w:id="8"/>
      <w:r>
        <w:rPr>
          <w:rFonts w:ascii="Arial" w:eastAsia="Times New Roman" w:hAnsi="Arial" w:cs="Arial"/>
          <w:szCs w:val="24"/>
        </w:rPr>
        <w:t xml:space="preserve"> </w:t>
      </w:r>
    </w:p>
    <w:p w14:paraId="043FD335" w14:textId="77777777" w:rsidR="00EC7556" w:rsidRDefault="00BA0CF0">
      <w:pPr>
        <w:spacing w:line="360" w:lineRule="auto"/>
        <w:jc w:val="both"/>
        <w:rPr>
          <w:rFonts w:eastAsia="Times New Roman"/>
          <w:sz w:val="24"/>
          <w:szCs w:val="24"/>
        </w:rPr>
      </w:pPr>
      <w:r>
        <w:rPr>
          <w:rFonts w:eastAsia="Times New Roman"/>
          <w:sz w:val="24"/>
          <w:szCs w:val="24"/>
        </w:rPr>
        <w:t>Evaluating all the four dimensions of Ansoff Matrix demonstrates that product development is the most appropriate approach for BHP, which can not only support substantial growth but also enable to mitigate the challenges that are identified in Task 1. While increasing environmental pressures create demand for lower-emissions mining production, applying product development can allow the company to convert environmental constraints into customer value through developing more sustainable products (Iheanachor</w:t>
      </w:r>
      <w:r>
        <w:rPr>
          <w:rFonts w:eastAsia="Times New Roman"/>
          <w:sz w:val="24"/>
          <w:szCs w:val="24"/>
        </w:rPr>
        <w:t xml:space="preserve">, Umukoro and David-West, 2021). </w:t>
      </w:r>
    </w:p>
    <w:p w14:paraId="1F964956" w14:textId="77777777" w:rsidR="00EC7556" w:rsidRDefault="00BA0CF0">
      <w:pPr>
        <w:spacing w:line="360" w:lineRule="auto"/>
        <w:jc w:val="both"/>
        <w:rPr>
          <w:rFonts w:eastAsia="Times New Roman"/>
          <w:sz w:val="24"/>
          <w:szCs w:val="24"/>
        </w:rPr>
      </w:pPr>
      <w:r>
        <w:rPr>
          <w:rFonts w:eastAsia="Times New Roman"/>
          <w:sz w:val="24"/>
          <w:szCs w:val="24"/>
        </w:rPr>
        <w:t xml:space="preserve">Besides this, due to operating under Australia's Safeguard Mechanism, BHP continuously gets pressure to reduce environmental impact, where investing in technologies through product development strategy can allow it to implement more innovative and eco-friendly technologies in its mining production (Khan, Khan and Ahmad, 2025). </w:t>
      </w:r>
    </w:p>
    <w:p w14:paraId="63881ABE" w14:textId="77777777" w:rsidR="00EC7556" w:rsidRDefault="00BA0CF0">
      <w:pPr>
        <w:spacing w:line="360" w:lineRule="auto"/>
        <w:jc w:val="both"/>
        <w:rPr>
          <w:rFonts w:eastAsia="Times New Roman"/>
          <w:sz w:val="24"/>
          <w:szCs w:val="24"/>
        </w:rPr>
      </w:pPr>
      <w:r>
        <w:rPr>
          <w:rFonts w:eastAsia="Times New Roman"/>
          <w:sz w:val="24"/>
          <w:szCs w:val="24"/>
        </w:rPr>
        <w:t xml:space="preserve">Thus, it will focus on developing sustainable technologies and processes for mining. Therefore, aligning product development with the company’s existing capabilities can </w:t>
      </w:r>
      <w:r>
        <w:rPr>
          <w:rFonts w:eastAsia="Times New Roman"/>
          <w:sz w:val="24"/>
          <w:szCs w:val="24"/>
        </w:rPr>
        <w:lastRenderedPageBreak/>
        <w:t xml:space="preserve">strengthen customer relationships and provide a lower-growth pathway while reducing transition risk by meeting evolving market requirements.  </w:t>
      </w:r>
    </w:p>
    <w:p w14:paraId="7776D532" w14:textId="77777777" w:rsidR="00EC7556" w:rsidRDefault="00BA0CF0">
      <w:pPr>
        <w:pStyle w:val="Heading2"/>
        <w:rPr>
          <w:rFonts w:ascii="Arial" w:eastAsia="Times New Roman" w:hAnsi="Arial" w:cs="Arial"/>
          <w:szCs w:val="24"/>
        </w:rPr>
      </w:pPr>
      <w:bookmarkStart w:id="9" w:name="_Toc243423329"/>
      <w:r>
        <w:rPr>
          <w:rFonts w:ascii="Arial" w:eastAsia="Times New Roman" w:hAnsi="Arial" w:cs="Arial"/>
          <w:szCs w:val="24"/>
        </w:rPr>
        <w:t>Potential competitive advantage : Applying Porter’s Generic Strategies</w:t>
      </w:r>
      <w:bookmarkEnd w:id="9"/>
    </w:p>
    <w:p w14:paraId="24DDC7C4" w14:textId="77777777" w:rsidR="00EC7556" w:rsidRDefault="00BA0CF0">
      <w:pPr>
        <w:spacing w:line="360" w:lineRule="auto"/>
        <w:jc w:val="both"/>
        <w:rPr>
          <w:rFonts w:eastAsia="Times New Roman"/>
          <w:sz w:val="24"/>
          <w:szCs w:val="24"/>
        </w:rPr>
      </w:pPr>
      <w:r>
        <w:rPr>
          <w:rFonts w:eastAsia="Times New Roman"/>
          <w:sz w:val="24"/>
          <w:szCs w:val="24"/>
        </w:rPr>
        <w:t xml:space="preserve">The company can use Porter’s Generic Strategies framework, where differentiation leadership strategy is appropriate for BHP, as it can create competitive advantage by offering distinctive value that customers recognise beyond price (Subrahmanyam, 2019).   </w:t>
      </w:r>
    </w:p>
    <w:p w14:paraId="6B45738E" w14:textId="77777777" w:rsidR="00EC7556" w:rsidRDefault="00BA0CF0">
      <w:pPr>
        <w:spacing w:line="360" w:lineRule="auto"/>
        <w:jc w:val="center"/>
        <w:rPr>
          <w:rFonts w:eastAsia="Times New Roman"/>
          <w:sz w:val="24"/>
          <w:szCs w:val="24"/>
        </w:rPr>
      </w:pPr>
      <w:r>
        <w:rPr>
          <w:rFonts w:eastAsia="Times New Roman"/>
          <w:noProof/>
          <w:sz w:val="24"/>
          <w:szCs w:val="24"/>
          <w:lang w:val="en-IN"/>
        </w:rPr>
        <w:drawing>
          <wp:inline distT="0" distB="0" distL="0" distR="0" wp14:anchorId="4E849B6F" wp14:editId="504BD2F5">
            <wp:extent cx="4486275" cy="3467864"/>
            <wp:effectExtent l="25400" t="25400" r="25400" b="25400"/>
            <wp:docPr id="1030"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cstate="print"/>
                    <a:srcRect/>
                    <a:stretch/>
                  </pic:blipFill>
                  <pic:spPr>
                    <a:xfrm>
                      <a:off x="0" y="0"/>
                      <a:ext cx="4486275" cy="3467864"/>
                    </a:xfrm>
                    <a:prstGeom prst="rect">
                      <a:avLst/>
                    </a:prstGeom>
                    <a:ln w="25400" cap="flat" cmpd="sng">
                      <a:solidFill>
                        <a:srgbClr val="000000"/>
                      </a:solidFill>
                      <a:prstDash val="solid"/>
                      <a:round/>
                      <a:headEnd type="none" w="med" len="med"/>
                      <a:tailEnd type="none" w="med" len="med"/>
                    </a:ln>
                  </pic:spPr>
                </pic:pic>
              </a:graphicData>
            </a:graphic>
          </wp:inline>
        </w:drawing>
      </w:r>
    </w:p>
    <w:p w14:paraId="626F081E" w14:textId="77777777" w:rsidR="00EC7556" w:rsidRDefault="00BA0CF0">
      <w:pPr>
        <w:spacing w:line="360" w:lineRule="auto"/>
        <w:jc w:val="center"/>
        <w:rPr>
          <w:rFonts w:eastAsia="Times New Roman"/>
          <w:sz w:val="24"/>
          <w:szCs w:val="24"/>
        </w:rPr>
      </w:pPr>
      <w:r>
        <w:rPr>
          <w:rFonts w:eastAsia="Times New Roman"/>
          <w:sz w:val="24"/>
          <w:szCs w:val="24"/>
        </w:rPr>
        <w:t xml:space="preserve">Figure 4: Porter’s Generic Strategies </w:t>
      </w:r>
    </w:p>
    <w:p w14:paraId="589758B7" w14:textId="77777777" w:rsidR="00EC7556" w:rsidRDefault="00BA0CF0">
      <w:pPr>
        <w:spacing w:line="360" w:lineRule="auto"/>
        <w:jc w:val="center"/>
        <w:rPr>
          <w:rFonts w:eastAsia="Times New Roman"/>
          <w:sz w:val="24"/>
          <w:szCs w:val="24"/>
        </w:rPr>
      </w:pPr>
      <w:r>
        <w:rPr>
          <w:rFonts w:eastAsia="Times New Roman"/>
          <w:sz w:val="24"/>
          <w:szCs w:val="24"/>
        </w:rPr>
        <w:t>(Source: Subrahmanyam, 2019)</w:t>
      </w:r>
    </w:p>
    <w:p w14:paraId="41333AF3" w14:textId="77777777" w:rsidR="00EC7556" w:rsidRDefault="00BA0CF0">
      <w:pPr>
        <w:spacing w:line="360" w:lineRule="auto"/>
        <w:jc w:val="both"/>
        <w:rPr>
          <w:rFonts w:eastAsia="Times New Roman"/>
          <w:sz w:val="24"/>
          <w:szCs w:val="24"/>
        </w:rPr>
      </w:pPr>
      <w:r>
        <w:rPr>
          <w:rFonts w:eastAsia="Times New Roman"/>
          <w:sz w:val="24"/>
          <w:szCs w:val="24"/>
        </w:rPr>
        <w:t>Through this strategy, the company can differentiate its mineral p</w:t>
      </w:r>
      <w:r>
        <w:rPr>
          <w:rFonts w:eastAsia="Times New Roman"/>
          <w:bCs/>
          <w:sz w:val="24"/>
          <w:szCs w:val="24"/>
        </w:rPr>
        <w:t>roducts by lower-emission production through developing sustainable mining technologies, which can support eco-friendly production of resources.</w:t>
      </w:r>
      <w:r>
        <w:rPr>
          <w:rFonts w:eastAsia="Times New Roman"/>
          <w:sz w:val="24"/>
          <w:szCs w:val="24"/>
        </w:rPr>
        <w:t xml:space="preserve"> Furthermore, the company has a strong ability to establish customer relationships and has a high-quality resource base, which can support this differentiation by making its sustainability proposition difficult to replicate quickly (BHP, 2026a). </w:t>
      </w:r>
    </w:p>
    <w:p w14:paraId="65694747" w14:textId="77777777" w:rsidR="00EC7556" w:rsidRDefault="00BA0CF0">
      <w:pPr>
        <w:spacing w:line="360" w:lineRule="auto"/>
        <w:jc w:val="both"/>
        <w:rPr>
          <w:rFonts w:eastAsia="Times New Roman"/>
          <w:sz w:val="24"/>
          <w:szCs w:val="24"/>
        </w:rPr>
      </w:pPr>
      <w:r>
        <w:rPr>
          <w:rFonts w:eastAsia="Times New Roman"/>
          <w:sz w:val="24"/>
          <w:szCs w:val="24"/>
        </w:rPr>
        <w:t xml:space="preserve">Therefore, combining product development strategy with differentiation leadership can allow BHP to transform environmental capabilities into superior customer value by </w:t>
      </w:r>
      <w:r>
        <w:rPr>
          <w:rFonts w:eastAsia="Times New Roman"/>
          <w:sz w:val="24"/>
          <w:szCs w:val="24"/>
        </w:rPr>
        <w:lastRenderedPageBreak/>
        <w:t xml:space="preserve">potentially meeting customer and market demand while achieving competitive advantages.  </w:t>
      </w:r>
    </w:p>
    <w:p w14:paraId="12E0682E" w14:textId="77777777" w:rsidR="00EC7556" w:rsidRDefault="00BA0CF0">
      <w:pPr>
        <w:pStyle w:val="Heading1"/>
        <w:rPr>
          <w:rFonts w:ascii="Arial" w:eastAsia="Times New Roman" w:hAnsi="Arial" w:cs="Arial"/>
          <w:szCs w:val="24"/>
        </w:rPr>
      </w:pPr>
      <w:bookmarkStart w:id="10" w:name="_Toc243423330"/>
      <w:r>
        <w:rPr>
          <w:rFonts w:ascii="Arial" w:eastAsia="Times New Roman" w:hAnsi="Arial" w:cs="Arial"/>
          <w:szCs w:val="24"/>
        </w:rPr>
        <w:t>Task 3: Managerial and Professional Reflection</w:t>
      </w:r>
      <w:bookmarkEnd w:id="10"/>
      <w:r>
        <w:rPr>
          <w:rFonts w:ascii="Arial" w:eastAsia="Times New Roman" w:hAnsi="Arial" w:cs="Arial"/>
          <w:szCs w:val="24"/>
        </w:rPr>
        <w:t xml:space="preserve"> </w:t>
      </w:r>
    </w:p>
    <w:p w14:paraId="46096A14" w14:textId="77777777" w:rsidR="00EC7556" w:rsidRDefault="00BA0CF0">
      <w:pPr>
        <w:spacing w:line="360" w:lineRule="auto"/>
        <w:jc w:val="both"/>
        <w:rPr>
          <w:rFonts w:eastAsia="Times New Roman"/>
          <w:sz w:val="24"/>
          <w:szCs w:val="24"/>
        </w:rPr>
      </w:pPr>
      <w:r>
        <w:rPr>
          <w:rFonts w:eastAsia="Times New Roman"/>
          <w:sz w:val="24"/>
          <w:szCs w:val="24"/>
        </w:rPr>
        <w:t>In this assessment, BHP is selected because it has the leading position in the global mining industry, which provides a strong context for assessing how external environmental pressures influence marketing and strategic growth decisions (BHP, 2026). In particular, I selected BHP because it operates across commodities with different levels of exposure to the low-carbon transition, which creates a strategic tension between maintaining established sources of value and increasing exposure to future-facing commo</w:t>
      </w:r>
      <w:r>
        <w:rPr>
          <w:rFonts w:eastAsia="Times New Roman"/>
          <w:sz w:val="24"/>
          <w:szCs w:val="24"/>
        </w:rPr>
        <w:t xml:space="preserve">dities (BHP, 2026e). </w:t>
      </w:r>
    </w:p>
    <w:p w14:paraId="72375209" w14:textId="77777777" w:rsidR="00EC7556" w:rsidRDefault="00BA0CF0">
      <w:pPr>
        <w:spacing w:line="360" w:lineRule="auto"/>
        <w:jc w:val="both"/>
        <w:rPr>
          <w:rFonts w:eastAsia="Times New Roman"/>
          <w:sz w:val="24"/>
          <w:szCs w:val="24"/>
        </w:rPr>
      </w:pPr>
      <w:r>
        <w:rPr>
          <w:rFonts w:eastAsia="Times New Roman"/>
          <w:sz w:val="24"/>
          <w:szCs w:val="24"/>
        </w:rPr>
        <w:t xml:space="preserve">Thus, it makes the company more suitable for investigating how environmental change can create both risks and opportunities for managerial decision-making. From a professional perspective, I also found that the company provides sufficient evidence of climate-transition initiatives and stakeholder expectations, which ultimately support an applied environmental analysis (BHP, 2026a).    </w:t>
      </w:r>
    </w:p>
    <w:p w14:paraId="4F531C21" w14:textId="77777777" w:rsidR="00EC7556" w:rsidRDefault="00BA0CF0">
      <w:pPr>
        <w:spacing w:line="360" w:lineRule="auto"/>
        <w:jc w:val="both"/>
        <w:rPr>
          <w:rFonts w:eastAsia="Times New Roman"/>
          <w:sz w:val="24"/>
          <w:szCs w:val="24"/>
        </w:rPr>
      </w:pPr>
      <w:r>
        <w:rPr>
          <w:rFonts w:eastAsia="Times New Roman"/>
          <w:sz w:val="24"/>
          <w:szCs w:val="24"/>
        </w:rPr>
        <w:t xml:space="preserve">I have selected three main external actors, which provided a connected explanation of the pressures influencing BHP. The natural or environmental actor has been prioritised because emissions reduction, climate change, and sustainability pressures are the significant fundamental drivers of the transition of the mining industry (BHP, 2026c). </w:t>
      </w:r>
    </w:p>
    <w:p w14:paraId="426AF761" w14:textId="77777777" w:rsidR="00EC7556" w:rsidRDefault="00BA0CF0">
      <w:pPr>
        <w:spacing w:line="360" w:lineRule="auto"/>
        <w:jc w:val="both"/>
        <w:rPr>
          <w:rFonts w:eastAsia="Times New Roman"/>
          <w:sz w:val="24"/>
          <w:szCs w:val="24"/>
        </w:rPr>
      </w:pPr>
      <w:r>
        <w:rPr>
          <w:rFonts w:eastAsia="Times New Roman"/>
          <w:sz w:val="24"/>
          <w:szCs w:val="24"/>
        </w:rPr>
        <w:t>Then I considered the political and regulatory environment because government regulation can convert environmental expectations into formal operational requirements (Forster, 2021). In a similar way, I selected customers and wider stakeholders because their expectations significantly influence corporate legitimacy, commercial value of sustainability initiatives, and market acceptance (GlobalData, 2026). Thus, I selected these three external actors, which provided me with a stronger foundation to analyse the</w:t>
      </w:r>
      <w:r>
        <w:rPr>
          <w:rFonts w:eastAsia="Times New Roman"/>
          <w:sz w:val="24"/>
          <w:szCs w:val="24"/>
        </w:rPr>
        <w:t xml:space="preserve"> influence level for the company.     </w:t>
      </w:r>
    </w:p>
    <w:p w14:paraId="1CA11277" w14:textId="77777777" w:rsidR="00EC7556" w:rsidRDefault="00BA0CF0">
      <w:pPr>
        <w:spacing w:line="360" w:lineRule="auto"/>
        <w:jc w:val="both"/>
        <w:rPr>
          <w:rFonts w:eastAsia="Times New Roman"/>
          <w:sz w:val="24"/>
          <w:szCs w:val="24"/>
        </w:rPr>
      </w:pPr>
      <w:r>
        <w:rPr>
          <w:rFonts w:eastAsia="Times New Roman"/>
          <w:sz w:val="24"/>
          <w:szCs w:val="24"/>
        </w:rPr>
        <w:t>To achieve business growth, I used the Ansoff matrix to select an appropriate growth strategy. After evaluating the four components, I selected the product development strategy because it can effectively balance market opportunity and risks through existing resources and abilities (BHP, 2026d). Selec</w:t>
      </w:r>
      <w:r>
        <w:rPr>
          <w:rFonts w:eastAsia="Times New Roman"/>
          <w:bCs/>
          <w:sz w:val="24"/>
          <w:szCs w:val="24"/>
        </w:rPr>
        <w:t xml:space="preserve">ting this growth strategy also supports the company in lower-emission production by introducing sustainable mining technologies </w:t>
      </w:r>
      <w:r>
        <w:rPr>
          <w:rFonts w:eastAsia="Times New Roman"/>
          <w:bCs/>
          <w:sz w:val="24"/>
          <w:szCs w:val="24"/>
        </w:rPr>
        <w:lastRenderedPageBreak/>
        <w:t>while responding to environmental, regulatory, and customer pressu</w:t>
      </w:r>
      <w:r>
        <w:rPr>
          <w:rFonts w:eastAsia="Times New Roman"/>
          <w:sz w:val="24"/>
          <w:szCs w:val="24"/>
        </w:rPr>
        <w:t xml:space="preserve">res (BHP, 2026c). Besides product development strategy, I also use Porter’s Generic Strategies to recommend another growth strategy, where I choose diversification leadership for BHP </w:t>
      </w:r>
      <w:r>
        <w:rPr>
          <w:rFonts w:eastAsia="Times New Roman"/>
          <w:sz w:val="24"/>
          <w:szCs w:val="24"/>
        </w:rPr>
        <w:t xml:space="preserve">to gain competitive advantages. Prioritising this recommendation can help the company achieve competitive advantage by offering customers distinctive value beyond price (BHP, 2026a). </w:t>
      </w:r>
    </w:p>
    <w:p w14:paraId="6A4E2AFB" w14:textId="77777777" w:rsidR="00EC7556" w:rsidRDefault="00BA0CF0">
      <w:pPr>
        <w:spacing w:line="360" w:lineRule="auto"/>
        <w:jc w:val="both"/>
        <w:rPr>
          <w:rFonts w:eastAsia="Times New Roman"/>
          <w:sz w:val="24"/>
          <w:szCs w:val="24"/>
        </w:rPr>
      </w:pPr>
      <w:r>
        <w:rPr>
          <w:rFonts w:eastAsia="Times New Roman"/>
          <w:sz w:val="24"/>
          <w:szCs w:val="24"/>
        </w:rPr>
        <w:t>However, the analysis also includes some limitations. For example, there is a significant gap in information, as publicly available information does not provide enough evidence about customers’ willingness to pay for lower-emission minerals, which restricts the development of a transparent relationship between BHP and its customers. Additionally, the analysis is constrained by uncertainty of future commodity demand, regulatory change, and technological development.</w:t>
      </w:r>
    </w:p>
    <w:p w14:paraId="53D3D186" w14:textId="77777777" w:rsidR="00EC7556" w:rsidRDefault="00BA0CF0">
      <w:pPr>
        <w:spacing w:line="360" w:lineRule="auto"/>
        <w:jc w:val="both"/>
        <w:rPr>
          <w:rFonts w:eastAsia="Times New Roman"/>
          <w:sz w:val="24"/>
          <w:szCs w:val="24"/>
        </w:rPr>
      </w:pPr>
      <w:r>
        <w:rPr>
          <w:rFonts w:eastAsia="Times New Roman"/>
          <w:sz w:val="24"/>
          <w:szCs w:val="24"/>
        </w:rPr>
        <w:t xml:space="preserve"> Before finishing the recommendations, a real consultant needs to consider some significant areas, such as customer research, detailed BHP cost data and investment data, commodity demand forecasts, competitor benchmarking, technology-readiness assessments, and regulatory scenario analysis. This additional evidence will allow senior management to examine the recommendation against alternative scenarios, which would ultimately support robust decision-making.               </w:t>
      </w:r>
    </w:p>
    <w:p w14:paraId="0019E291" w14:textId="77777777" w:rsidR="00EC7556" w:rsidRDefault="00BA0CF0">
      <w:pPr>
        <w:spacing w:line="360" w:lineRule="auto"/>
        <w:rPr>
          <w:rFonts w:eastAsia="Times New Roman"/>
          <w:b/>
          <w:bCs/>
          <w:sz w:val="24"/>
          <w:szCs w:val="24"/>
        </w:rPr>
      </w:pPr>
      <w:r>
        <w:rPr>
          <w:rFonts w:eastAsia="Times New Roman"/>
          <w:b/>
          <w:bCs/>
          <w:sz w:val="24"/>
          <w:szCs w:val="24"/>
        </w:rPr>
        <w:br w:type="page"/>
      </w:r>
    </w:p>
    <w:p w14:paraId="7C1582D4" w14:textId="77777777" w:rsidR="00EC7556" w:rsidRDefault="00BA0CF0">
      <w:pPr>
        <w:pStyle w:val="Heading1"/>
        <w:rPr>
          <w:rFonts w:ascii="Arial" w:eastAsia="Times New Roman" w:hAnsi="Arial" w:cs="Arial"/>
          <w:szCs w:val="24"/>
        </w:rPr>
      </w:pPr>
      <w:bookmarkStart w:id="11" w:name="_Toc243423331"/>
      <w:r>
        <w:rPr>
          <w:rFonts w:ascii="Arial" w:eastAsia="Times New Roman" w:hAnsi="Arial" w:cs="Arial"/>
          <w:szCs w:val="24"/>
        </w:rPr>
        <w:lastRenderedPageBreak/>
        <w:t>References</w:t>
      </w:r>
      <w:bookmarkEnd w:id="11"/>
      <w:r>
        <w:rPr>
          <w:rFonts w:ascii="Arial" w:eastAsia="Times New Roman" w:hAnsi="Arial" w:cs="Arial"/>
          <w:szCs w:val="24"/>
        </w:rPr>
        <w:t xml:space="preserve"> </w:t>
      </w:r>
    </w:p>
    <w:p w14:paraId="6048FB06" w14:textId="77777777" w:rsidR="00EC7556" w:rsidRDefault="00BA0CF0">
      <w:pPr>
        <w:spacing w:line="360" w:lineRule="auto"/>
        <w:jc w:val="both"/>
        <w:rPr>
          <w:rFonts w:eastAsia="Times New Roman"/>
          <w:sz w:val="24"/>
          <w:szCs w:val="24"/>
        </w:rPr>
      </w:pPr>
      <w:r>
        <w:rPr>
          <w:rFonts w:eastAsia="Times New Roman"/>
          <w:sz w:val="24"/>
          <w:szCs w:val="24"/>
        </w:rPr>
        <w:t xml:space="preserve">BHP (2026) </w:t>
      </w:r>
      <w:r>
        <w:rPr>
          <w:rFonts w:eastAsia="Times New Roman"/>
          <w:i/>
          <w:iCs/>
          <w:sz w:val="24"/>
          <w:szCs w:val="24"/>
        </w:rPr>
        <w:t>About us</w:t>
      </w:r>
      <w:r>
        <w:rPr>
          <w:rFonts w:eastAsia="Times New Roman"/>
          <w:sz w:val="24"/>
          <w:szCs w:val="24"/>
        </w:rPr>
        <w:t xml:space="preserve">. Available at: </w:t>
      </w:r>
      <w:hyperlink r:id="rId11" w:history="1">
        <w:r>
          <w:rPr>
            <w:rFonts w:eastAsia="Times New Roman"/>
            <w:color w:val="1155CC"/>
            <w:sz w:val="24"/>
            <w:szCs w:val="24"/>
            <w:u w:val="single"/>
          </w:rPr>
          <w:t>https://www.bhp.com/about</w:t>
        </w:r>
      </w:hyperlink>
      <w:r>
        <w:rPr>
          <w:rFonts w:eastAsia="Times New Roman"/>
          <w:sz w:val="24"/>
          <w:szCs w:val="24"/>
        </w:rPr>
        <w:t xml:space="preserve"> (Accessed: 4 October 2026).</w:t>
      </w:r>
    </w:p>
    <w:p w14:paraId="6AD2EDF8" w14:textId="77777777" w:rsidR="00EC7556" w:rsidRDefault="00BA0CF0">
      <w:pPr>
        <w:spacing w:line="360" w:lineRule="auto"/>
        <w:jc w:val="both"/>
        <w:rPr>
          <w:rFonts w:eastAsia="Times New Roman"/>
          <w:sz w:val="24"/>
          <w:szCs w:val="24"/>
        </w:rPr>
      </w:pPr>
      <w:r>
        <w:rPr>
          <w:rFonts w:eastAsia="Times New Roman"/>
          <w:sz w:val="24"/>
          <w:szCs w:val="24"/>
        </w:rPr>
        <w:t xml:space="preserve">BHP (2026a) </w:t>
      </w:r>
      <w:r>
        <w:rPr>
          <w:rFonts w:eastAsia="Times New Roman"/>
          <w:i/>
          <w:iCs/>
          <w:sz w:val="24"/>
          <w:szCs w:val="24"/>
        </w:rPr>
        <w:t>Copper</w:t>
      </w:r>
      <w:r>
        <w:rPr>
          <w:rFonts w:eastAsia="Times New Roman"/>
          <w:sz w:val="24"/>
          <w:szCs w:val="24"/>
        </w:rPr>
        <w:t xml:space="preserve">. Available at: </w:t>
      </w:r>
      <w:hyperlink r:id="rId12" w:history="1">
        <w:r>
          <w:rPr>
            <w:rFonts w:eastAsia="Times New Roman"/>
            <w:color w:val="1155CC"/>
            <w:sz w:val="24"/>
            <w:szCs w:val="24"/>
            <w:u w:val="single"/>
          </w:rPr>
          <w:t>https://www.bhp.com/what-we-do/products/copper</w:t>
        </w:r>
      </w:hyperlink>
      <w:r>
        <w:rPr>
          <w:rFonts w:eastAsia="Times New Roman"/>
          <w:sz w:val="24"/>
          <w:szCs w:val="24"/>
        </w:rPr>
        <w:t xml:space="preserve"> (Accessed: 4 October 2026).</w:t>
      </w:r>
    </w:p>
    <w:p w14:paraId="3900264D" w14:textId="77777777" w:rsidR="00EC7556" w:rsidRDefault="00BA0CF0">
      <w:pPr>
        <w:spacing w:line="360" w:lineRule="auto"/>
        <w:jc w:val="both"/>
        <w:rPr>
          <w:rFonts w:eastAsia="Times New Roman"/>
          <w:sz w:val="24"/>
          <w:szCs w:val="24"/>
        </w:rPr>
      </w:pPr>
      <w:r>
        <w:rPr>
          <w:rFonts w:eastAsia="Times New Roman"/>
          <w:sz w:val="24"/>
          <w:szCs w:val="24"/>
        </w:rPr>
        <w:t xml:space="preserve">BHP (2026b) </w:t>
      </w:r>
      <w:r>
        <w:rPr>
          <w:rFonts w:eastAsia="Times New Roman"/>
          <w:i/>
          <w:iCs/>
          <w:sz w:val="24"/>
          <w:szCs w:val="24"/>
        </w:rPr>
        <w:t>Operational GHG emissions (Scopes 1 and 2 emissions from our operated assets)</w:t>
      </w:r>
      <w:r>
        <w:rPr>
          <w:rFonts w:eastAsia="Times New Roman"/>
          <w:sz w:val="24"/>
          <w:szCs w:val="24"/>
        </w:rPr>
        <w:t xml:space="preserve">. Available at: </w:t>
      </w:r>
      <w:hyperlink r:id="rId13" w:history="1">
        <w:r>
          <w:rPr>
            <w:rFonts w:eastAsia="Times New Roman"/>
            <w:color w:val="1155CC"/>
            <w:sz w:val="24"/>
            <w:szCs w:val="24"/>
            <w:u w:val="single"/>
          </w:rPr>
          <w:t>https://www.bhp.com/sustainability/climate-change/operational-ghg-emissions</w:t>
        </w:r>
      </w:hyperlink>
      <w:r>
        <w:rPr>
          <w:rFonts w:eastAsia="Times New Roman"/>
          <w:sz w:val="24"/>
          <w:szCs w:val="24"/>
        </w:rPr>
        <w:t xml:space="preserve"> (Accessed: 4 October 2026).</w:t>
      </w:r>
    </w:p>
    <w:p w14:paraId="55CA1E54" w14:textId="77777777" w:rsidR="00EC7556" w:rsidRDefault="00BA0CF0">
      <w:pPr>
        <w:spacing w:line="360" w:lineRule="auto"/>
        <w:jc w:val="both"/>
        <w:rPr>
          <w:rFonts w:eastAsia="Times New Roman"/>
          <w:sz w:val="24"/>
          <w:szCs w:val="24"/>
        </w:rPr>
      </w:pPr>
      <w:r>
        <w:rPr>
          <w:rFonts w:eastAsia="Times New Roman"/>
          <w:sz w:val="24"/>
          <w:szCs w:val="24"/>
        </w:rPr>
        <w:t xml:space="preserve">BHP (2026c) </w:t>
      </w:r>
      <w:r>
        <w:rPr>
          <w:rFonts w:eastAsia="Times New Roman"/>
          <w:i/>
          <w:iCs/>
          <w:sz w:val="24"/>
          <w:szCs w:val="24"/>
        </w:rPr>
        <w:t>Climate change</w:t>
      </w:r>
      <w:r>
        <w:rPr>
          <w:rFonts w:eastAsia="Times New Roman"/>
          <w:sz w:val="24"/>
          <w:szCs w:val="24"/>
        </w:rPr>
        <w:t xml:space="preserve">. Available at: </w:t>
      </w:r>
      <w:hyperlink r:id="rId14" w:history="1">
        <w:r>
          <w:rPr>
            <w:rFonts w:eastAsia="Times New Roman"/>
            <w:color w:val="1155CC"/>
            <w:sz w:val="24"/>
            <w:szCs w:val="24"/>
            <w:u w:val="single"/>
          </w:rPr>
          <w:t>https://www.bhp.com/sustainability/climate-change</w:t>
        </w:r>
      </w:hyperlink>
      <w:r>
        <w:rPr>
          <w:rFonts w:eastAsia="Times New Roman"/>
          <w:sz w:val="24"/>
          <w:szCs w:val="24"/>
        </w:rPr>
        <w:t xml:space="preserve"> (Accessed: 4 October 2026).</w:t>
      </w:r>
    </w:p>
    <w:p w14:paraId="45FA6BDC" w14:textId="77777777" w:rsidR="00EC7556" w:rsidRDefault="00BA0CF0">
      <w:pPr>
        <w:spacing w:line="360" w:lineRule="auto"/>
        <w:jc w:val="both"/>
        <w:rPr>
          <w:rFonts w:eastAsia="Times New Roman"/>
          <w:sz w:val="24"/>
          <w:szCs w:val="24"/>
        </w:rPr>
      </w:pPr>
      <w:r>
        <w:rPr>
          <w:rFonts w:eastAsia="Times New Roman"/>
          <w:sz w:val="24"/>
          <w:szCs w:val="24"/>
        </w:rPr>
        <w:t xml:space="preserve">BHP (2026d) </w:t>
      </w:r>
      <w:r>
        <w:rPr>
          <w:rFonts w:eastAsia="Times New Roman"/>
          <w:i/>
          <w:iCs/>
          <w:sz w:val="24"/>
          <w:szCs w:val="24"/>
        </w:rPr>
        <w:t>Value chain GHG emissions (Scope 3 emissions)</w:t>
      </w:r>
      <w:r>
        <w:rPr>
          <w:rFonts w:eastAsia="Times New Roman"/>
          <w:sz w:val="24"/>
          <w:szCs w:val="24"/>
        </w:rPr>
        <w:t xml:space="preserve">. Available at: </w:t>
      </w:r>
      <w:hyperlink r:id="rId15" w:history="1">
        <w:r>
          <w:rPr>
            <w:rFonts w:eastAsia="Times New Roman"/>
            <w:color w:val="1155CC"/>
            <w:sz w:val="24"/>
            <w:szCs w:val="24"/>
            <w:u w:val="single"/>
          </w:rPr>
          <w:t>https://www.bhp.com/sustainability/climate-change/value-chain-ghg-emission-reductions</w:t>
        </w:r>
      </w:hyperlink>
      <w:r>
        <w:rPr>
          <w:rFonts w:eastAsia="Times New Roman"/>
          <w:sz w:val="24"/>
          <w:szCs w:val="24"/>
        </w:rPr>
        <w:t xml:space="preserve"> (Accessed: 4 October 2026).</w:t>
      </w:r>
    </w:p>
    <w:p w14:paraId="3308AD9D" w14:textId="77777777" w:rsidR="00EC7556" w:rsidRDefault="00BA0CF0">
      <w:pPr>
        <w:spacing w:line="360" w:lineRule="auto"/>
        <w:jc w:val="both"/>
        <w:rPr>
          <w:rFonts w:eastAsia="Times New Roman"/>
          <w:sz w:val="24"/>
          <w:szCs w:val="24"/>
        </w:rPr>
      </w:pPr>
      <w:r>
        <w:rPr>
          <w:rFonts w:eastAsia="Times New Roman"/>
          <w:sz w:val="24"/>
          <w:szCs w:val="24"/>
        </w:rPr>
        <w:t xml:space="preserve">BHP (2026e) </w:t>
      </w:r>
      <w:r>
        <w:rPr>
          <w:rFonts w:eastAsia="Times New Roman"/>
          <w:i/>
          <w:iCs/>
          <w:sz w:val="24"/>
          <w:szCs w:val="24"/>
        </w:rPr>
        <w:t>Our latest Climate Transition Action Plan (CTAP)</w:t>
      </w:r>
      <w:r>
        <w:rPr>
          <w:rFonts w:eastAsia="Times New Roman"/>
          <w:sz w:val="24"/>
          <w:szCs w:val="24"/>
        </w:rPr>
        <w:t xml:space="preserve">. Available at: </w:t>
      </w:r>
      <w:hyperlink r:id="rId16" w:history="1">
        <w:r>
          <w:rPr>
            <w:rFonts w:eastAsia="Times New Roman"/>
            <w:color w:val="1155CC"/>
            <w:sz w:val="24"/>
            <w:szCs w:val="24"/>
            <w:u w:val="single"/>
          </w:rPr>
          <w:t>https://www.bhp.com/sustainability/climate-change/climate-transition-action-plan</w:t>
        </w:r>
      </w:hyperlink>
      <w:r>
        <w:rPr>
          <w:rFonts w:eastAsia="Times New Roman"/>
          <w:sz w:val="24"/>
          <w:szCs w:val="24"/>
        </w:rPr>
        <w:t xml:space="preserve"> (Accessed: 4 October 2026).</w:t>
      </w:r>
    </w:p>
    <w:p w14:paraId="6EF93FF1" w14:textId="77777777" w:rsidR="00EC7556" w:rsidRDefault="00BA0CF0">
      <w:pPr>
        <w:spacing w:line="360" w:lineRule="auto"/>
        <w:jc w:val="both"/>
        <w:rPr>
          <w:rFonts w:eastAsia="Times New Roman"/>
          <w:sz w:val="24"/>
          <w:szCs w:val="24"/>
        </w:rPr>
      </w:pPr>
      <w:r>
        <w:rPr>
          <w:rFonts w:eastAsia="Times New Roman"/>
          <w:sz w:val="24"/>
          <w:szCs w:val="24"/>
        </w:rPr>
        <w:t xml:space="preserve">BHP (2026f) </w:t>
      </w:r>
      <w:r>
        <w:rPr>
          <w:rFonts w:eastAsia="Times New Roman"/>
          <w:i/>
          <w:iCs/>
          <w:sz w:val="24"/>
          <w:szCs w:val="24"/>
        </w:rPr>
        <w:t>Local communities</w:t>
      </w:r>
      <w:r>
        <w:rPr>
          <w:rFonts w:eastAsia="Times New Roman"/>
          <w:sz w:val="24"/>
          <w:szCs w:val="24"/>
        </w:rPr>
        <w:t xml:space="preserve">. Available at: </w:t>
      </w:r>
      <w:hyperlink r:id="rId17" w:history="1">
        <w:r>
          <w:rPr>
            <w:rFonts w:eastAsia="Times New Roman"/>
            <w:color w:val="1155CC"/>
            <w:sz w:val="24"/>
            <w:szCs w:val="24"/>
            <w:u w:val="single"/>
          </w:rPr>
          <w:t>https://www.bhp.com/sustainability/communities/local-communities</w:t>
        </w:r>
      </w:hyperlink>
      <w:r>
        <w:rPr>
          <w:rFonts w:eastAsia="Times New Roman"/>
          <w:sz w:val="24"/>
          <w:szCs w:val="24"/>
        </w:rPr>
        <w:t xml:space="preserve"> (Accessed: 4 October 2026).</w:t>
      </w:r>
    </w:p>
    <w:p w14:paraId="6B16ED92" w14:textId="77777777" w:rsidR="00EC7556" w:rsidRDefault="00BA0CF0">
      <w:pPr>
        <w:spacing w:line="360" w:lineRule="auto"/>
        <w:jc w:val="both"/>
        <w:rPr>
          <w:rFonts w:eastAsia="Times New Roman"/>
          <w:sz w:val="24"/>
          <w:szCs w:val="24"/>
        </w:rPr>
      </w:pPr>
      <w:r>
        <w:rPr>
          <w:rFonts w:eastAsia="Times New Roman"/>
          <w:sz w:val="24"/>
          <w:szCs w:val="24"/>
        </w:rPr>
        <w:t xml:space="preserve">BHP (2026g) </w:t>
      </w:r>
      <w:r>
        <w:rPr>
          <w:rFonts w:eastAsia="Times New Roman"/>
          <w:i/>
          <w:iCs/>
          <w:sz w:val="24"/>
          <w:szCs w:val="24"/>
        </w:rPr>
        <w:t>Our Strategy</w:t>
      </w:r>
      <w:r>
        <w:rPr>
          <w:rFonts w:eastAsia="Times New Roman"/>
          <w:sz w:val="24"/>
          <w:szCs w:val="24"/>
        </w:rPr>
        <w:t xml:space="preserve">. Available at: </w:t>
      </w:r>
      <w:hyperlink r:id="rId18" w:history="1">
        <w:r>
          <w:rPr>
            <w:rFonts w:eastAsia="Times New Roman"/>
            <w:color w:val="1155CC"/>
            <w:sz w:val="24"/>
            <w:szCs w:val="24"/>
            <w:u w:val="single"/>
          </w:rPr>
          <w:t>https://www.bhp.com/about/strategy</w:t>
        </w:r>
      </w:hyperlink>
      <w:r>
        <w:rPr>
          <w:rFonts w:eastAsia="Times New Roman"/>
          <w:sz w:val="24"/>
          <w:szCs w:val="24"/>
        </w:rPr>
        <w:t xml:space="preserve"> (Accessed: 4 October 2026).</w:t>
      </w:r>
    </w:p>
    <w:p w14:paraId="69A4DEF7" w14:textId="77777777" w:rsidR="00EC7556" w:rsidRDefault="00BA0CF0">
      <w:pPr>
        <w:spacing w:line="360" w:lineRule="auto"/>
        <w:jc w:val="both"/>
        <w:rPr>
          <w:rFonts w:eastAsia="Times New Roman"/>
          <w:sz w:val="24"/>
          <w:szCs w:val="24"/>
        </w:rPr>
      </w:pPr>
      <w:r>
        <w:rPr>
          <w:rFonts w:eastAsia="Times New Roman"/>
          <w:sz w:val="24"/>
          <w:szCs w:val="24"/>
        </w:rPr>
        <w:t xml:space="preserve">DCCEEW (2026) </w:t>
      </w:r>
      <w:r>
        <w:rPr>
          <w:rFonts w:eastAsia="Times New Roman"/>
          <w:i/>
          <w:iCs/>
          <w:sz w:val="24"/>
          <w:szCs w:val="24"/>
        </w:rPr>
        <w:t>Safeguard Mechanism</w:t>
      </w:r>
      <w:r>
        <w:rPr>
          <w:rFonts w:eastAsia="Times New Roman"/>
          <w:sz w:val="24"/>
          <w:szCs w:val="24"/>
        </w:rPr>
        <w:t xml:space="preserve">. Available at: </w:t>
      </w:r>
      <w:hyperlink r:id="rId19" w:history="1">
        <w:r>
          <w:rPr>
            <w:rFonts w:eastAsia="Times New Roman"/>
            <w:color w:val="1155CC"/>
            <w:sz w:val="24"/>
            <w:szCs w:val="24"/>
            <w:u w:val="single"/>
          </w:rPr>
          <w:t>https://www.dcceew.gov.au/climate-change/emissions-reporting/national-greenhouse-energy-reporting-scheme/safeguard-mechanism</w:t>
        </w:r>
      </w:hyperlink>
      <w:r>
        <w:rPr>
          <w:rFonts w:eastAsia="Times New Roman"/>
          <w:sz w:val="24"/>
          <w:szCs w:val="24"/>
        </w:rPr>
        <w:t xml:space="preserve"> (Accessed: 4 October 2026).</w:t>
      </w:r>
    </w:p>
    <w:p w14:paraId="750A9D58" w14:textId="77777777" w:rsidR="00EC7556" w:rsidRDefault="00BA0CF0">
      <w:pPr>
        <w:spacing w:line="360" w:lineRule="auto"/>
        <w:jc w:val="both"/>
        <w:rPr>
          <w:rFonts w:eastAsia="Times New Roman"/>
          <w:sz w:val="24"/>
          <w:szCs w:val="24"/>
        </w:rPr>
      </w:pPr>
      <w:r>
        <w:rPr>
          <w:rFonts w:eastAsia="Times New Roman"/>
          <w:sz w:val="24"/>
          <w:szCs w:val="24"/>
        </w:rPr>
        <w:t xml:space="preserve">Ferreira, A.P.P.F.S. and de Sá, M.M.B.P. (2024) ‘The importance of the Ansoff matrix for the study of the information services market’, </w:t>
      </w:r>
      <w:r>
        <w:rPr>
          <w:rFonts w:eastAsia="Times New Roman"/>
          <w:i/>
          <w:iCs/>
          <w:sz w:val="24"/>
          <w:szCs w:val="24"/>
        </w:rPr>
        <w:t>The Canadian Journal of Information and Library Science</w:t>
      </w:r>
      <w:r>
        <w:rPr>
          <w:rFonts w:eastAsia="Times New Roman"/>
          <w:sz w:val="24"/>
          <w:szCs w:val="24"/>
        </w:rPr>
        <w:t xml:space="preserve">, 47(2), pp.78-84. Available at: </w:t>
      </w:r>
      <w:hyperlink r:id="rId20" w:history="1">
        <w:r>
          <w:rPr>
            <w:rFonts w:eastAsia="Times New Roman"/>
            <w:color w:val="1155CC"/>
            <w:sz w:val="24"/>
            <w:szCs w:val="24"/>
            <w:u w:val="single"/>
          </w:rPr>
          <w:t>https://ojs.lib.uwo.ca/index.php/cjils/article/download/17432/15874</w:t>
        </w:r>
      </w:hyperlink>
      <w:r>
        <w:rPr>
          <w:rFonts w:eastAsia="Times New Roman"/>
          <w:sz w:val="24"/>
          <w:szCs w:val="24"/>
        </w:rPr>
        <w:t xml:space="preserve"> (Accessed: 4 October 2026).</w:t>
      </w:r>
    </w:p>
    <w:p w14:paraId="33431D39" w14:textId="77777777" w:rsidR="00EC7556" w:rsidRDefault="00BA0CF0">
      <w:pPr>
        <w:spacing w:line="360" w:lineRule="auto"/>
        <w:jc w:val="both"/>
        <w:rPr>
          <w:rFonts w:eastAsia="Times New Roman"/>
          <w:sz w:val="24"/>
          <w:szCs w:val="24"/>
        </w:rPr>
      </w:pPr>
      <w:r>
        <w:rPr>
          <w:rFonts w:eastAsia="Times New Roman"/>
          <w:sz w:val="24"/>
          <w:szCs w:val="24"/>
        </w:rPr>
        <w:t xml:space="preserve">Forster, H. (2021) ‘BHP, Japan's JFE sign low-emissions steel raw materials technology project’, </w:t>
      </w:r>
      <w:r>
        <w:rPr>
          <w:rFonts w:eastAsia="Times New Roman"/>
          <w:i/>
          <w:iCs/>
          <w:sz w:val="24"/>
          <w:szCs w:val="24"/>
        </w:rPr>
        <w:t>S&amp;P Global</w:t>
      </w:r>
      <w:r>
        <w:rPr>
          <w:rFonts w:eastAsia="Times New Roman"/>
          <w:sz w:val="24"/>
          <w:szCs w:val="24"/>
        </w:rPr>
        <w:t xml:space="preserve">, 10 February. Available at: </w:t>
      </w:r>
      <w:hyperlink r:id="rId21" w:history="1">
        <w:r>
          <w:rPr>
            <w:rFonts w:eastAsia="Times New Roman"/>
            <w:color w:val="1155CC"/>
            <w:sz w:val="24"/>
            <w:szCs w:val="24"/>
            <w:u w:val="single"/>
          </w:rPr>
          <w:t>https://www.spglobal.com/energy/en/news-research/latest-news/coal/021021-bhp-japans-jfe-sign-low-emissions-steel-raw-materials-technology-project</w:t>
        </w:r>
      </w:hyperlink>
      <w:r>
        <w:rPr>
          <w:rFonts w:eastAsia="Times New Roman"/>
          <w:sz w:val="24"/>
          <w:szCs w:val="24"/>
        </w:rPr>
        <w:t xml:space="preserve"> (Accessed: 4 October 2026).</w:t>
      </w:r>
    </w:p>
    <w:p w14:paraId="30C4EF0C" w14:textId="77777777" w:rsidR="00EC7556" w:rsidRDefault="00BA0CF0">
      <w:pPr>
        <w:spacing w:line="360" w:lineRule="auto"/>
        <w:jc w:val="both"/>
        <w:rPr>
          <w:rFonts w:eastAsia="Times New Roman"/>
          <w:sz w:val="24"/>
          <w:szCs w:val="24"/>
        </w:rPr>
      </w:pPr>
      <w:r>
        <w:rPr>
          <w:rFonts w:eastAsia="Times New Roman"/>
          <w:sz w:val="24"/>
          <w:szCs w:val="24"/>
        </w:rPr>
        <w:t xml:space="preserve">GlobalData (2026) </w:t>
      </w:r>
      <w:r>
        <w:rPr>
          <w:rFonts w:eastAsia="Times New Roman"/>
          <w:i/>
          <w:iCs/>
          <w:sz w:val="24"/>
          <w:szCs w:val="24"/>
        </w:rPr>
        <w:t>BHP Group Ltd: Overview.</w:t>
      </w:r>
      <w:r>
        <w:rPr>
          <w:rFonts w:eastAsia="Times New Roman"/>
          <w:sz w:val="24"/>
          <w:szCs w:val="24"/>
        </w:rPr>
        <w:t xml:space="preserve"> Available at: </w:t>
      </w:r>
      <w:hyperlink r:id="rId22" w:history="1">
        <w:r>
          <w:rPr>
            <w:rFonts w:eastAsia="Times New Roman"/>
            <w:color w:val="1155CC"/>
            <w:sz w:val="24"/>
            <w:szCs w:val="24"/>
            <w:u w:val="single"/>
          </w:rPr>
          <w:t>https://www.globaldata.com/company-profile/bhp/</w:t>
        </w:r>
      </w:hyperlink>
      <w:r>
        <w:rPr>
          <w:rFonts w:eastAsia="Times New Roman"/>
          <w:sz w:val="24"/>
          <w:szCs w:val="24"/>
        </w:rPr>
        <w:t xml:space="preserve"> (Accessed: 4 October 2026).</w:t>
      </w:r>
    </w:p>
    <w:p w14:paraId="0E1362F3" w14:textId="77777777" w:rsidR="00EC7556" w:rsidRDefault="00BA0CF0">
      <w:pPr>
        <w:spacing w:line="360" w:lineRule="auto"/>
        <w:jc w:val="both"/>
        <w:rPr>
          <w:rFonts w:eastAsia="Times New Roman"/>
          <w:sz w:val="24"/>
          <w:szCs w:val="24"/>
        </w:rPr>
      </w:pPr>
      <w:r>
        <w:rPr>
          <w:rFonts w:eastAsia="Times New Roman"/>
          <w:sz w:val="24"/>
          <w:szCs w:val="24"/>
        </w:rPr>
        <w:t xml:space="preserve">ICMM (2026) </w:t>
      </w:r>
      <w:r>
        <w:rPr>
          <w:rFonts w:eastAsia="Times New Roman"/>
          <w:i/>
          <w:iCs/>
          <w:sz w:val="24"/>
          <w:szCs w:val="24"/>
        </w:rPr>
        <w:t>Global Mining and Metals Greenhouse Gas Emissions Dataset</w:t>
      </w:r>
      <w:r>
        <w:rPr>
          <w:rFonts w:eastAsia="Times New Roman"/>
          <w:sz w:val="24"/>
          <w:szCs w:val="24"/>
        </w:rPr>
        <w:t xml:space="preserve">. Available at: </w:t>
      </w:r>
      <w:hyperlink r:id="rId23" w:history="1">
        <w:r>
          <w:rPr>
            <w:rFonts w:eastAsia="Times New Roman"/>
            <w:color w:val="1155CC"/>
            <w:sz w:val="24"/>
            <w:szCs w:val="24"/>
            <w:u w:val="single"/>
          </w:rPr>
          <w:t>https://www.icmm.com/global-datasets/ghg-emissions</w:t>
        </w:r>
      </w:hyperlink>
      <w:r>
        <w:rPr>
          <w:rFonts w:eastAsia="Times New Roman"/>
          <w:sz w:val="24"/>
          <w:szCs w:val="24"/>
        </w:rPr>
        <w:t xml:space="preserve"> (Accessed: 4 October 2026).</w:t>
      </w:r>
    </w:p>
    <w:p w14:paraId="18C7B19D" w14:textId="77777777" w:rsidR="00EC7556" w:rsidRDefault="00BA0CF0">
      <w:pPr>
        <w:spacing w:line="360" w:lineRule="auto"/>
        <w:jc w:val="both"/>
        <w:rPr>
          <w:rFonts w:eastAsia="Times New Roman"/>
          <w:sz w:val="24"/>
          <w:szCs w:val="24"/>
        </w:rPr>
      </w:pPr>
      <w:r>
        <w:rPr>
          <w:rFonts w:eastAsia="Times New Roman"/>
          <w:sz w:val="24"/>
          <w:szCs w:val="24"/>
        </w:rPr>
        <w:t xml:space="preserve">Iheanachor, N., Umukoro, I.O. and David-West, O. (2021) ‘The role of product development practices on new product performance: Evidence from Nigeria's financial services providers’, </w:t>
      </w:r>
      <w:r>
        <w:rPr>
          <w:rFonts w:eastAsia="Times New Roman"/>
          <w:i/>
          <w:iCs/>
          <w:sz w:val="24"/>
          <w:szCs w:val="24"/>
        </w:rPr>
        <w:t>Technological forecasting and social change</w:t>
      </w:r>
      <w:r>
        <w:rPr>
          <w:rFonts w:eastAsia="Times New Roman"/>
          <w:sz w:val="24"/>
          <w:szCs w:val="24"/>
        </w:rPr>
        <w:t xml:space="preserve">, 164, p.120470. Available at: </w:t>
      </w:r>
      <w:hyperlink r:id="rId24" w:history="1">
        <w:r>
          <w:rPr>
            <w:rFonts w:eastAsia="Times New Roman"/>
            <w:color w:val="1155CC"/>
            <w:sz w:val="24"/>
            <w:szCs w:val="24"/>
            <w:u w:val="single"/>
          </w:rPr>
          <w:t>https://doi.org/10.1016/j.techfore.2020.120470</w:t>
        </w:r>
      </w:hyperlink>
      <w:r>
        <w:rPr>
          <w:rFonts w:eastAsia="Times New Roman"/>
          <w:sz w:val="24"/>
          <w:szCs w:val="24"/>
        </w:rPr>
        <w:t xml:space="preserve">  </w:t>
      </w:r>
    </w:p>
    <w:p w14:paraId="3FF58364" w14:textId="77777777" w:rsidR="00EC7556" w:rsidRDefault="00BA0CF0">
      <w:pPr>
        <w:spacing w:line="360" w:lineRule="auto"/>
        <w:jc w:val="both"/>
        <w:rPr>
          <w:rFonts w:eastAsia="Times New Roman"/>
          <w:sz w:val="24"/>
          <w:szCs w:val="24"/>
        </w:rPr>
      </w:pPr>
      <w:r>
        <w:rPr>
          <w:rFonts w:eastAsia="Times New Roman"/>
          <w:sz w:val="24"/>
          <w:szCs w:val="24"/>
        </w:rPr>
        <w:t xml:space="preserve">Jin, G., Wang, G., Li, W., Sheng, H., Hu, C. and Zhao, Y. (2025) ‘The impact of environmental regulation on carbon emissions and its mechanisms in Chinese cities’, </w:t>
      </w:r>
      <w:r>
        <w:rPr>
          <w:rFonts w:eastAsia="Times New Roman"/>
          <w:i/>
          <w:iCs/>
          <w:sz w:val="24"/>
          <w:szCs w:val="24"/>
        </w:rPr>
        <w:t>Scientific Reports</w:t>
      </w:r>
      <w:r>
        <w:rPr>
          <w:rFonts w:eastAsia="Times New Roman"/>
          <w:sz w:val="24"/>
          <w:szCs w:val="24"/>
        </w:rPr>
        <w:t xml:space="preserve">, 15(1), p.41665. Available at: </w:t>
      </w:r>
      <w:hyperlink r:id="rId25" w:history="1">
        <w:r>
          <w:rPr>
            <w:rFonts w:eastAsia="Times New Roman"/>
            <w:color w:val="1155CC"/>
            <w:sz w:val="24"/>
            <w:szCs w:val="24"/>
            <w:u w:val="single"/>
          </w:rPr>
          <w:t>https://doi.org/10.1038/s41598-025-25556-6</w:t>
        </w:r>
      </w:hyperlink>
      <w:r>
        <w:rPr>
          <w:rFonts w:eastAsia="Times New Roman"/>
          <w:sz w:val="24"/>
          <w:szCs w:val="24"/>
        </w:rPr>
        <w:t xml:space="preserve">  </w:t>
      </w:r>
    </w:p>
    <w:p w14:paraId="48BE6560" w14:textId="77777777" w:rsidR="00EC7556" w:rsidRDefault="00BA0CF0">
      <w:pPr>
        <w:spacing w:line="360" w:lineRule="auto"/>
        <w:jc w:val="both"/>
        <w:rPr>
          <w:rFonts w:eastAsia="Times New Roman"/>
          <w:sz w:val="24"/>
          <w:szCs w:val="24"/>
        </w:rPr>
      </w:pPr>
      <w:r>
        <w:rPr>
          <w:rFonts w:eastAsia="Times New Roman"/>
          <w:sz w:val="24"/>
          <w:szCs w:val="24"/>
        </w:rPr>
        <w:t xml:space="preserve">Karim, M.R., Dulal, M., Sakila, F., Aditi, P., Smrity, S.J. and Asha, N.N. (2024) ‘Analyzing the factors influencing sustainable supply chain management in the textile sector’, </w:t>
      </w:r>
      <w:r>
        <w:rPr>
          <w:rFonts w:eastAsia="Times New Roman"/>
          <w:i/>
          <w:iCs/>
          <w:sz w:val="24"/>
          <w:szCs w:val="24"/>
        </w:rPr>
        <w:t>Cleaner Logistics and Supply Chain</w:t>
      </w:r>
      <w:r>
        <w:rPr>
          <w:rFonts w:eastAsia="Times New Roman"/>
          <w:sz w:val="24"/>
          <w:szCs w:val="24"/>
        </w:rPr>
        <w:t xml:space="preserve">, 13, p.100183. Available at: </w:t>
      </w:r>
      <w:hyperlink r:id="rId26" w:history="1">
        <w:r>
          <w:rPr>
            <w:rFonts w:eastAsia="Times New Roman"/>
            <w:color w:val="1155CC"/>
            <w:sz w:val="24"/>
            <w:szCs w:val="24"/>
            <w:u w:val="single"/>
          </w:rPr>
          <w:t>https://doi.org/10.1016/j.clscn.2024.100183</w:t>
        </w:r>
      </w:hyperlink>
      <w:r>
        <w:rPr>
          <w:rFonts w:eastAsia="Times New Roman"/>
          <w:sz w:val="24"/>
          <w:szCs w:val="24"/>
        </w:rPr>
        <w:t xml:space="preserve"> </w:t>
      </w:r>
    </w:p>
    <w:p w14:paraId="4B43E9BE" w14:textId="77777777" w:rsidR="00EC7556" w:rsidRDefault="00BA0CF0">
      <w:pPr>
        <w:spacing w:line="360" w:lineRule="auto"/>
        <w:jc w:val="both"/>
        <w:rPr>
          <w:rFonts w:eastAsia="Times New Roman"/>
          <w:sz w:val="24"/>
          <w:szCs w:val="24"/>
        </w:rPr>
      </w:pPr>
      <w:r>
        <w:rPr>
          <w:rFonts w:eastAsia="Times New Roman"/>
          <w:sz w:val="24"/>
          <w:szCs w:val="24"/>
        </w:rPr>
        <w:t xml:space="preserve">Khan, A., Khan, T. and Ahmad, M. (2025) ‘The role of technological innovation in sustainable growth: Exploring the economic impact of green innovation and renewable energy’, </w:t>
      </w:r>
      <w:r>
        <w:rPr>
          <w:rFonts w:eastAsia="Times New Roman"/>
          <w:i/>
          <w:iCs/>
          <w:sz w:val="24"/>
          <w:szCs w:val="24"/>
        </w:rPr>
        <w:t>Environmental challenges</w:t>
      </w:r>
      <w:r>
        <w:rPr>
          <w:rFonts w:eastAsia="Times New Roman"/>
          <w:sz w:val="24"/>
          <w:szCs w:val="24"/>
        </w:rPr>
        <w:t xml:space="preserve">, 18, p.101109. Available at: </w:t>
      </w:r>
      <w:hyperlink r:id="rId27" w:history="1">
        <w:r>
          <w:rPr>
            <w:rFonts w:eastAsia="Times New Roman"/>
            <w:color w:val="1155CC"/>
            <w:sz w:val="24"/>
            <w:szCs w:val="24"/>
            <w:u w:val="single"/>
          </w:rPr>
          <w:t>https://doi.org/10.1016/j.envc.2025.101109</w:t>
        </w:r>
      </w:hyperlink>
      <w:r>
        <w:rPr>
          <w:rFonts w:eastAsia="Times New Roman"/>
          <w:sz w:val="24"/>
          <w:szCs w:val="24"/>
        </w:rPr>
        <w:t xml:space="preserve"> </w:t>
      </w:r>
    </w:p>
    <w:p w14:paraId="076AFE03" w14:textId="77777777" w:rsidR="00EC7556" w:rsidRDefault="00BA0CF0">
      <w:pPr>
        <w:spacing w:line="360" w:lineRule="auto"/>
        <w:jc w:val="both"/>
        <w:rPr>
          <w:rFonts w:eastAsia="Times New Roman"/>
          <w:sz w:val="24"/>
          <w:szCs w:val="24"/>
        </w:rPr>
      </w:pPr>
      <w:r>
        <w:rPr>
          <w:rFonts w:eastAsia="Times New Roman"/>
          <w:sz w:val="24"/>
          <w:szCs w:val="24"/>
        </w:rPr>
        <w:t xml:space="preserve">Loredana, E.M. (2016) ‘The use of Ansoff matrix in the field of business’, In </w:t>
      </w:r>
      <w:r>
        <w:rPr>
          <w:rFonts w:eastAsia="Times New Roman"/>
          <w:i/>
          <w:iCs/>
          <w:sz w:val="24"/>
          <w:szCs w:val="24"/>
        </w:rPr>
        <w:t>MATEC Web of Conferences</w:t>
      </w:r>
      <w:r>
        <w:rPr>
          <w:rFonts w:eastAsia="Times New Roman"/>
          <w:sz w:val="24"/>
          <w:szCs w:val="24"/>
        </w:rPr>
        <w:t xml:space="preserve"> (Vol. 44, p. 01006). Les Ulis, France: EDP Sciences. Available at: </w:t>
      </w:r>
      <w:hyperlink r:id="rId28" w:history="1">
        <w:r>
          <w:rPr>
            <w:rFonts w:eastAsia="Times New Roman"/>
            <w:color w:val="1155CC"/>
            <w:sz w:val="24"/>
            <w:szCs w:val="24"/>
            <w:u w:val="single"/>
          </w:rPr>
          <w:t>https://www.utgjiu.ro/revista/ec/pdf/2017-02.Volumul_2_Special/21_EcobiciL.pdf</w:t>
        </w:r>
      </w:hyperlink>
      <w:r>
        <w:rPr>
          <w:rFonts w:eastAsia="Times New Roman"/>
          <w:sz w:val="24"/>
          <w:szCs w:val="24"/>
        </w:rPr>
        <w:t xml:space="preserve"> (Accessed: 4 October 2026).</w:t>
      </w:r>
    </w:p>
    <w:p w14:paraId="2E9F605B" w14:textId="77777777" w:rsidR="00EC7556" w:rsidRDefault="00BA0CF0">
      <w:pPr>
        <w:spacing w:line="360" w:lineRule="auto"/>
        <w:jc w:val="both"/>
        <w:rPr>
          <w:rFonts w:eastAsia="Times New Roman"/>
          <w:sz w:val="24"/>
          <w:szCs w:val="24"/>
        </w:rPr>
      </w:pPr>
      <w:r>
        <w:rPr>
          <w:rFonts w:eastAsia="Times New Roman"/>
          <w:sz w:val="24"/>
          <w:szCs w:val="24"/>
        </w:rPr>
        <w:t xml:space="preserve">Lu, L. ed. (2021) </w:t>
      </w:r>
      <w:r>
        <w:rPr>
          <w:rFonts w:eastAsia="Times New Roman"/>
          <w:i/>
          <w:iCs/>
          <w:sz w:val="24"/>
          <w:szCs w:val="24"/>
        </w:rPr>
        <w:t>Iron ore: mineralogy, processing and environmental sustainability</w:t>
      </w:r>
      <w:r>
        <w:rPr>
          <w:rFonts w:eastAsia="Times New Roman"/>
          <w:sz w:val="24"/>
          <w:szCs w:val="24"/>
        </w:rPr>
        <w:t xml:space="preserve">. Woodhead Publishing. </w:t>
      </w:r>
    </w:p>
    <w:p w14:paraId="33403D6E" w14:textId="77777777" w:rsidR="00EC7556" w:rsidRDefault="00BA0CF0">
      <w:pPr>
        <w:spacing w:line="360" w:lineRule="auto"/>
        <w:jc w:val="both"/>
        <w:rPr>
          <w:rFonts w:eastAsia="Times New Roman"/>
          <w:sz w:val="24"/>
          <w:szCs w:val="24"/>
        </w:rPr>
      </w:pPr>
      <w:r>
        <w:rPr>
          <w:rFonts w:eastAsia="Times New Roman"/>
          <w:sz w:val="24"/>
          <w:szCs w:val="24"/>
        </w:rPr>
        <w:t xml:space="preserve">Mining Technology (2023) </w:t>
      </w:r>
      <w:r>
        <w:rPr>
          <w:rFonts w:eastAsia="Times New Roman"/>
          <w:i/>
          <w:iCs/>
          <w:sz w:val="24"/>
          <w:szCs w:val="24"/>
        </w:rPr>
        <w:t>Analysing mining companies’ GHG emissions performance – who’s leading in cuts?</w:t>
      </w:r>
      <w:r>
        <w:rPr>
          <w:rFonts w:eastAsia="Times New Roman"/>
          <w:sz w:val="24"/>
          <w:szCs w:val="24"/>
        </w:rPr>
        <w:t xml:space="preserve"> Available at: </w:t>
      </w:r>
      <w:hyperlink r:id="rId29" w:history="1">
        <w:r>
          <w:rPr>
            <w:rFonts w:eastAsia="Times New Roman"/>
            <w:color w:val="1155CC"/>
            <w:sz w:val="24"/>
            <w:szCs w:val="24"/>
            <w:u w:val="single"/>
          </w:rPr>
          <w:t>https://www.mining-technology.com/analyst-</w:t>
        </w:r>
        <w:r>
          <w:rPr>
            <w:rFonts w:eastAsia="Times New Roman"/>
            <w:color w:val="1155CC"/>
            <w:sz w:val="24"/>
            <w:szCs w:val="24"/>
            <w:u w:val="single"/>
          </w:rPr>
          <w:lastRenderedPageBreak/>
          <w:t>comment/mining-companies-ghg-emissions-performance/?cf-view&amp;cf-closed</w:t>
        </w:r>
      </w:hyperlink>
      <w:r>
        <w:rPr>
          <w:rFonts w:eastAsia="Times New Roman"/>
          <w:sz w:val="24"/>
          <w:szCs w:val="24"/>
        </w:rPr>
        <w:t xml:space="preserve"> (Accessed: 4 October 2026).</w:t>
      </w:r>
    </w:p>
    <w:p w14:paraId="42816B8B" w14:textId="77777777" w:rsidR="00EC7556" w:rsidRDefault="00BA0CF0">
      <w:pPr>
        <w:spacing w:line="360" w:lineRule="auto"/>
        <w:jc w:val="both"/>
        <w:rPr>
          <w:rFonts w:eastAsia="Times New Roman"/>
          <w:sz w:val="24"/>
          <w:szCs w:val="24"/>
        </w:rPr>
      </w:pPr>
      <w:r>
        <w:rPr>
          <w:rFonts w:eastAsia="Times New Roman"/>
          <w:sz w:val="24"/>
          <w:szCs w:val="24"/>
        </w:rPr>
        <w:t xml:space="preserve">Pereira Ferraz Soares Ferreira, A.P. and Marques, M.B.P.D.S.M. (2024) ‘The Importance of the Ansoff Matrix for the Study of the Information Services Market’, </w:t>
      </w:r>
      <w:r>
        <w:rPr>
          <w:rFonts w:eastAsia="Times New Roman"/>
          <w:i/>
          <w:iCs/>
          <w:sz w:val="24"/>
          <w:szCs w:val="24"/>
        </w:rPr>
        <w:t>The Canadian Journal of Information and Library Science</w:t>
      </w:r>
      <w:r>
        <w:rPr>
          <w:rFonts w:eastAsia="Times New Roman"/>
          <w:sz w:val="24"/>
          <w:szCs w:val="24"/>
        </w:rPr>
        <w:t xml:space="preserve">, 47(2), pp.78-84. Available at: </w:t>
      </w:r>
      <w:hyperlink r:id="rId30" w:history="1">
        <w:r>
          <w:rPr>
            <w:rFonts w:eastAsia="Times New Roman"/>
            <w:color w:val="1155CC"/>
            <w:sz w:val="24"/>
            <w:szCs w:val="24"/>
            <w:u w:val="single"/>
          </w:rPr>
          <w:t>https://www.erudit.org/en/journals/cjils/2024-v47-n2-cjils09826/1115996ar.pdf</w:t>
        </w:r>
      </w:hyperlink>
      <w:r>
        <w:rPr>
          <w:rFonts w:eastAsia="Times New Roman"/>
          <w:sz w:val="24"/>
          <w:szCs w:val="24"/>
        </w:rPr>
        <w:t xml:space="preserve"> (Accessed: 4 October 2026).</w:t>
      </w:r>
    </w:p>
    <w:p w14:paraId="7A079161" w14:textId="77777777" w:rsidR="00EC7556" w:rsidRDefault="00BA0CF0">
      <w:pPr>
        <w:spacing w:line="360" w:lineRule="auto"/>
        <w:jc w:val="both"/>
        <w:rPr>
          <w:rFonts w:eastAsia="Times New Roman"/>
          <w:sz w:val="24"/>
          <w:szCs w:val="24"/>
        </w:rPr>
      </w:pPr>
      <w:r>
        <w:rPr>
          <w:rFonts w:eastAsia="Times New Roman"/>
          <w:sz w:val="24"/>
          <w:szCs w:val="24"/>
        </w:rPr>
        <w:t>Radebe, N. and Chipangamate</w:t>
      </w:r>
      <w:r>
        <w:rPr>
          <w:rFonts w:eastAsia="Times New Roman"/>
          <w:sz w:val="24"/>
          <w:szCs w:val="24"/>
        </w:rPr>
        <w:t xml:space="preserve">, N. (2024) ‘Mining industry risks, and future critical minerals and metals supply chain resilience in emerging markets’, </w:t>
      </w:r>
      <w:r>
        <w:rPr>
          <w:rFonts w:eastAsia="Times New Roman"/>
          <w:i/>
          <w:iCs/>
          <w:sz w:val="24"/>
          <w:szCs w:val="24"/>
        </w:rPr>
        <w:t>Resources Policy</w:t>
      </w:r>
      <w:r>
        <w:rPr>
          <w:rFonts w:eastAsia="Times New Roman"/>
          <w:sz w:val="24"/>
          <w:szCs w:val="24"/>
        </w:rPr>
        <w:t xml:space="preserve">, 91(C). Available at: </w:t>
      </w:r>
      <w:hyperlink r:id="rId31" w:history="1">
        <w:r>
          <w:rPr>
            <w:rFonts w:eastAsia="Times New Roman"/>
            <w:color w:val="1155CC"/>
            <w:sz w:val="24"/>
            <w:szCs w:val="24"/>
            <w:u w:val="single"/>
          </w:rPr>
          <w:t>https://www.sciencedirect.com/science/article/pii/S030142072400254X</w:t>
        </w:r>
      </w:hyperlink>
      <w:r>
        <w:rPr>
          <w:rFonts w:eastAsia="Times New Roman"/>
          <w:sz w:val="24"/>
          <w:szCs w:val="24"/>
        </w:rPr>
        <w:t xml:space="preserve"> (Accessed: 4 October 2026).</w:t>
      </w:r>
    </w:p>
    <w:p w14:paraId="0F6126EF" w14:textId="77777777" w:rsidR="00EC7556" w:rsidRDefault="00BA0CF0">
      <w:pPr>
        <w:spacing w:line="360" w:lineRule="auto"/>
        <w:jc w:val="both"/>
        <w:rPr>
          <w:rFonts w:eastAsia="Times New Roman"/>
          <w:sz w:val="24"/>
          <w:szCs w:val="24"/>
        </w:rPr>
      </w:pPr>
      <w:r>
        <w:rPr>
          <w:rFonts w:eastAsia="Times New Roman"/>
          <w:sz w:val="24"/>
          <w:szCs w:val="24"/>
        </w:rPr>
        <w:t xml:space="preserve">South People (2025) ‘Australians want sustainable products, but jargon creates confusion and erodes brand value: new report finds’, </w:t>
      </w:r>
      <w:r>
        <w:rPr>
          <w:rFonts w:eastAsia="Times New Roman"/>
          <w:i/>
          <w:iCs/>
          <w:sz w:val="24"/>
          <w:szCs w:val="24"/>
        </w:rPr>
        <w:t>South People</w:t>
      </w:r>
      <w:r>
        <w:rPr>
          <w:rFonts w:eastAsia="Times New Roman"/>
          <w:sz w:val="24"/>
          <w:szCs w:val="24"/>
        </w:rPr>
        <w:t xml:space="preserve">, 28 August. Available at: </w:t>
      </w:r>
      <w:hyperlink r:id="rId32" w:history="1">
        <w:r>
          <w:rPr>
            <w:rFonts w:eastAsia="Times New Roman"/>
            <w:color w:val="1155CC"/>
            <w:sz w:val="24"/>
            <w:szCs w:val="24"/>
            <w:u w:val="single"/>
          </w:rPr>
          <w:t>https://www.southpole.com/news/australians-want-sustainable-products-but--jargon-creates-confusion</w:t>
        </w:r>
      </w:hyperlink>
      <w:r>
        <w:rPr>
          <w:rFonts w:eastAsia="Times New Roman"/>
          <w:sz w:val="24"/>
          <w:szCs w:val="24"/>
        </w:rPr>
        <w:t xml:space="preserve"> (Accessed: 4 October 2026).</w:t>
      </w:r>
    </w:p>
    <w:p w14:paraId="1D1F597F" w14:textId="77777777" w:rsidR="00EC7556" w:rsidRDefault="00BA0CF0">
      <w:pPr>
        <w:spacing w:line="360" w:lineRule="auto"/>
        <w:jc w:val="both"/>
        <w:rPr>
          <w:rFonts w:eastAsia="Times New Roman"/>
          <w:sz w:val="24"/>
          <w:szCs w:val="24"/>
        </w:rPr>
      </w:pPr>
      <w:r>
        <w:rPr>
          <w:rFonts w:eastAsia="Times New Roman"/>
          <w:sz w:val="24"/>
          <w:szCs w:val="24"/>
        </w:rPr>
        <w:t xml:space="preserve">Subrahmanyam, S. (2019) ‘Carrefour's competitive strategy-cost leadership and differentiation: A case study’, </w:t>
      </w:r>
      <w:r>
        <w:rPr>
          <w:rFonts w:eastAsia="Times New Roman"/>
          <w:i/>
          <w:iCs/>
          <w:sz w:val="24"/>
          <w:szCs w:val="24"/>
        </w:rPr>
        <w:t>Pacific Business Review International</w:t>
      </w:r>
      <w:r>
        <w:rPr>
          <w:rFonts w:eastAsia="Times New Roman"/>
          <w:sz w:val="24"/>
          <w:szCs w:val="24"/>
        </w:rPr>
        <w:t xml:space="preserve">, 11(8). Available at: </w:t>
      </w:r>
      <w:hyperlink w:history="1">
        <w:r>
          <w:rPr>
            <w:rFonts w:eastAsia="Times New Roman"/>
            <w:color w:val="1155CC"/>
            <w:sz w:val="24"/>
            <w:szCs w:val="24"/>
            <w:u w:val="single"/>
          </w:rPr>
          <w:t>https://www.researchgate.net/profile/Sarah-Azad-Fouad-Arif/publication/333118406_Carrefour's_Competitive_Strategy-_Cost_Leadership_and_Differentiation_A_Case_Study/links/5cdc7435299bf14d959c419a/Carrefours-Competitive-Strategy-Cost-Leadership-and-Differentiation-A-Case-Study.pdf</w:t>
        </w:r>
      </w:hyperlink>
      <w:r>
        <w:rPr>
          <w:rFonts w:eastAsia="Times New Roman"/>
          <w:sz w:val="24"/>
          <w:szCs w:val="24"/>
        </w:rPr>
        <w:t xml:space="preserve"> (Accessed: 4 October 2026).</w:t>
      </w:r>
    </w:p>
    <w:p w14:paraId="56B9193A" w14:textId="77777777" w:rsidR="00EC7556" w:rsidRDefault="00EC7556">
      <w:pPr>
        <w:spacing w:line="360" w:lineRule="auto"/>
        <w:jc w:val="both"/>
        <w:rPr>
          <w:rFonts w:eastAsia="Times New Roman"/>
          <w:sz w:val="24"/>
          <w:szCs w:val="24"/>
        </w:rPr>
      </w:pPr>
    </w:p>
    <w:p w14:paraId="1609B9D6" w14:textId="77777777" w:rsidR="00EC7556" w:rsidRDefault="00EC7556">
      <w:pPr>
        <w:spacing w:line="360" w:lineRule="auto"/>
        <w:jc w:val="both"/>
        <w:rPr>
          <w:rFonts w:eastAsia="Times New Roman"/>
          <w:sz w:val="24"/>
          <w:szCs w:val="24"/>
        </w:rPr>
      </w:pPr>
    </w:p>
    <w:p w14:paraId="0E2B1293" w14:textId="77777777" w:rsidR="00EC7556" w:rsidRDefault="00EC7556">
      <w:pPr>
        <w:spacing w:line="360" w:lineRule="auto"/>
        <w:rPr>
          <w:sz w:val="24"/>
          <w:szCs w:val="24"/>
        </w:rPr>
      </w:pPr>
    </w:p>
    <w:sectPr w:rsidR="00EC755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A9501708"/>
    <w:lvl w:ilvl="0" w:tplc="DA78C702">
      <w:start w:val="1"/>
      <w:numFmt w:val="bullet"/>
      <w:lvlText w:val=""/>
      <w:lvlJc w:val="left"/>
      <w:pPr>
        <w:ind w:left="1440" w:hanging="360"/>
      </w:pPr>
      <w:rPr>
        <w:rFonts w:ascii="Symbol" w:hAnsi="Symbol"/>
      </w:rPr>
    </w:lvl>
    <w:lvl w:ilvl="1" w:tplc="12466B3A">
      <w:start w:val="1"/>
      <w:numFmt w:val="bullet"/>
      <w:lvlText w:val=""/>
      <w:lvlJc w:val="left"/>
      <w:pPr>
        <w:ind w:left="1440" w:hanging="360"/>
      </w:pPr>
      <w:rPr>
        <w:rFonts w:ascii="Symbol" w:hAnsi="Symbol"/>
      </w:rPr>
    </w:lvl>
    <w:lvl w:ilvl="2" w:tplc="F74237CE">
      <w:start w:val="1"/>
      <w:numFmt w:val="bullet"/>
      <w:lvlText w:val=""/>
      <w:lvlJc w:val="left"/>
      <w:pPr>
        <w:ind w:left="1440" w:hanging="360"/>
      </w:pPr>
      <w:rPr>
        <w:rFonts w:ascii="Symbol" w:hAnsi="Symbol"/>
      </w:rPr>
    </w:lvl>
    <w:lvl w:ilvl="3" w:tplc="6D04B496">
      <w:start w:val="1"/>
      <w:numFmt w:val="bullet"/>
      <w:lvlText w:val=""/>
      <w:lvlJc w:val="left"/>
      <w:pPr>
        <w:ind w:left="1440" w:hanging="360"/>
      </w:pPr>
      <w:rPr>
        <w:rFonts w:ascii="Symbol" w:hAnsi="Symbol"/>
      </w:rPr>
    </w:lvl>
    <w:lvl w:ilvl="4" w:tplc="7F8CC2D8">
      <w:start w:val="1"/>
      <w:numFmt w:val="bullet"/>
      <w:lvlText w:val=""/>
      <w:lvlJc w:val="left"/>
      <w:pPr>
        <w:ind w:left="1440" w:hanging="360"/>
      </w:pPr>
      <w:rPr>
        <w:rFonts w:ascii="Symbol" w:hAnsi="Symbol"/>
      </w:rPr>
    </w:lvl>
    <w:lvl w:ilvl="5" w:tplc="5AB68C12">
      <w:start w:val="1"/>
      <w:numFmt w:val="bullet"/>
      <w:lvlText w:val=""/>
      <w:lvlJc w:val="left"/>
      <w:pPr>
        <w:ind w:left="1440" w:hanging="360"/>
      </w:pPr>
      <w:rPr>
        <w:rFonts w:ascii="Symbol" w:hAnsi="Symbol"/>
      </w:rPr>
    </w:lvl>
    <w:lvl w:ilvl="6" w:tplc="33F82888">
      <w:start w:val="1"/>
      <w:numFmt w:val="bullet"/>
      <w:lvlText w:val=""/>
      <w:lvlJc w:val="left"/>
      <w:pPr>
        <w:ind w:left="1440" w:hanging="360"/>
      </w:pPr>
      <w:rPr>
        <w:rFonts w:ascii="Symbol" w:hAnsi="Symbol"/>
      </w:rPr>
    </w:lvl>
    <w:lvl w:ilvl="7" w:tplc="6922D9B0">
      <w:start w:val="1"/>
      <w:numFmt w:val="bullet"/>
      <w:lvlText w:val=""/>
      <w:lvlJc w:val="left"/>
      <w:pPr>
        <w:ind w:left="1440" w:hanging="360"/>
      </w:pPr>
      <w:rPr>
        <w:rFonts w:ascii="Symbol" w:hAnsi="Symbol"/>
      </w:rPr>
    </w:lvl>
    <w:lvl w:ilvl="8" w:tplc="E0A6D3CC">
      <w:start w:val="1"/>
      <w:numFmt w:val="bullet"/>
      <w:lvlText w:val=""/>
      <w:lvlJc w:val="left"/>
      <w:pPr>
        <w:ind w:left="1440" w:hanging="360"/>
      </w:pPr>
      <w:rPr>
        <w:rFonts w:ascii="Symbol" w:hAnsi="Symbol"/>
      </w:rPr>
    </w:lvl>
  </w:abstractNum>
  <w:abstractNum w:abstractNumId="1" w15:restartNumberingAfterBreak="0">
    <w:nsid w:val="00000001"/>
    <w:multiLevelType w:val="hybridMultilevel"/>
    <w:tmpl w:val="3D80D198"/>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0980288">
    <w:abstractNumId w:val="1"/>
  </w:num>
  <w:num w:numId="2" w16cid:durableId="1671639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556"/>
    <w:rsid w:val="00187841"/>
    <w:rsid w:val="006B6D8A"/>
    <w:rsid w:val="00C83D57"/>
    <w:rsid w:val="00EC75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C0F6A"/>
  <w15:docId w15:val="{5D4AA215-35C5-41A3-9EAD-F4332B94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Arial" w:eastAsia="Arial" w:hAnsi="Arial" w:cs="Arial"/>
      <w:lang w:val="en-GB" w:eastAsia="en-IN"/>
    </w:rPr>
  </w:style>
  <w:style w:type="paragraph" w:styleId="Heading1">
    <w:name w:val="heading 1"/>
    <w:basedOn w:val="Normal"/>
    <w:next w:val="Normal"/>
    <w:link w:val="Heading1Char"/>
    <w:uiPriority w:val="9"/>
    <w:qFormat/>
    <w:pPr>
      <w:keepNext/>
      <w:keepLines/>
      <w:spacing w:before="240" w:line="360" w:lineRule="auto"/>
      <w:jc w:val="both"/>
      <w:outlineLvl w:val="0"/>
    </w:pPr>
    <w:rPr>
      <w:rFonts w:ascii="Times New Roman" w:eastAsia="SimSun" w:hAnsi="Times New Roman" w:cs="SimSun"/>
      <w:b/>
      <w:sz w:val="24"/>
      <w:szCs w:val="32"/>
    </w:rPr>
  </w:style>
  <w:style w:type="paragraph" w:styleId="Heading2">
    <w:name w:val="heading 2"/>
    <w:basedOn w:val="Normal"/>
    <w:next w:val="Normal"/>
    <w:link w:val="Heading2Char"/>
    <w:uiPriority w:val="9"/>
    <w:unhideWhenUsed/>
    <w:qFormat/>
    <w:pPr>
      <w:keepNext/>
      <w:keepLines/>
      <w:spacing w:before="40" w:line="360" w:lineRule="auto"/>
      <w:jc w:val="both"/>
      <w:outlineLvl w:val="1"/>
    </w:pPr>
    <w:rPr>
      <w:rFonts w:ascii="Times New Roman" w:eastAsia="SimSun" w:hAnsi="Times New Roman" w:cs="SimSun"/>
      <w:b/>
      <w:i/>
      <w:color w:val="00000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sz w:val="24"/>
      <w:szCs w:val="32"/>
      <w:lang w:eastAsia="en-IN"/>
    </w:rPr>
  </w:style>
  <w:style w:type="character" w:customStyle="1" w:styleId="Heading2Char">
    <w:name w:val="Heading 2 Char"/>
    <w:basedOn w:val="DefaultParagraphFont"/>
    <w:link w:val="Heading2"/>
    <w:uiPriority w:val="9"/>
    <w:rPr>
      <w:rFonts w:ascii="Times New Roman" w:eastAsia="SimSun" w:hAnsi="Times New Roman" w:cs="SimSun"/>
      <w:b/>
      <w:i/>
      <w:color w:val="000000"/>
      <w:sz w:val="24"/>
      <w:szCs w:val="26"/>
      <w:lang w:eastAsia="en-IN"/>
    </w:rPr>
  </w:style>
  <w:style w:type="paragraph" w:styleId="TOCHeading">
    <w:name w:val="TOC Heading"/>
    <w:basedOn w:val="Heading1"/>
    <w:next w:val="Normal"/>
    <w:uiPriority w:val="39"/>
    <w:qFormat/>
    <w:pPr>
      <w:spacing w:line="259" w:lineRule="auto"/>
      <w:jc w:val="left"/>
      <w:outlineLvl w:val="9"/>
    </w:pPr>
    <w:rPr>
      <w:rFonts w:ascii="Calibri Light" w:hAnsi="Calibri Light"/>
      <w:b w:val="0"/>
      <w:color w:val="2E74B5"/>
      <w:sz w:val="32"/>
      <w:lang w:val="en-US" w:eastAsia="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563C1"/>
      <w:u w:val="single"/>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rFonts w:ascii="Arial" w:eastAsia="Arial" w:hAnsi="Arial" w:cs="Arial"/>
      <w:sz w:val="20"/>
      <w:szCs w:val="20"/>
      <w:lang w:val="en-GB" w:eastAsia="en-IN"/>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Arial" w:eastAsia="Arial" w:hAnsi="Arial" w:cs="Arial"/>
      <w:b/>
      <w:bCs/>
      <w:sz w:val="20"/>
      <w:szCs w:val="20"/>
      <w:lang w:val="en-GB" w:eastAsia="en-IN"/>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rPr>
      <w:rFonts w:ascii="Arial" w:eastAsia="Arial" w:hAnsi="Arial" w:cs="Arial"/>
      <w:lang w:val="en-GB" w:eastAsia="en-IN"/>
    </w:rPr>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rPr>
      <w:rFonts w:ascii="Arial" w:eastAsia="Arial" w:hAnsi="Arial" w:cs="Arial"/>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bhp.com/sustainability/climate-change/operational-ghg-emissions" TargetMode="External"/><Relationship Id="rId18" Type="http://schemas.openxmlformats.org/officeDocument/2006/relationships/hyperlink" Target="https://www.bhp.com/about/strategy" TargetMode="External"/><Relationship Id="rId26" Type="http://schemas.openxmlformats.org/officeDocument/2006/relationships/hyperlink" Target="https://doi.org/10.1016/j.clscn.2024.100183" TargetMode="External"/><Relationship Id="rId3" Type="http://schemas.openxmlformats.org/officeDocument/2006/relationships/styles" Target="styles.xml"/><Relationship Id="rId21" Type="http://schemas.openxmlformats.org/officeDocument/2006/relationships/hyperlink" Target="https://www.spglobal.com/energy/en/news-research/latest-news/coal/021021-bhp-japans-jfe-sign-low-emissions-steel-raw-materials-technology-project"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bhp.com/what-we-do/products/copper" TargetMode="External"/><Relationship Id="rId17" Type="http://schemas.openxmlformats.org/officeDocument/2006/relationships/hyperlink" Target="https://www.bhp.com/sustainability/communities/local-communities" TargetMode="External"/><Relationship Id="rId25" Type="http://schemas.openxmlformats.org/officeDocument/2006/relationships/hyperlink" Target="https://doi.org/10.1038/s41598-025-25556-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hp.com/sustainability/climate-change/climate-transition-action-plan" TargetMode="External"/><Relationship Id="rId20" Type="http://schemas.openxmlformats.org/officeDocument/2006/relationships/hyperlink" Target="https://ojs.lib.uwo.ca/index.php/cjils/article/download/17432/15874" TargetMode="External"/><Relationship Id="rId29" Type="http://schemas.openxmlformats.org/officeDocument/2006/relationships/hyperlink" Target="https://www.mining-technology.com/analyst-comment/mining-companies-ghg-emissions-performance/?cf-view&amp;cf-close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hp.com/about" TargetMode="External"/><Relationship Id="rId24" Type="http://schemas.openxmlformats.org/officeDocument/2006/relationships/hyperlink" Target="https://doi.org/10.1016/j.techfore.2020.120470" TargetMode="External"/><Relationship Id="rId32" Type="http://schemas.openxmlformats.org/officeDocument/2006/relationships/hyperlink" Target="https://www.southpole.com/news/australians-want-sustainable-products-but--jargon-creates-confusion" TargetMode="External"/><Relationship Id="rId5" Type="http://schemas.openxmlformats.org/officeDocument/2006/relationships/webSettings" Target="webSettings.xml"/><Relationship Id="rId15" Type="http://schemas.openxmlformats.org/officeDocument/2006/relationships/hyperlink" Target="https://www.bhp.com/sustainability/climate-change/value-chain-ghg-emission-reductions" TargetMode="External"/><Relationship Id="rId23" Type="http://schemas.openxmlformats.org/officeDocument/2006/relationships/hyperlink" Target="https://www.icmm.com/global-datasets/ghg-emissions" TargetMode="External"/><Relationship Id="rId28" Type="http://schemas.openxmlformats.org/officeDocument/2006/relationships/hyperlink" Target="https://www.utgjiu.ro/revista/ec/pdf/2017-02.Volumul_2_Special/21_EcobiciL.pdf" TargetMode="External"/><Relationship Id="rId10" Type="http://schemas.openxmlformats.org/officeDocument/2006/relationships/image" Target="media/image5.png"/><Relationship Id="rId19" Type="http://schemas.openxmlformats.org/officeDocument/2006/relationships/hyperlink" Target="https://www.dcceew.gov.au/climate-change/emissions-reporting/national-greenhouse-energy-reporting-scheme/safeguard-mechanism" TargetMode="External"/><Relationship Id="rId31" Type="http://schemas.openxmlformats.org/officeDocument/2006/relationships/hyperlink" Target="https://www.sciencedirect.com/science/article/pii/S030142072400254X"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bhp.com/sustainability/climate-change" TargetMode="External"/><Relationship Id="rId22" Type="http://schemas.openxmlformats.org/officeDocument/2006/relationships/hyperlink" Target="https://www.globaldata.com/company-profile/bhp/" TargetMode="External"/><Relationship Id="rId27" Type="http://schemas.openxmlformats.org/officeDocument/2006/relationships/hyperlink" Target="https://doi.org/10.1016/j.envc.2025.101109" TargetMode="External"/><Relationship Id="rId30" Type="http://schemas.openxmlformats.org/officeDocument/2006/relationships/hyperlink" Target="https://www.erudit.org/en/journals/cjils/2024-v47-n2-cjils09826/1115996ar.pdf"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51F62-9755-4BD0-B3BC-4C5B86DAF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4221</Words>
  <Characters>24060</Characters>
  <Application>Microsoft Office Word</Application>
  <DocSecurity>0</DocSecurity>
  <Lines>200</Lines>
  <Paragraphs>56</Paragraphs>
  <ScaleCrop>false</ScaleCrop>
  <Company/>
  <LinksUpToDate>false</LinksUpToDate>
  <CharactersWithSpaces>28225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anjali karavadara</cp:lastModifiedBy>
  <cp:revision>2</cp:revision>
  <dcterms:created xsi:type="dcterms:W3CDTF">2026-10-21T11:12:00Z</dcterms:created>
  <dcterms:modified xsi:type="dcterms:W3CDTF">2026-10-21T11:12:00Z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acc45e4ddc864d63bc4ab02854dc49b9_23</vt:lpwstr>
  </property>
</Properties>
</file>