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BF5AF" w14:textId="33C6CB10" w:rsidR="00315F5D" w:rsidRDefault="00315F5D" w:rsidP="00315F5D">
      <w:r>
        <w:fldChar w:fldCharType="begin"/>
      </w:r>
      <w:r w:rsidR="00E05ED1">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0E1A6EA9" wp14:editId="2713F4C8">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5B1D42B8" w14:textId="77777777" w:rsidR="00315F5D" w:rsidRDefault="00315F5D" w:rsidP="00315F5D">
      <w:pPr>
        <w:rPr>
          <w:rStyle w:val="Strong"/>
          <w:rFonts w:ascii="Segoe UI" w:hAnsi="Segoe UI" w:cs="Segoe UI"/>
          <w:color w:val="1D2125"/>
        </w:rPr>
      </w:pPr>
    </w:p>
    <w:p w14:paraId="0C956856" w14:textId="77777777" w:rsidR="00315F5D" w:rsidRPr="000264A1" w:rsidRDefault="00315F5D" w:rsidP="00315F5D">
      <w:pPr>
        <w:rPr>
          <w:rStyle w:val="Strong"/>
          <w:rFonts w:ascii="Arial" w:hAnsi="Arial" w:cs="Arial"/>
          <w:color w:val="1D2125"/>
          <w:sz w:val="36"/>
          <w:szCs w:val="36"/>
        </w:rPr>
      </w:pPr>
    </w:p>
    <w:p w14:paraId="5AD05666" w14:textId="77777777" w:rsidR="00315F5D" w:rsidRPr="000264A1" w:rsidRDefault="00315F5D" w:rsidP="00315F5D">
      <w:pPr>
        <w:jc w:val="center"/>
        <w:rPr>
          <w:rStyle w:val="Strong"/>
          <w:rFonts w:ascii="Arial" w:hAnsi="Arial" w:cs="Arial"/>
          <w:color w:val="1D2125"/>
          <w:sz w:val="36"/>
          <w:szCs w:val="36"/>
        </w:rPr>
      </w:pPr>
    </w:p>
    <w:p w14:paraId="058F78E0" w14:textId="77777777" w:rsidR="00315F5D" w:rsidRPr="000264A1" w:rsidRDefault="00315F5D" w:rsidP="00315F5D">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6C1CD97A" w14:textId="77777777" w:rsidR="00315F5D" w:rsidRDefault="00315F5D" w:rsidP="00315F5D">
      <w:pPr>
        <w:jc w:val="center"/>
        <w:rPr>
          <w:rStyle w:val="Strong"/>
          <w:rFonts w:ascii="Arial" w:hAnsi="Arial" w:cs="Arial"/>
          <w:color w:val="1D2125"/>
          <w:sz w:val="36"/>
          <w:szCs w:val="36"/>
        </w:rPr>
      </w:pPr>
    </w:p>
    <w:p w14:paraId="29D00EB0" w14:textId="77777777" w:rsidR="00315F5D" w:rsidRDefault="00315F5D" w:rsidP="00315F5D">
      <w:pPr>
        <w:jc w:val="center"/>
        <w:rPr>
          <w:rStyle w:val="Strong"/>
          <w:rFonts w:ascii="Arial" w:hAnsi="Arial" w:cs="Arial"/>
          <w:color w:val="1D2125"/>
          <w:sz w:val="36"/>
          <w:szCs w:val="36"/>
        </w:rPr>
      </w:pPr>
    </w:p>
    <w:p w14:paraId="2DD04909" w14:textId="77777777" w:rsidR="00315F5D" w:rsidRPr="000264A1" w:rsidRDefault="00315F5D" w:rsidP="00315F5D">
      <w:pPr>
        <w:jc w:val="center"/>
        <w:rPr>
          <w:rStyle w:val="Strong"/>
          <w:rFonts w:ascii="Arial" w:hAnsi="Arial" w:cs="Arial"/>
          <w:color w:val="1D2125"/>
          <w:sz w:val="36"/>
          <w:szCs w:val="36"/>
        </w:rPr>
      </w:pPr>
    </w:p>
    <w:p w14:paraId="2A8EA29B" w14:textId="77777777" w:rsidR="00315F5D" w:rsidRPr="000264A1" w:rsidRDefault="00315F5D" w:rsidP="00315F5D">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00E0F6" w14:textId="77777777" w:rsidR="00315F5D" w:rsidRPr="000264A1" w:rsidRDefault="00315F5D" w:rsidP="00315F5D">
      <w:pPr>
        <w:rPr>
          <w:rStyle w:val="Strong"/>
          <w:rFonts w:ascii="Arial" w:hAnsi="Arial" w:cs="Arial"/>
          <w:color w:val="1D2125"/>
          <w:sz w:val="32"/>
          <w:szCs w:val="32"/>
        </w:rPr>
      </w:pPr>
      <w:r w:rsidRPr="000264A1">
        <w:rPr>
          <w:rStyle w:val="Strong"/>
          <w:rFonts w:ascii="Arial" w:hAnsi="Arial" w:cs="Arial"/>
          <w:color w:val="1D2125"/>
          <w:sz w:val="32"/>
          <w:szCs w:val="32"/>
        </w:rPr>
        <w:t>Student name: Marie</w:t>
      </w:r>
      <w:r>
        <w:rPr>
          <w:rStyle w:val="Strong"/>
          <w:rFonts w:ascii="Arial" w:hAnsi="Arial" w:cs="Arial"/>
          <w:color w:val="1D2125"/>
          <w:sz w:val="32"/>
          <w:szCs w:val="32"/>
        </w:rPr>
        <w:t xml:space="preserve"> Louise Audrey Sombo Niamie</w:t>
      </w:r>
    </w:p>
    <w:p w14:paraId="65C3103C" w14:textId="77777777" w:rsidR="00315F5D" w:rsidRDefault="00315F5D" w:rsidP="00315F5D">
      <w:pPr>
        <w:rPr>
          <w:rStyle w:val="Strong"/>
          <w:rFonts w:ascii="Arial" w:hAnsi="Arial" w:cs="Arial"/>
          <w:color w:val="1D2125"/>
          <w:sz w:val="32"/>
          <w:szCs w:val="32"/>
        </w:rPr>
      </w:pPr>
      <w:r w:rsidRPr="000264A1">
        <w:rPr>
          <w:rStyle w:val="Strong"/>
          <w:rFonts w:ascii="Arial" w:hAnsi="Arial" w:cs="Arial"/>
          <w:color w:val="1D2125"/>
          <w:sz w:val="32"/>
          <w:szCs w:val="32"/>
        </w:rPr>
        <w:t>Student number</w:t>
      </w:r>
      <w:r>
        <w:rPr>
          <w:rStyle w:val="Strong"/>
          <w:rFonts w:ascii="Arial" w:hAnsi="Arial" w:cs="Arial"/>
          <w:color w:val="1D2125"/>
          <w:sz w:val="32"/>
          <w:szCs w:val="32"/>
        </w:rPr>
        <w:t>: 2335747</w:t>
      </w:r>
    </w:p>
    <w:p w14:paraId="492E7D2C" w14:textId="77115A12" w:rsidR="00E05ED1" w:rsidRPr="000264A1" w:rsidRDefault="00E05ED1" w:rsidP="00315F5D">
      <w:pPr>
        <w:rPr>
          <w:rStyle w:val="Strong"/>
          <w:rFonts w:ascii="Arial" w:hAnsi="Arial" w:cs="Arial"/>
          <w:color w:val="1D2125"/>
          <w:sz w:val="32"/>
          <w:szCs w:val="32"/>
        </w:rPr>
      </w:pPr>
      <w:r>
        <w:rPr>
          <w:rStyle w:val="Strong"/>
          <w:rFonts w:ascii="Arial" w:hAnsi="Arial" w:cs="Arial"/>
          <w:color w:val="1D2125"/>
          <w:sz w:val="32"/>
          <w:szCs w:val="32"/>
        </w:rPr>
        <w:t>Lecturer : Oluwadamilola Tayo</w:t>
      </w:r>
    </w:p>
    <w:p w14:paraId="0752C9F5" w14:textId="77777777" w:rsidR="00315F5D" w:rsidRDefault="00315F5D" w:rsidP="00315F5D">
      <w:pPr>
        <w:rPr>
          <w:rFonts w:ascii="Arial" w:hAnsi="Arial" w:cs="Arial"/>
          <w:sz w:val="36"/>
          <w:szCs w:val="36"/>
        </w:rPr>
      </w:pPr>
    </w:p>
    <w:p w14:paraId="45E30EC6" w14:textId="77777777" w:rsidR="00315F5D" w:rsidRDefault="00315F5D" w:rsidP="002D5C02">
      <w:pPr>
        <w:spacing w:line="240" w:lineRule="auto"/>
        <w:jc w:val="both"/>
        <w:rPr>
          <w:rFonts w:ascii="Calibri" w:hAnsi="Calibri" w:cs="Calibri"/>
          <w:b/>
          <w:bCs/>
          <w:i/>
          <w:iCs/>
        </w:rPr>
      </w:pPr>
    </w:p>
    <w:p w14:paraId="39E89DE8" w14:textId="77777777" w:rsidR="00315F5D" w:rsidRDefault="00315F5D" w:rsidP="002D5C02">
      <w:pPr>
        <w:spacing w:line="240" w:lineRule="auto"/>
        <w:jc w:val="both"/>
        <w:rPr>
          <w:rFonts w:ascii="Calibri" w:hAnsi="Calibri" w:cs="Calibri"/>
          <w:b/>
          <w:bCs/>
          <w:i/>
          <w:iCs/>
        </w:rPr>
      </w:pPr>
    </w:p>
    <w:p w14:paraId="6155D957" w14:textId="77777777" w:rsidR="00315F5D" w:rsidRDefault="00315F5D" w:rsidP="002D5C02">
      <w:pPr>
        <w:spacing w:line="240" w:lineRule="auto"/>
        <w:jc w:val="both"/>
        <w:rPr>
          <w:rFonts w:ascii="Calibri" w:hAnsi="Calibri" w:cs="Calibri"/>
          <w:b/>
          <w:bCs/>
          <w:i/>
          <w:iCs/>
        </w:rPr>
      </w:pPr>
    </w:p>
    <w:p w14:paraId="024F0282" w14:textId="77777777" w:rsidR="00315F5D" w:rsidRDefault="00315F5D" w:rsidP="002D5C02">
      <w:pPr>
        <w:spacing w:line="240" w:lineRule="auto"/>
        <w:jc w:val="both"/>
        <w:rPr>
          <w:rFonts w:ascii="Calibri" w:hAnsi="Calibri" w:cs="Calibri"/>
          <w:b/>
          <w:bCs/>
          <w:i/>
          <w:iCs/>
        </w:rPr>
      </w:pPr>
    </w:p>
    <w:p w14:paraId="609C22A4" w14:textId="77777777" w:rsidR="00315F5D" w:rsidRDefault="00315F5D" w:rsidP="002D5C02">
      <w:pPr>
        <w:spacing w:line="240" w:lineRule="auto"/>
        <w:jc w:val="both"/>
        <w:rPr>
          <w:rFonts w:ascii="Calibri" w:hAnsi="Calibri" w:cs="Calibri"/>
          <w:b/>
          <w:bCs/>
          <w:i/>
          <w:iCs/>
        </w:rPr>
      </w:pPr>
    </w:p>
    <w:p w14:paraId="0343A92B" w14:textId="77777777" w:rsidR="00315F5D" w:rsidRDefault="00315F5D" w:rsidP="002D5C02">
      <w:pPr>
        <w:spacing w:line="240" w:lineRule="auto"/>
        <w:jc w:val="both"/>
        <w:rPr>
          <w:rFonts w:ascii="Calibri" w:hAnsi="Calibri" w:cs="Calibri"/>
          <w:b/>
          <w:bCs/>
          <w:i/>
          <w:iCs/>
        </w:rPr>
      </w:pPr>
    </w:p>
    <w:p w14:paraId="6361F303" w14:textId="77777777" w:rsidR="00315F5D" w:rsidRDefault="00315F5D" w:rsidP="002D5C02">
      <w:pPr>
        <w:spacing w:line="240" w:lineRule="auto"/>
        <w:jc w:val="both"/>
        <w:rPr>
          <w:rFonts w:ascii="Calibri" w:hAnsi="Calibri" w:cs="Calibri"/>
          <w:b/>
          <w:bCs/>
          <w:i/>
          <w:iCs/>
        </w:rPr>
      </w:pPr>
    </w:p>
    <w:p w14:paraId="37B94EFE" w14:textId="77777777" w:rsidR="00E05ED1" w:rsidRDefault="00E05ED1" w:rsidP="002D5C02">
      <w:pPr>
        <w:spacing w:line="240" w:lineRule="auto"/>
        <w:jc w:val="both"/>
        <w:rPr>
          <w:rFonts w:ascii="Calibri" w:hAnsi="Calibri" w:cs="Calibri"/>
          <w:b/>
          <w:bCs/>
          <w:i/>
          <w:iCs/>
        </w:rPr>
      </w:pPr>
    </w:p>
    <w:p w14:paraId="4E6EE46B" w14:textId="6FB96DE1" w:rsidR="002D5C02" w:rsidRPr="00E05ED1" w:rsidRDefault="002D5C02" w:rsidP="002D5C02">
      <w:pPr>
        <w:spacing w:line="240" w:lineRule="auto"/>
        <w:jc w:val="both"/>
        <w:rPr>
          <w:rFonts w:ascii="Arial" w:hAnsi="Arial" w:cs="Arial"/>
          <w:b/>
          <w:bCs/>
          <w:i/>
          <w:iCs/>
          <w:sz w:val="22"/>
          <w:szCs w:val="22"/>
        </w:rPr>
      </w:pPr>
      <w:r w:rsidRPr="00E05ED1">
        <w:rPr>
          <w:rFonts w:ascii="Arial" w:hAnsi="Arial" w:cs="Arial"/>
          <w:b/>
          <w:bCs/>
          <w:i/>
          <w:iCs/>
          <w:sz w:val="22"/>
          <w:szCs w:val="22"/>
        </w:rPr>
        <w:lastRenderedPageBreak/>
        <w:t>Topic: Personality disorder and related traits (6E68)</w:t>
      </w:r>
    </w:p>
    <w:p w14:paraId="3AF0B9CF" w14:textId="3E443561" w:rsidR="002D5C02" w:rsidRPr="00E05ED1" w:rsidRDefault="002D5C02" w:rsidP="002D5C02">
      <w:pPr>
        <w:spacing w:line="240" w:lineRule="auto"/>
        <w:jc w:val="both"/>
        <w:rPr>
          <w:rFonts w:ascii="Arial" w:hAnsi="Arial" w:cs="Arial"/>
          <w:b/>
          <w:bCs/>
          <w:sz w:val="22"/>
          <w:szCs w:val="22"/>
        </w:rPr>
      </w:pPr>
      <w:r w:rsidRPr="00E05ED1">
        <w:rPr>
          <w:rFonts w:ascii="Arial" w:hAnsi="Arial" w:cs="Arial"/>
          <w:b/>
          <w:bCs/>
          <w:sz w:val="22"/>
          <w:szCs w:val="22"/>
        </w:rPr>
        <w:t>Introduction</w:t>
      </w:r>
    </w:p>
    <w:p w14:paraId="4014FAA3"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Personality disorder and related traits (PDs) remain a complex and contested area within contemporary mental health practice. Personality is central to how individuals understand themselves, interact with others and respond to their social environment. Consequently, receiving a diagnosis suggesting that an individual’s personality is ‘disordered’ can be particularly stigmatising, as the diagnosis may be perceived as defining the whole person rather than identifying specific psychological difficulties (Bonnington and Rose, 2014). This concern is significant because personality disorders have historically been associated with patterns of thinking, feeling and behaving that are considered to deviate substantially from expected social norms (Gallop, 2022).</w:t>
      </w:r>
    </w:p>
    <w:p w14:paraId="7FE02124"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Personality disorder can involve persistent difficulties in emotional regulation, interpersonal relationships and behavioural functioning that cause significant distress or interfere with everyday life. These difficulties can affect employment, education, relationships and wider social participation. Personality disorders are encountered across different areas of healthcare and have been associated with poorer health outcomes, premature mortality and reduced quality of life (QoL) (Ekselius, 2018). Although individual experiences vary considerably, personality-related difficulties commonly become apparent during adolescence or early adulthood and may remain relatively stable over time, resulting in significant distress or functional impairment (Heydari et al., 2026).</w:t>
      </w:r>
    </w:p>
    <w:p w14:paraId="546471CA"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Contemporary approaches increasingly challenge rigid understandings of personality disorder. In particular, the International Classification of Diseases, Eleventh Revision (ICD-11) has introduced a dimensional approach that places greater emphasis on the severity of personality dysfunction and associated personality traits. This represents an important shift in how personality disorder is conceptualised, diagnosed and subsequently treated.</w:t>
      </w:r>
    </w:p>
    <w:p w14:paraId="4549EBB2" w14:textId="16CA8B8D"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This work critically examines the classification and diagnosis of personality disorder and related traits, including the transition from categorical diagnosis towards the dimensional ICD-11 framework. It will evaluate current approaches to treatment and rehabilitation before considering contemporary debates surrounding diagnostic classification, stigma, neurodivergence and access to appropriate interventions. Finally, recommendations will be presented regarding the development of more individualised, evidence-informed and recovery-oriented mental health practice.</w:t>
      </w:r>
    </w:p>
    <w:p w14:paraId="073FA781" w14:textId="77777777" w:rsidR="002D5C02" w:rsidRPr="00E05ED1" w:rsidRDefault="002D5C02" w:rsidP="002D5C02">
      <w:pPr>
        <w:spacing w:line="240" w:lineRule="auto"/>
        <w:jc w:val="both"/>
        <w:rPr>
          <w:rFonts w:ascii="Arial" w:hAnsi="Arial" w:cs="Arial"/>
          <w:b/>
          <w:bCs/>
          <w:sz w:val="22"/>
          <w:szCs w:val="22"/>
        </w:rPr>
      </w:pPr>
      <w:r w:rsidRPr="00E05ED1">
        <w:rPr>
          <w:rFonts w:ascii="Arial" w:hAnsi="Arial" w:cs="Arial"/>
          <w:b/>
          <w:bCs/>
          <w:sz w:val="22"/>
          <w:szCs w:val="22"/>
        </w:rPr>
        <w:t>Classification and Diagnosis of Personality Disorder and Related Traits</w:t>
      </w:r>
    </w:p>
    <w:p w14:paraId="3009A960"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Before the introduction of the International Classification of Diseases, Eleventh Revision (ICD-11), personality disorders were primarily classified through established categorical prototypes. Although these classifications were familiar within clinical practice, they were criticised for not being sufficiently grounded in contemporary personality science. Their application could also be challenging in non-specialist settings because practitioners were required to recognise and differentiate between numerous diagnostic signs and symptoms (Swales, 2022; Hopwood et al., 2023).</w:t>
      </w:r>
    </w:p>
    <w:p w14:paraId="7DB39379"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ICD-11 fundamentally restructured the classification of personality disorder by replacing the predominantly categorical approach used within ICD-10 with a dimensional, severity-based framework. A significant limitation of categorical diagnosis was the high level of comorbidity and diagnostic overlap between different personality disorder subgroups. Consequently, individuals could meet the diagnostic criteria for several personality disorders simultaneously, reducing diagnostic reliability and limiting the clinical usefulness of the categories (Tyrer et al., 2019). Rather than assigning individuals to multiple separate categories, ICD-11 therefore focuses on the overall severity of impairment in personality functioning.</w:t>
      </w:r>
    </w:p>
    <w:p w14:paraId="6D2D93B9" w14:textId="75A354C6"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lastRenderedPageBreak/>
        <w:t>Within this framework, personality disorder is classified according to the degree of dysfunction affecting areas such as self-identity, self-direction, emotional regulation and interpersonal relationships, alongside consideration of the potential risk of harm to the individual or others. Severity is classified as mild, moderate or severe (World Health Organization [WHO], 2022). This approach reflects evidence suggesting that personality dysfunction occurs along a continuum rather than existing as a collection of completely distinct diagnostic categories (Bach &amp; First, 2018).</w:t>
      </w:r>
    </w:p>
    <w:p w14:paraId="08890956" w14:textId="24C2FF72"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In addition to severity, ICD-11 uses trait-domain qualifiers to describe the prominent maladaptive personality characteristics contributing to an individual’s presentation. These comprise negative affectivity, detachment, dissociality, disinhibition and anankastia (Bach &amp; Simonsen, 2021). ICD-11 also retains a Borderline Pattern qualifier, supporting continuity with established research and evidence-based therapeutic approaches, including dialectical behaviour therapy (DBT) and mentalization-based treatment (MBT) (Mulder et al., 2022). </w:t>
      </w:r>
    </w:p>
    <w:p w14:paraId="0C37D5BA"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Nevertheless, the dimensional model presents practical challenges. Removing traditional diagnostic categories may create uncertainty for practitioners accustomed to ICD-10 classifications and can make comparison with earlier research based on ICD-10 and DSM categories more difficult. Although the revised framework may strengthen individualised formulation and treatment planning, its clinical effectiveness depends upon practitioners being adequately trained to assess severity and trait domains consistently (Tyrer et al., 2019). Therefore, diagnostic reform alone does not guarantee improved clinical practice.</w:t>
      </w:r>
    </w:p>
    <w:p w14:paraId="550EFDDC"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Diagnosis should also involve comprehensive biopsychosocial assessment rather than reliance solely upon symptom checklists. Persistent difficulties in self and interpersonal functioning must occur across different situations, remain relatively stable over time and cause substantial distress or impairment in important areas of social, occupational or educational functioning (WHO, 2022). Assessment may include structured clinical interviews, mental health history, behavioural observations, risk assessment and, where appropriate, information from family members or other professionals (Bach &amp; Simonsen, 2021). Alternative explanations, including substance misuse, neurological conditions, developmental difficulties or episodes of other mental disorders, should also be considered before confirming a diagnosis.</w:t>
      </w:r>
    </w:p>
    <w:p w14:paraId="3B2DD117"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The terminology of “personality disorder” remains controversial. Although the term reflects persistent disturbance in personality functioning rather than an acute illness (WHO, 2022), critics argue that describing personality as “disordered” may reinforce stigma, discrimination and therapeutic pessimism (Mulder et al., 2022). Conversely, maintaining a recognised diagnosis can facilitate professional communication, access to specialist services and evidence-based treatment pathways. Therefore, while ICD-11 represents an important progression towards dimensional and individualised assessment, debates surrounding diagnostic language, stigma and implementation continue to influence contemporary mental health practice (Hopwood et al., 2023).</w:t>
      </w:r>
    </w:p>
    <w:p w14:paraId="459095F2" w14:textId="77777777" w:rsidR="002D5C02" w:rsidRPr="00E05ED1" w:rsidRDefault="002D5C02" w:rsidP="002D5C02">
      <w:pPr>
        <w:spacing w:line="240" w:lineRule="auto"/>
        <w:jc w:val="both"/>
        <w:rPr>
          <w:rFonts w:ascii="Arial" w:hAnsi="Arial" w:cs="Arial"/>
          <w:sz w:val="22"/>
          <w:szCs w:val="22"/>
        </w:rPr>
      </w:pPr>
    </w:p>
    <w:p w14:paraId="24FB624B" w14:textId="77777777" w:rsidR="002D5C02" w:rsidRPr="00E05ED1" w:rsidRDefault="002D5C02" w:rsidP="002D5C02">
      <w:pPr>
        <w:spacing w:line="240" w:lineRule="auto"/>
        <w:jc w:val="both"/>
        <w:rPr>
          <w:rFonts w:ascii="Arial" w:hAnsi="Arial" w:cs="Arial"/>
          <w:b/>
          <w:bCs/>
          <w:sz w:val="22"/>
          <w:szCs w:val="22"/>
        </w:rPr>
      </w:pPr>
      <w:r w:rsidRPr="00E05ED1">
        <w:rPr>
          <w:rFonts w:ascii="Arial" w:hAnsi="Arial" w:cs="Arial"/>
          <w:b/>
          <w:bCs/>
          <w:sz w:val="22"/>
          <w:szCs w:val="22"/>
        </w:rPr>
        <w:t>Treatment and Rehabilitation</w:t>
      </w:r>
    </w:p>
    <w:p w14:paraId="5AF6A013"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The treatment of personality disorder (PD) has developed from approaches predominantly concerned with risk management towards more recovery-oriented and person-centred interventions. Consistent with ICD-11, treatment should reflect the severity of personality dysfunction and relevant maladaptive trait domains rather than being determined solely by categorical diagnostic labels. This allows interventions to be tailored to the individual’s particular difficulties, functioning and therapeutic needs (WHO, 2022).</w:t>
      </w:r>
    </w:p>
    <w:p w14:paraId="4267E805"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Psychological therapies remain central to evidence-based treatment. Dialectical behaviour therapy (DBT) has demonstrated effectiveness in reducing self-harm, suicidal behaviours and difficulties associated with emotional dysregulation, particularly among individuals with </w:t>
      </w:r>
      <w:r w:rsidRPr="00E05ED1">
        <w:rPr>
          <w:rFonts w:ascii="Arial" w:hAnsi="Arial" w:cs="Arial"/>
          <w:sz w:val="22"/>
          <w:szCs w:val="22"/>
        </w:rPr>
        <w:lastRenderedPageBreak/>
        <w:t>borderline pattern presentations (Linehan et al., 2015). DBT aims to strengthen emotional regulation, distress tolerance and interpersonal functioning. Mentalization-Based Treatment (MBT) similarly focuses on developing an individual’s capacity to understand their own and other people’s thoughts, emotions and intentions. Improved mentalizing abilities may subsequently strengthen emotional regulation and interpersonal relationships (Bateman &amp; Fonagy, 2019). These approaches challenge historical therapeutic pessimism surrounding personality disorder by demonstrating that psychological and behavioural difficulties can respond to structured intervention.</w:t>
      </w:r>
    </w:p>
    <w:p w14:paraId="273CEFF8"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Nevertheless, treatment effectiveness must be considered alongside accessibility. Specialist psychological therapies can be resource-intensive, require appropriately trained practitioners and depend upon sustained engagement between the individual and therapeutic service. High attrition rates and limited specialist provision may therefore restrict access and contribute to inequalities in treatment outcomes (Tyrer et al., 2019). This creates a significant gap between evidence demonstrating the potential effectiveness of specialist interventions and the capacity of mental health services to provide them consistently.</w:t>
      </w:r>
    </w:p>
    <w:p w14:paraId="67CEC300"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Rehabilitation should extend beyond symptom reduction and incorporate broader aspects of recovery, autonomy and social participation (WHO, 2022). Multidisciplinary interventions may include psychoeducation, occupational therapy, vocational support, family involvement and relapse-prevention strategies to improve functioning and quality of life (Livesley et al., 2016). This holistic approach recognises that successful recovery is not defined exclusively by clinical improvement but also by an individual’s ability to establish meaningful relationships, participate within their community and pursue personally significant goals.</w:t>
      </w:r>
    </w:p>
    <w:p w14:paraId="021BC2E7"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Pharmacological intervention has a comparatively limited role. Medication is not recommended as a primary treatment for the core features of personality disorder but may be considered for co-occurring mental health conditions, such as anxiety or depression (NICE, 2009). This reinforces the importance of ensuring that pharmacological management does not replace appropriate psychological and psychosocial interventions.</w:t>
      </w:r>
    </w:p>
    <w:p w14:paraId="2EE3C9C4" w14:textId="7358586B"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Overall, ICD-11 provides a framework through which treatment and rehabilitation can become more individualised and clinically meaningful. However, diagnostic reform alone cannot ensure effective recovery. Stigma, fragmented services and inadequate specialist provision can disrupt continuity of care and contribute to inconsistent rehabilitation outcomes (Bonnington &amp; Rose, 2014). Effective treatment therefore requires equitable access to evidence-based psychological therapies, integrated multidisciplinary support and sustained professional development alongside person-centred assessment and treatment planning.</w:t>
      </w:r>
    </w:p>
    <w:p w14:paraId="796A9F4F" w14:textId="77777777" w:rsidR="002D5C02" w:rsidRPr="00E05ED1" w:rsidRDefault="002D5C02" w:rsidP="002D5C02">
      <w:pPr>
        <w:spacing w:line="240" w:lineRule="auto"/>
        <w:jc w:val="both"/>
        <w:rPr>
          <w:rFonts w:ascii="Arial" w:hAnsi="Arial" w:cs="Arial"/>
          <w:b/>
          <w:bCs/>
          <w:sz w:val="22"/>
          <w:szCs w:val="22"/>
        </w:rPr>
      </w:pPr>
      <w:r w:rsidRPr="00E05ED1">
        <w:rPr>
          <w:rFonts w:ascii="Arial" w:hAnsi="Arial" w:cs="Arial"/>
          <w:b/>
          <w:bCs/>
          <w:sz w:val="22"/>
          <w:szCs w:val="22"/>
        </w:rPr>
        <w:t>Current Debates and Emerging Issues</w:t>
      </w:r>
    </w:p>
    <w:p w14:paraId="0A6EA49F"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A central debate within contemporary personality disorder (PD) practice concerns whether diagnosis should continue to rely on categorical classifications or adopt a dimensional understanding of personality dysfunction. ICD-11 represents a significant departure from ICD-10 by assessing the severity of personality dysfunction and identifying maladaptive trait domains rather than assigning individuals to several distinct personality disorder categories. This approach is supported by evidence that traditional categories demonstrate substantial diagnostic overlap and comorbidity, which can reduce their clinical usefulness (Bach &amp; First, 2018; Tyrer et al., 2019). Consequently, dimensional assessment may enable clinicians to develop more individualised formulations based on the nature and severity of a person’s difficulties.</w:t>
      </w:r>
    </w:p>
    <w:p w14:paraId="51AE123F"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However, implementation of the dimensional model presents practical challenges. Clinicians require appropriate training to assess severity and trait domains reliably, while some existing services and research systems continue to depend on established categorical diagnoses (Pan &amp; Wang, 2024). Therefore, although ICD-11 may improve individualised formulation, changing </w:t>
      </w:r>
      <w:r w:rsidRPr="00E05ED1">
        <w:rPr>
          <w:rFonts w:ascii="Arial" w:hAnsi="Arial" w:cs="Arial"/>
          <w:sz w:val="22"/>
          <w:szCs w:val="22"/>
        </w:rPr>
        <w:lastRenderedPageBreak/>
        <w:t>diagnostic classification alone is unlikely to improve outcomes without corresponding developments in workforce competence, clinical practice and service delivery.</w:t>
      </w:r>
    </w:p>
    <w:p w14:paraId="1DFED45A"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Treatment provision is similarly debated. Evidence-based psychological interventions, including dialectical behaviour therapy and mentalization-based treatment, may improve outcomes; however, questions remain regarding accessibility, treatment intensity and whether services should be organised according to diagnostic categories or individual needs. A recovery-oriented approach requires greater consideration of functioning, personal goals and social participation rather than using diagnosis or symptom reduction as the sole indicator of progress.</w:t>
      </w:r>
    </w:p>
    <w:p w14:paraId="542555E3"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Neurodivergence presents an additional challenge for differential diagnosis. Characteristics associated with personality disorder may overlap with features observed in autism spectrum disorder (ASD) and attention deficit hyperactivity disorder (ADHD), including emotional dysregulation, impulsivity, rigidity and interpersonal difficulties. Differentiating ASD from personality disorder may be particularly challenging among females and adolescents, where autistic characteristics can be less readily recognised (Ketelaars et al., 2023). However, ASD, ADHD and personality disorder remain distinct diagnostic conditions and may also co-occur. A detailed developmental history and careful differential assessment are therefore essential to minimise misdiagnosis and diagnostic overshadowing.</w:t>
      </w:r>
    </w:p>
    <w:p w14:paraId="375CD376"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These debates have significant implications for mental health policy and practice. Services must avoid both inappropriate diagnostic labelling and the exclusion of individuals with substantial personality dysfunction from effective treatment. Future policy should therefore prioritise dimensional assessment, neurodevelopmentally informed practice, professional training and equitable access to psychological interventions. Collectively, these developments may reduce stigma and diagnostic error while improving the clinical usefulness of personality disorder classification.</w:t>
      </w:r>
    </w:p>
    <w:p w14:paraId="4772DD32" w14:textId="77777777" w:rsidR="00FC5179" w:rsidRPr="00E05ED1" w:rsidRDefault="00FC5179" w:rsidP="002D5C02">
      <w:pPr>
        <w:spacing w:line="240" w:lineRule="auto"/>
        <w:jc w:val="both"/>
        <w:rPr>
          <w:rFonts w:ascii="Arial" w:hAnsi="Arial" w:cs="Arial"/>
          <w:b/>
          <w:bCs/>
          <w:sz w:val="22"/>
          <w:szCs w:val="22"/>
        </w:rPr>
      </w:pPr>
    </w:p>
    <w:p w14:paraId="61751377" w14:textId="5B13D1E2" w:rsidR="002D5C02" w:rsidRPr="00E05ED1" w:rsidRDefault="002D5C02" w:rsidP="002D5C02">
      <w:pPr>
        <w:spacing w:line="240" w:lineRule="auto"/>
        <w:jc w:val="both"/>
        <w:rPr>
          <w:rFonts w:ascii="Arial" w:hAnsi="Arial" w:cs="Arial"/>
          <w:b/>
          <w:bCs/>
          <w:sz w:val="22"/>
          <w:szCs w:val="22"/>
        </w:rPr>
      </w:pPr>
      <w:r w:rsidRPr="00E05ED1">
        <w:rPr>
          <w:rFonts w:ascii="Arial" w:hAnsi="Arial" w:cs="Arial"/>
          <w:b/>
          <w:bCs/>
          <w:sz w:val="22"/>
          <w:szCs w:val="22"/>
        </w:rPr>
        <w:t>Recommendations</w:t>
      </w:r>
    </w:p>
    <w:p w14:paraId="63789EAF" w14:textId="4BA4DD34"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Mental health services should implement the ICD-</w:t>
      </w:r>
      <w:r w:rsidR="00315F5D" w:rsidRPr="00E05ED1">
        <w:rPr>
          <w:rFonts w:ascii="Arial" w:hAnsi="Arial" w:cs="Arial"/>
          <w:sz w:val="22"/>
          <w:szCs w:val="22"/>
        </w:rPr>
        <w:t>11dimensional</w:t>
      </w:r>
      <w:r w:rsidRPr="00E05ED1">
        <w:rPr>
          <w:rFonts w:ascii="Arial" w:hAnsi="Arial" w:cs="Arial"/>
          <w:sz w:val="22"/>
          <w:szCs w:val="22"/>
        </w:rPr>
        <w:t xml:space="preserve"> model consistently while avoiding the use of personality disorder (PD) as a fixed label that defines an individual. Assessment should consider the severity of personality dysfunction, relevant trait domains, developmental history, comorbidities, functional impairment and wider psychosocial circumstances. This approach may address limitations associated with categorical diagnosis, particularly diagnostic overlap and limited clinical utility (Bach &amp; First, 2018; Tyrer et al., 2019). However, implementation should be supported by appropriate professional training, as inconsistent understanding of ICD-11 severity classifications and trait domains may compromise diagnostic reliability and contribute to inequalities in care.</w:t>
      </w:r>
    </w:p>
    <w:p w14:paraId="256C9357"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Diagnosis should also be informed by neurodevelopmental factors. Rather than assuming that overlapping behaviours automatically indicate personality dysfunction, clinicians should consider developmental history and the possibility of co-occurring neurodevelopmental conditions, particularly where characteristics of personality disorder, autism and ADHD overlap (Ketelaars et al., 2023). This may strengthen differential diagnosis and reduce the risk of diagnostic overshadowing.</w:t>
      </w:r>
    </w:p>
    <w:p w14:paraId="515D3C6F"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Treatment and rehabilitation should be based on individual need rather than diagnosis alone. Services should improve access to evidence-based psychological interventions, including DBT and MBT, alongside occupational, vocational and family interventions where appropriate. Such provision can promote recovery, autonomy and social participation rather than concentrating exclusively on risk reduction or symptom management (Bateman &amp; Fonagy, 2019; Livesley et al., 2016).</w:t>
      </w:r>
    </w:p>
    <w:p w14:paraId="00E44146"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lastRenderedPageBreak/>
        <w:t>Finally, commissioning should prioritise continuity of care and equitable access to appropriate interventions rather than rigid diagnostic thresholds. Further research should evaluate the reliability, acceptability and clinical outcomes of ICD-11 in practice, including its application within neurodivergent populations. This is necessary to establish whether dimensional classification produces meaningful improvements in clinical practice and patient outcomes (Bach &amp; Simonsen, 2021).</w:t>
      </w:r>
    </w:p>
    <w:p w14:paraId="76F67A44" w14:textId="77777777" w:rsidR="00E05ED1" w:rsidRDefault="00E05ED1" w:rsidP="002D5C02">
      <w:pPr>
        <w:spacing w:line="240" w:lineRule="auto"/>
        <w:jc w:val="both"/>
        <w:rPr>
          <w:rFonts w:ascii="Arial" w:hAnsi="Arial" w:cs="Arial"/>
          <w:sz w:val="22"/>
          <w:szCs w:val="22"/>
        </w:rPr>
      </w:pPr>
    </w:p>
    <w:p w14:paraId="48954C27" w14:textId="007DD8E5" w:rsidR="002D5C02" w:rsidRPr="00E05ED1" w:rsidRDefault="002D5C02" w:rsidP="002D5C02">
      <w:pPr>
        <w:spacing w:line="240" w:lineRule="auto"/>
        <w:jc w:val="both"/>
        <w:rPr>
          <w:rFonts w:ascii="Arial" w:hAnsi="Arial" w:cs="Arial"/>
          <w:b/>
          <w:bCs/>
          <w:sz w:val="22"/>
          <w:szCs w:val="22"/>
        </w:rPr>
      </w:pPr>
      <w:r w:rsidRPr="00E05ED1">
        <w:rPr>
          <w:rFonts w:ascii="Arial" w:hAnsi="Arial" w:cs="Arial"/>
          <w:b/>
          <w:bCs/>
          <w:sz w:val="22"/>
          <w:szCs w:val="22"/>
        </w:rPr>
        <w:t>Conclusion</w:t>
      </w:r>
    </w:p>
    <w:p w14:paraId="2297574D"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Personality disorder remains a complex and contested area of mental health practice, shaped by stigma, diagnostic uncertainty and evolving understandings of personality functioning. The transition from the categorical ICD-10 framework to the dimensional ICD-11 model represents a significant development because it places greater emphasis on the severity of personality dysfunction and maladaptive personality traits rather than relying on rigid diagnostic categories. However, the clinical value of this approach depends on consistent implementation, appropriate professional training and adequate service provision.</w:t>
      </w:r>
    </w:p>
    <w:p w14:paraId="22FCE45D"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Evidence-based psychological interventions, particularly DBT and MBT, demonstrate that meaningful therapeutic change and recovery are possible, challenging historical therapeutic pessimism surrounding personality disorder. Nevertheless, unequal access to specialist psychological therapies, fragmented services and diagnostic overlap with neurodevelopmental conditions remain significant barriers to effective care.</w:t>
      </w:r>
    </w:p>
    <w:p w14:paraId="5AD190E3"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Contemporary practice should therefore combine dimensional assessment with neurodevelopmental awareness and person-centred, recovery-focused rehabilitation. Diagnostic reform alone is insufficient without continuity of care, reduced stigma, social inclusion and equitable access to appropriate psychological interventions. Ultimately, effective mental health provision requires recognition of the individual beyond the diagnostic label while ensuring that assessment and treatment remain clinically meaningful and responsive to individual needs.</w:t>
      </w:r>
    </w:p>
    <w:p w14:paraId="1B042F13" w14:textId="77777777" w:rsidR="002D5C02" w:rsidRPr="00E05ED1" w:rsidRDefault="002D5C02" w:rsidP="002D5C02">
      <w:pPr>
        <w:spacing w:line="240" w:lineRule="auto"/>
        <w:jc w:val="both"/>
        <w:rPr>
          <w:rFonts w:ascii="Arial" w:hAnsi="Arial" w:cs="Arial"/>
          <w:sz w:val="22"/>
          <w:szCs w:val="22"/>
        </w:rPr>
      </w:pPr>
    </w:p>
    <w:p w14:paraId="375F4E47" w14:textId="77777777" w:rsidR="002D5C02" w:rsidRPr="00E05ED1" w:rsidRDefault="002D5C02" w:rsidP="002D5C02">
      <w:pPr>
        <w:spacing w:line="240" w:lineRule="auto"/>
        <w:jc w:val="both"/>
        <w:rPr>
          <w:rFonts w:ascii="Arial" w:hAnsi="Arial" w:cs="Arial"/>
          <w:b/>
          <w:bCs/>
          <w:sz w:val="22"/>
          <w:szCs w:val="22"/>
        </w:rPr>
      </w:pPr>
    </w:p>
    <w:p w14:paraId="74CBA05F" w14:textId="77777777" w:rsidR="002D5C02" w:rsidRPr="00E05ED1" w:rsidRDefault="002D5C02" w:rsidP="002D5C02">
      <w:pPr>
        <w:spacing w:line="240" w:lineRule="auto"/>
        <w:jc w:val="both"/>
        <w:rPr>
          <w:rFonts w:ascii="Arial" w:hAnsi="Arial" w:cs="Arial"/>
          <w:b/>
          <w:bCs/>
          <w:sz w:val="22"/>
          <w:szCs w:val="22"/>
        </w:rPr>
      </w:pPr>
    </w:p>
    <w:p w14:paraId="63C85A56" w14:textId="77777777" w:rsidR="002D5C02" w:rsidRPr="00E05ED1" w:rsidRDefault="002D5C02" w:rsidP="002D5C02">
      <w:pPr>
        <w:spacing w:line="240" w:lineRule="auto"/>
        <w:jc w:val="both"/>
        <w:rPr>
          <w:rFonts w:ascii="Arial" w:hAnsi="Arial" w:cs="Arial"/>
          <w:b/>
          <w:bCs/>
          <w:sz w:val="22"/>
          <w:szCs w:val="22"/>
        </w:rPr>
      </w:pPr>
    </w:p>
    <w:p w14:paraId="2EF8E1A3" w14:textId="77777777" w:rsidR="002D5C02" w:rsidRPr="00E05ED1" w:rsidRDefault="002D5C02" w:rsidP="002D5C02">
      <w:pPr>
        <w:spacing w:line="240" w:lineRule="auto"/>
        <w:jc w:val="both"/>
        <w:rPr>
          <w:rFonts w:ascii="Arial" w:hAnsi="Arial" w:cs="Arial"/>
          <w:b/>
          <w:bCs/>
          <w:sz w:val="22"/>
          <w:szCs w:val="22"/>
        </w:rPr>
      </w:pPr>
    </w:p>
    <w:p w14:paraId="7D75CC98" w14:textId="77777777" w:rsidR="002D5C02" w:rsidRPr="00E05ED1" w:rsidRDefault="002D5C02" w:rsidP="002D5C02">
      <w:pPr>
        <w:spacing w:line="240" w:lineRule="auto"/>
        <w:jc w:val="both"/>
        <w:rPr>
          <w:rFonts w:ascii="Arial" w:hAnsi="Arial" w:cs="Arial"/>
          <w:b/>
          <w:bCs/>
          <w:sz w:val="22"/>
          <w:szCs w:val="22"/>
        </w:rPr>
      </w:pPr>
    </w:p>
    <w:p w14:paraId="70C5BA53" w14:textId="77777777" w:rsidR="002D5C02" w:rsidRPr="00E05ED1" w:rsidRDefault="002D5C02" w:rsidP="002D5C02">
      <w:pPr>
        <w:spacing w:line="240" w:lineRule="auto"/>
        <w:jc w:val="both"/>
        <w:rPr>
          <w:rFonts w:ascii="Arial" w:hAnsi="Arial" w:cs="Arial"/>
          <w:b/>
          <w:bCs/>
          <w:sz w:val="22"/>
          <w:szCs w:val="22"/>
        </w:rPr>
      </w:pPr>
    </w:p>
    <w:p w14:paraId="047DDAE9" w14:textId="77777777" w:rsidR="002D5C02" w:rsidRPr="00E05ED1" w:rsidRDefault="002D5C02" w:rsidP="002D5C02">
      <w:pPr>
        <w:spacing w:line="240" w:lineRule="auto"/>
        <w:jc w:val="both"/>
        <w:rPr>
          <w:rFonts w:ascii="Arial" w:hAnsi="Arial" w:cs="Arial"/>
          <w:b/>
          <w:bCs/>
          <w:sz w:val="22"/>
          <w:szCs w:val="22"/>
        </w:rPr>
      </w:pPr>
    </w:p>
    <w:p w14:paraId="258DF02D" w14:textId="77777777" w:rsidR="002D5C02" w:rsidRPr="00E05ED1" w:rsidRDefault="002D5C02" w:rsidP="002D5C02">
      <w:pPr>
        <w:spacing w:line="240" w:lineRule="auto"/>
        <w:jc w:val="both"/>
        <w:rPr>
          <w:rFonts w:ascii="Arial" w:hAnsi="Arial" w:cs="Arial"/>
          <w:b/>
          <w:bCs/>
          <w:sz w:val="22"/>
          <w:szCs w:val="22"/>
        </w:rPr>
      </w:pPr>
    </w:p>
    <w:p w14:paraId="2B2267A3" w14:textId="77777777" w:rsidR="002D5C02" w:rsidRPr="00E05ED1" w:rsidRDefault="002D5C02" w:rsidP="002D5C02">
      <w:pPr>
        <w:spacing w:line="240" w:lineRule="auto"/>
        <w:jc w:val="both"/>
        <w:rPr>
          <w:rFonts w:ascii="Arial" w:hAnsi="Arial" w:cs="Arial"/>
          <w:b/>
          <w:bCs/>
          <w:sz w:val="22"/>
          <w:szCs w:val="22"/>
        </w:rPr>
      </w:pPr>
    </w:p>
    <w:p w14:paraId="5FFC9C72" w14:textId="77777777" w:rsidR="00315F5D" w:rsidRPr="00E05ED1" w:rsidRDefault="00315F5D" w:rsidP="002D5C02">
      <w:pPr>
        <w:spacing w:line="240" w:lineRule="auto"/>
        <w:jc w:val="both"/>
        <w:rPr>
          <w:rFonts w:ascii="Arial" w:hAnsi="Arial" w:cs="Arial"/>
          <w:b/>
          <w:bCs/>
          <w:sz w:val="22"/>
          <w:szCs w:val="22"/>
        </w:rPr>
      </w:pPr>
    </w:p>
    <w:p w14:paraId="017E0665" w14:textId="77777777" w:rsidR="00315F5D" w:rsidRPr="00E05ED1" w:rsidRDefault="00315F5D" w:rsidP="002D5C02">
      <w:pPr>
        <w:spacing w:line="240" w:lineRule="auto"/>
        <w:jc w:val="both"/>
        <w:rPr>
          <w:rFonts w:ascii="Arial" w:hAnsi="Arial" w:cs="Arial"/>
          <w:b/>
          <w:bCs/>
          <w:sz w:val="22"/>
          <w:szCs w:val="22"/>
        </w:rPr>
      </w:pPr>
    </w:p>
    <w:p w14:paraId="4377B846" w14:textId="77777777" w:rsidR="00315F5D" w:rsidRPr="00E05ED1" w:rsidRDefault="00315F5D" w:rsidP="002D5C02">
      <w:pPr>
        <w:spacing w:line="240" w:lineRule="auto"/>
        <w:jc w:val="both"/>
        <w:rPr>
          <w:rFonts w:ascii="Arial" w:hAnsi="Arial" w:cs="Arial"/>
          <w:b/>
          <w:bCs/>
          <w:sz w:val="22"/>
          <w:szCs w:val="22"/>
        </w:rPr>
      </w:pPr>
    </w:p>
    <w:p w14:paraId="11C8EBC2" w14:textId="77777777" w:rsidR="00E05ED1" w:rsidRPr="00E05ED1" w:rsidRDefault="00E05ED1" w:rsidP="002D5C02">
      <w:pPr>
        <w:spacing w:line="240" w:lineRule="auto"/>
        <w:jc w:val="both"/>
        <w:rPr>
          <w:rFonts w:ascii="Arial" w:hAnsi="Arial" w:cs="Arial"/>
          <w:b/>
          <w:bCs/>
          <w:sz w:val="22"/>
          <w:szCs w:val="22"/>
        </w:rPr>
      </w:pPr>
    </w:p>
    <w:p w14:paraId="4CC225CF" w14:textId="77777777" w:rsidR="00E05ED1" w:rsidRDefault="00E05ED1" w:rsidP="002D5C02">
      <w:pPr>
        <w:spacing w:line="240" w:lineRule="auto"/>
        <w:jc w:val="both"/>
        <w:rPr>
          <w:rFonts w:ascii="Arial" w:hAnsi="Arial" w:cs="Arial"/>
          <w:b/>
          <w:bCs/>
          <w:sz w:val="22"/>
          <w:szCs w:val="22"/>
        </w:rPr>
      </w:pPr>
    </w:p>
    <w:p w14:paraId="082F86BE" w14:textId="5B1842A9" w:rsidR="002D5C02" w:rsidRPr="00E05ED1" w:rsidRDefault="002D5C02" w:rsidP="002D5C02">
      <w:pPr>
        <w:spacing w:line="240" w:lineRule="auto"/>
        <w:jc w:val="both"/>
        <w:rPr>
          <w:rFonts w:ascii="Arial" w:hAnsi="Arial" w:cs="Arial"/>
          <w:b/>
          <w:bCs/>
          <w:sz w:val="22"/>
          <w:szCs w:val="22"/>
        </w:rPr>
      </w:pPr>
      <w:r w:rsidRPr="00E05ED1">
        <w:rPr>
          <w:rFonts w:ascii="Arial" w:hAnsi="Arial" w:cs="Arial"/>
          <w:b/>
          <w:bCs/>
          <w:sz w:val="22"/>
          <w:szCs w:val="22"/>
        </w:rPr>
        <w:lastRenderedPageBreak/>
        <w:t>References</w:t>
      </w:r>
    </w:p>
    <w:p w14:paraId="2250D2DC"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Bach, B. &amp; First, M.B. (2018). Application of the ICD-11 classification of personality disorders. </w:t>
      </w:r>
      <w:r w:rsidRPr="00E05ED1">
        <w:rPr>
          <w:rFonts w:ascii="Arial" w:hAnsi="Arial" w:cs="Arial"/>
          <w:i/>
          <w:iCs/>
          <w:sz w:val="22"/>
          <w:szCs w:val="22"/>
        </w:rPr>
        <w:t>BMC Psychiatry</w:t>
      </w:r>
      <w:r w:rsidRPr="00E05ED1">
        <w:rPr>
          <w:rFonts w:ascii="Arial" w:hAnsi="Arial" w:cs="Arial"/>
          <w:sz w:val="22"/>
          <w:szCs w:val="22"/>
        </w:rPr>
        <w:t>, 18, 351.</w:t>
      </w:r>
    </w:p>
    <w:p w14:paraId="11B5FF5E"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Bach, B. &amp; Simonsen, E. (2021). How does the ICD-11 personality disorder classification work? </w:t>
      </w:r>
      <w:r w:rsidRPr="00E05ED1">
        <w:rPr>
          <w:rFonts w:ascii="Arial" w:hAnsi="Arial" w:cs="Arial"/>
          <w:i/>
          <w:iCs/>
          <w:sz w:val="22"/>
          <w:szCs w:val="22"/>
        </w:rPr>
        <w:t>Current Opinion in Psychiatry</w:t>
      </w:r>
      <w:r w:rsidRPr="00E05ED1">
        <w:rPr>
          <w:rFonts w:ascii="Arial" w:hAnsi="Arial" w:cs="Arial"/>
          <w:sz w:val="22"/>
          <w:szCs w:val="22"/>
        </w:rPr>
        <w:t>, 34(1), 54–59.</w:t>
      </w:r>
    </w:p>
    <w:p w14:paraId="0E126A88"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Bach, B., &amp; Simonsen, E. (2021). ICD-11 personality disorder: A review of the current literature. </w:t>
      </w:r>
      <w:r w:rsidRPr="00E05ED1">
        <w:rPr>
          <w:rFonts w:ascii="Arial" w:hAnsi="Arial" w:cs="Arial"/>
          <w:i/>
          <w:iCs/>
          <w:sz w:val="22"/>
          <w:szCs w:val="22"/>
        </w:rPr>
        <w:t>Current Psychiatry Reports</w:t>
      </w:r>
      <w:r w:rsidRPr="00E05ED1">
        <w:rPr>
          <w:rFonts w:ascii="Arial" w:hAnsi="Arial" w:cs="Arial"/>
          <w:sz w:val="22"/>
          <w:szCs w:val="22"/>
        </w:rPr>
        <w:t>, 23(9), 61.</w:t>
      </w:r>
    </w:p>
    <w:p w14:paraId="738D8B6A"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Bamelis, L. L. M., Evers, S. M. A. A., Spinhoven, P., &amp; Arntz, A. (2014). Results of a multicentre randomized controlled trial of the clinical effectiveness of schema therapy for personality disorders. </w:t>
      </w:r>
      <w:r w:rsidRPr="00E05ED1">
        <w:rPr>
          <w:rFonts w:ascii="Arial" w:hAnsi="Arial" w:cs="Arial"/>
          <w:i/>
          <w:iCs/>
          <w:sz w:val="22"/>
          <w:szCs w:val="22"/>
        </w:rPr>
        <w:t>American Journal of Psychiatry</w:t>
      </w:r>
      <w:r w:rsidRPr="00E05ED1">
        <w:rPr>
          <w:rFonts w:ascii="Arial" w:hAnsi="Arial" w:cs="Arial"/>
          <w:sz w:val="22"/>
          <w:szCs w:val="22"/>
        </w:rPr>
        <w:t>, 171(3), 305–322.</w:t>
      </w:r>
    </w:p>
    <w:p w14:paraId="182A6190"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Bateman, A. &amp; Fonagy, P. (2019). </w:t>
      </w:r>
      <w:r w:rsidRPr="00E05ED1">
        <w:rPr>
          <w:rFonts w:ascii="Arial" w:hAnsi="Arial" w:cs="Arial"/>
          <w:i/>
          <w:iCs/>
          <w:sz w:val="22"/>
          <w:szCs w:val="22"/>
        </w:rPr>
        <w:t>Handbook of Mentalizing in Mental Health Practice</w:t>
      </w:r>
      <w:r w:rsidRPr="00E05ED1">
        <w:rPr>
          <w:rFonts w:ascii="Arial" w:hAnsi="Arial" w:cs="Arial"/>
          <w:sz w:val="22"/>
          <w:szCs w:val="22"/>
        </w:rPr>
        <w:t>. 2nd ed. Washington, DC: American Psychiatric Association Publishing.</w:t>
      </w:r>
    </w:p>
    <w:p w14:paraId="2CED9520"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Bonnington, O., &amp; Rose, D. (2014). Exploring stigmatisation among people diagnosed with either bipolar disorder or borderline personality disorder: A critical realist analysis. </w:t>
      </w:r>
      <w:r w:rsidRPr="00E05ED1">
        <w:rPr>
          <w:rFonts w:ascii="Arial" w:hAnsi="Arial" w:cs="Arial"/>
          <w:i/>
          <w:iCs/>
          <w:sz w:val="22"/>
          <w:szCs w:val="22"/>
        </w:rPr>
        <w:t>Social Science &amp; Medicine</w:t>
      </w:r>
      <w:r w:rsidRPr="00E05ED1">
        <w:rPr>
          <w:rFonts w:ascii="Arial" w:hAnsi="Arial" w:cs="Arial"/>
          <w:sz w:val="22"/>
          <w:szCs w:val="22"/>
        </w:rPr>
        <w:t xml:space="preserve">, 123, 7–17. </w:t>
      </w:r>
      <w:hyperlink r:id="rId5" w:history="1">
        <w:r w:rsidRPr="00E05ED1">
          <w:rPr>
            <w:rStyle w:val="Hyperlink"/>
            <w:rFonts w:ascii="Arial" w:hAnsi="Arial" w:cs="Arial"/>
            <w:sz w:val="22"/>
            <w:szCs w:val="22"/>
          </w:rPr>
          <w:t>https://doi.org/10.1016/j.socscimed.2014.10.048</w:t>
        </w:r>
      </w:hyperlink>
      <w:r w:rsidRPr="00E05ED1">
        <w:rPr>
          <w:rFonts w:ascii="Arial" w:hAnsi="Arial" w:cs="Arial"/>
          <w:sz w:val="22"/>
          <w:szCs w:val="22"/>
        </w:rPr>
        <w:t>.</w:t>
      </w:r>
    </w:p>
    <w:p w14:paraId="317EAEDD"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Ekselius, L. (2018). Personality disorder: a disease in disguise. </w:t>
      </w:r>
      <w:r w:rsidRPr="00E05ED1">
        <w:rPr>
          <w:rFonts w:ascii="Arial" w:hAnsi="Arial" w:cs="Arial"/>
          <w:i/>
          <w:iCs/>
          <w:sz w:val="22"/>
          <w:szCs w:val="22"/>
        </w:rPr>
        <w:t>Upsala Journal of Medical Sciences</w:t>
      </w:r>
      <w:r w:rsidRPr="00E05ED1">
        <w:rPr>
          <w:rFonts w:ascii="Arial" w:hAnsi="Arial" w:cs="Arial"/>
          <w:sz w:val="22"/>
          <w:szCs w:val="22"/>
        </w:rPr>
        <w:t xml:space="preserve">, 123(4), 194–204. </w:t>
      </w:r>
      <w:hyperlink r:id="rId6" w:history="1">
        <w:r w:rsidRPr="00E05ED1">
          <w:rPr>
            <w:rStyle w:val="Hyperlink"/>
            <w:rFonts w:ascii="Arial" w:hAnsi="Arial" w:cs="Arial"/>
            <w:sz w:val="22"/>
            <w:szCs w:val="22"/>
          </w:rPr>
          <w:t>https://doi.org/10.1080/03009734.2018.1526235</w:t>
        </w:r>
      </w:hyperlink>
      <w:r w:rsidRPr="00E05ED1">
        <w:rPr>
          <w:rFonts w:ascii="Arial" w:hAnsi="Arial" w:cs="Arial"/>
          <w:sz w:val="22"/>
          <w:szCs w:val="22"/>
        </w:rPr>
        <w:t>.</w:t>
      </w:r>
    </w:p>
    <w:p w14:paraId="64071DA3"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Gallop, L. (2022). </w:t>
      </w:r>
      <w:r w:rsidRPr="00E05ED1">
        <w:rPr>
          <w:rFonts w:ascii="Arial" w:hAnsi="Arial" w:cs="Arial"/>
          <w:i/>
          <w:iCs/>
          <w:sz w:val="22"/>
          <w:szCs w:val="22"/>
        </w:rPr>
        <w:t>Repetitive Transcranial Magnetic Stimulation: Clinical Applications for Children, Adolescents, Young People, and Adults with Anorexia Nervosa</w:t>
      </w:r>
      <w:r w:rsidRPr="00E05ED1">
        <w:rPr>
          <w:rFonts w:ascii="Arial" w:hAnsi="Arial" w:cs="Arial"/>
          <w:sz w:val="22"/>
          <w:szCs w:val="22"/>
        </w:rPr>
        <w:t>. Doctoral dissertation, King’s College London.</w:t>
      </w:r>
    </w:p>
    <w:p w14:paraId="0008EFC1"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Heydari, M., Abdollahpour Ranjbar, H., Modjtahedi, S.H., Hassanian-Moghaddam, H. &amp; Habibi Asgarabad, M. (2026). Transdiagnostic Clinical Burden of Insecure Attachment, Emotion Regulation Difficulties, and Alexithymia in Suicidal Behavior and Substance Use Disorder. </w:t>
      </w:r>
      <w:r w:rsidRPr="00E05ED1">
        <w:rPr>
          <w:rFonts w:ascii="Arial" w:hAnsi="Arial" w:cs="Arial"/>
          <w:i/>
          <w:iCs/>
          <w:sz w:val="22"/>
          <w:szCs w:val="22"/>
        </w:rPr>
        <w:t>International Journal of Mental Health and Addiction</w:t>
      </w:r>
      <w:r w:rsidRPr="00E05ED1">
        <w:rPr>
          <w:rFonts w:ascii="Arial" w:hAnsi="Arial" w:cs="Arial"/>
          <w:sz w:val="22"/>
          <w:szCs w:val="22"/>
        </w:rPr>
        <w:t>, pp.1–31.</w:t>
      </w:r>
    </w:p>
    <w:p w14:paraId="71E2640D"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Hopwood, C. J., Mulay, A. L., Waugh, M. H., &amp; Krueger, R. F. (2023). The DSM-5 Alternative Model for Personality Disorders: An emerging framework for research and clinical practice. </w:t>
      </w:r>
      <w:r w:rsidRPr="00E05ED1">
        <w:rPr>
          <w:rFonts w:ascii="Arial" w:hAnsi="Arial" w:cs="Arial"/>
          <w:i/>
          <w:iCs/>
          <w:sz w:val="22"/>
          <w:szCs w:val="22"/>
        </w:rPr>
        <w:t>Current Psychiatry Reports</w:t>
      </w:r>
      <w:r w:rsidRPr="00E05ED1">
        <w:rPr>
          <w:rFonts w:ascii="Arial" w:hAnsi="Arial" w:cs="Arial"/>
          <w:sz w:val="22"/>
          <w:szCs w:val="22"/>
        </w:rPr>
        <w:t>, 25(3), 103–112.</w:t>
      </w:r>
    </w:p>
    <w:p w14:paraId="1525359F"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Ketelaars, M.P., et al. (2023). Differential diagnosis of ICD-11 personality disorder and autism spectrum disorder in adolescents. </w:t>
      </w:r>
      <w:r w:rsidRPr="00E05ED1">
        <w:rPr>
          <w:rFonts w:ascii="Arial" w:hAnsi="Arial" w:cs="Arial"/>
          <w:i/>
          <w:iCs/>
          <w:sz w:val="22"/>
          <w:szCs w:val="22"/>
        </w:rPr>
        <w:t>International Journal of Environmental Research and Public Health</w:t>
      </w:r>
      <w:r w:rsidRPr="00E05ED1">
        <w:rPr>
          <w:rFonts w:ascii="Arial" w:hAnsi="Arial" w:cs="Arial"/>
          <w:sz w:val="22"/>
          <w:szCs w:val="22"/>
        </w:rPr>
        <w:t>, 20(13), 6240.</w:t>
      </w:r>
    </w:p>
    <w:p w14:paraId="4F86CF6E"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Linehan, M. M., et al. (2015). Dialectical behaviour therapy for high suicide risk in individuals with borderline personality disorder. </w:t>
      </w:r>
      <w:r w:rsidRPr="00E05ED1">
        <w:rPr>
          <w:rFonts w:ascii="Arial" w:hAnsi="Arial" w:cs="Arial"/>
          <w:i/>
          <w:iCs/>
          <w:sz w:val="22"/>
          <w:szCs w:val="22"/>
        </w:rPr>
        <w:t>JAMA Psychiatry</w:t>
      </w:r>
      <w:r w:rsidRPr="00E05ED1">
        <w:rPr>
          <w:rFonts w:ascii="Arial" w:hAnsi="Arial" w:cs="Arial"/>
          <w:sz w:val="22"/>
          <w:szCs w:val="22"/>
        </w:rPr>
        <w:t>, 72(5), 475–482.</w:t>
      </w:r>
    </w:p>
    <w:p w14:paraId="01D0916C"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Livesley, W. J., Dimaggio, G., &amp; Clarkin, J. F. (2016). </w:t>
      </w:r>
      <w:r w:rsidRPr="00E05ED1">
        <w:rPr>
          <w:rFonts w:ascii="Arial" w:hAnsi="Arial" w:cs="Arial"/>
          <w:i/>
          <w:iCs/>
          <w:sz w:val="22"/>
          <w:szCs w:val="22"/>
        </w:rPr>
        <w:t>Integrated Treatment for Personality Disorder: A Modular Approach</w:t>
      </w:r>
      <w:r w:rsidRPr="00E05ED1">
        <w:rPr>
          <w:rFonts w:ascii="Arial" w:hAnsi="Arial" w:cs="Arial"/>
          <w:sz w:val="22"/>
          <w:szCs w:val="22"/>
        </w:rPr>
        <w:t>. Guilford Press.</w:t>
      </w:r>
    </w:p>
    <w:p w14:paraId="39678346"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Mulder, R. T., Tyrer, P., &amp; Kim, Y.-R. (2022). The ICD-11 classification of personality disorders: Clinical implications and future directions. </w:t>
      </w:r>
      <w:r w:rsidRPr="00E05ED1">
        <w:rPr>
          <w:rFonts w:ascii="Arial" w:hAnsi="Arial" w:cs="Arial"/>
          <w:i/>
          <w:iCs/>
          <w:sz w:val="22"/>
          <w:szCs w:val="22"/>
        </w:rPr>
        <w:t>Current Opinion in Psychiatry</w:t>
      </w:r>
      <w:r w:rsidRPr="00E05ED1">
        <w:rPr>
          <w:rFonts w:ascii="Arial" w:hAnsi="Arial" w:cs="Arial"/>
          <w:sz w:val="22"/>
          <w:szCs w:val="22"/>
        </w:rPr>
        <w:t>, 35(1), 44–50.</w:t>
      </w:r>
    </w:p>
    <w:p w14:paraId="5323E042"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National Institute for Health and Care Excellence (NICE). (2009). </w:t>
      </w:r>
      <w:r w:rsidRPr="00E05ED1">
        <w:rPr>
          <w:rFonts w:ascii="Arial" w:hAnsi="Arial" w:cs="Arial"/>
          <w:i/>
          <w:iCs/>
          <w:sz w:val="22"/>
          <w:szCs w:val="22"/>
        </w:rPr>
        <w:t>Borderline Personality Disorder: Recognition and Management (CG78).</w:t>
      </w:r>
      <w:r w:rsidRPr="00E05ED1">
        <w:rPr>
          <w:rFonts w:ascii="Arial" w:hAnsi="Arial" w:cs="Arial"/>
          <w:sz w:val="22"/>
          <w:szCs w:val="22"/>
        </w:rPr>
        <w:t xml:space="preserve"> London: NICE.</w:t>
      </w:r>
    </w:p>
    <w:p w14:paraId="225F2DED"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Pan, B. &amp; Wang, W. (2024). Practical implications of ICD-11 personality disorder classifications. </w:t>
      </w:r>
      <w:r w:rsidRPr="00E05ED1">
        <w:rPr>
          <w:rFonts w:ascii="Arial" w:hAnsi="Arial" w:cs="Arial"/>
          <w:i/>
          <w:iCs/>
          <w:sz w:val="22"/>
          <w:szCs w:val="22"/>
        </w:rPr>
        <w:t>BMC Psychiatry</w:t>
      </w:r>
      <w:r w:rsidRPr="00E05ED1">
        <w:rPr>
          <w:rFonts w:ascii="Arial" w:hAnsi="Arial" w:cs="Arial"/>
          <w:sz w:val="22"/>
          <w:szCs w:val="22"/>
        </w:rPr>
        <w:t>, 24, 191.</w:t>
      </w:r>
    </w:p>
    <w:p w14:paraId="3871B0CB"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Swales, M.A. (2022). Personality disorder diagnoses in ICD-11: Transforming conceptualisations and practice. </w:t>
      </w:r>
      <w:r w:rsidRPr="00E05ED1">
        <w:rPr>
          <w:rFonts w:ascii="Arial" w:hAnsi="Arial" w:cs="Arial"/>
          <w:i/>
          <w:iCs/>
          <w:sz w:val="22"/>
          <w:szCs w:val="22"/>
        </w:rPr>
        <w:t>Clinical Psychology in Europe</w:t>
      </w:r>
      <w:r w:rsidRPr="00E05ED1">
        <w:rPr>
          <w:rFonts w:ascii="Arial" w:hAnsi="Arial" w:cs="Arial"/>
          <w:sz w:val="22"/>
          <w:szCs w:val="22"/>
        </w:rPr>
        <w:t>, 4(Spec Issue), e9635.</w:t>
      </w:r>
    </w:p>
    <w:p w14:paraId="7C983176"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lastRenderedPageBreak/>
        <w:t xml:space="preserve">Tyrer, P., Mulder, R., Kim, Y.-R. &amp; Crawford, M.J. (2019). The development of the ICD-11 classification of personality disorders: An amalgamation of science and practice. </w:t>
      </w:r>
      <w:r w:rsidRPr="00E05ED1">
        <w:rPr>
          <w:rFonts w:ascii="Arial" w:hAnsi="Arial" w:cs="Arial"/>
          <w:i/>
          <w:iCs/>
          <w:sz w:val="22"/>
          <w:szCs w:val="22"/>
        </w:rPr>
        <w:t>The Lancet Psychiatry</w:t>
      </w:r>
      <w:r w:rsidRPr="00E05ED1">
        <w:rPr>
          <w:rFonts w:ascii="Arial" w:hAnsi="Arial" w:cs="Arial"/>
          <w:sz w:val="22"/>
          <w:szCs w:val="22"/>
        </w:rPr>
        <w:t>, 6(4), 299–305.</w:t>
      </w:r>
    </w:p>
    <w:p w14:paraId="75AE7446"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Tyrer, P., Reed, G. M., &amp; Crawford, M. J. (2019). Classification, assessment, prevalence and effect of personality disorder. </w:t>
      </w:r>
      <w:r w:rsidRPr="00E05ED1">
        <w:rPr>
          <w:rFonts w:ascii="Arial" w:hAnsi="Arial" w:cs="Arial"/>
          <w:i/>
          <w:iCs/>
          <w:sz w:val="22"/>
          <w:szCs w:val="22"/>
        </w:rPr>
        <w:t>The Lancet</w:t>
      </w:r>
      <w:r w:rsidRPr="00E05ED1">
        <w:rPr>
          <w:rFonts w:ascii="Arial" w:hAnsi="Arial" w:cs="Arial"/>
          <w:sz w:val="22"/>
          <w:szCs w:val="22"/>
        </w:rPr>
        <w:t>, 394(10198), 547–559.</w:t>
      </w:r>
    </w:p>
    <w:p w14:paraId="40AF9DBC" w14:textId="77777777"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WHO (2016). </w:t>
      </w:r>
      <w:r w:rsidRPr="00E05ED1">
        <w:rPr>
          <w:rFonts w:ascii="Arial" w:hAnsi="Arial" w:cs="Arial"/>
          <w:i/>
          <w:iCs/>
          <w:sz w:val="22"/>
          <w:szCs w:val="22"/>
        </w:rPr>
        <w:t>International statistical classification of diseases and related health problems 10th revision 2016</w:t>
      </w:r>
      <w:r w:rsidRPr="00E05ED1">
        <w:rPr>
          <w:rFonts w:ascii="Arial" w:hAnsi="Arial" w:cs="Arial"/>
          <w:sz w:val="22"/>
          <w:szCs w:val="22"/>
        </w:rPr>
        <w:t xml:space="preserve">. Available from: </w:t>
      </w:r>
      <w:hyperlink r:id="rId7" w:history="1">
        <w:r w:rsidRPr="00E05ED1">
          <w:rPr>
            <w:rStyle w:val="Hyperlink"/>
            <w:rFonts w:ascii="Arial" w:hAnsi="Arial" w:cs="Arial"/>
            <w:sz w:val="22"/>
            <w:szCs w:val="22"/>
          </w:rPr>
          <w:t>http://apps.who.int/classifications/icd10/browse/2016/en</w:t>
        </w:r>
      </w:hyperlink>
    </w:p>
    <w:p w14:paraId="2C431C53" w14:textId="05A0F729"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World Health Organisation (WHO). (2022). </w:t>
      </w:r>
      <w:r w:rsidRPr="00E05ED1">
        <w:rPr>
          <w:rFonts w:ascii="Arial" w:hAnsi="Arial" w:cs="Arial"/>
          <w:i/>
          <w:iCs/>
          <w:sz w:val="22"/>
          <w:szCs w:val="22"/>
        </w:rPr>
        <w:t>International Classification of Diseases 11th Revision (ICD-11): Clinical Descriptions and Diagnostic Requirements for Mental, Behavioural and Neurodevelopmental Disorders</w:t>
      </w:r>
      <w:r w:rsidRPr="00E05ED1">
        <w:rPr>
          <w:rFonts w:ascii="Arial" w:hAnsi="Arial" w:cs="Arial"/>
          <w:sz w:val="22"/>
          <w:szCs w:val="22"/>
        </w:rPr>
        <w:t>. Geneva: WHO.</w:t>
      </w:r>
    </w:p>
    <w:p w14:paraId="25A26CA1" w14:textId="7BD3A419"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World Health Organisation (WHO). (2022). </w:t>
      </w:r>
      <w:r w:rsidRPr="00E05ED1">
        <w:rPr>
          <w:rFonts w:ascii="Arial" w:hAnsi="Arial" w:cs="Arial"/>
          <w:i/>
          <w:iCs/>
          <w:sz w:val="22"/>
          <w:szCs w:val="22"/>
        </w:rPr>
        <w:t>International Classification of Diseases 11th Revision (ICD-11): Clinical Descriptions and Diagnostic Requirements for Mental, Behavioural and Neurodevelopmental Disorders</w:t>
      </w:r>
      <w:r w:rsidRPr="00E05ED1">
        <w:rPr>
          <w:rFonts w:ascii="Arial" w:hAnsi="Arial" w:cs="Arial"/>
          <w:sz w:val="22"/>
          <w:szCs w:val="22"/>
        </w:rPr>
        <w:t>. Geneva: WHO.</w:t>
      </w:r>
    </w:p>
    <w:p w14:paraId="632E131C" w14:textId="3FD4208F"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World Health Organisation (WHO). (2022). </w:t>
      </w:r>
      <w:r w:rsidRPr="00E05ED1">
        <w:rPr>
          <w:rFonts w:ascii="Arial" w:hAnsi="Arial" w:cs="Arial"/>
          <w:i/>
          <w:iCs/>
          <w:sz w:val="22"/>
          <w:szCs w:val="22"/>
        </w:rPr>
        <w:t>International Classification of Diseases 11th Revision (ICD-11): Personality disorders</w:t>
      </w:r>
      <w:r w:rsidRPr="00E05ED1">
        <w:rPr>
          <w:rFonts w:ascii="Arial" w:hAnsi="Arial" w:cs="Arial"/>
          <w:sz w:val="22"/>
          <w:szCs w:val="22"/>
        </w:rPr>
        <w:t>. Geneva: World Health Organisation.</w:t>
      </w:r>
    </w:p>
    <w:p w14:paraId="79A002F8" w14:textId="3F7CE280" w:rsidR="002D5C02" w:rsidRPr="00E05ED1" w:rsidRDefault="002D5C02" w:rsidP="002D5C02">
      <w:pPr>
        <w:spacing w:line="240" w:lineRule="auto"/>
        <w:jc w:val="both"/>
        <w:rPr>
          <w:rFonts w:ascii="Arial" w:hAnsi="Arial" w:cs="Arial"/>
          <w:sz w:val="22"/>
          <w:szCs w:val="22"/>
        </w:rPr>
      </w:pPr>
      <w:r w:rsidRPr="00E05ED1">
        <w:rPr>
          <w:rFonts w:ascii="Arial" w:hAnsi="Arial" w:cs="Arial"/>
          <w:sz w:val="22"/>
          <w:szCs w:val="22"/>
        </w:rPr>
        <w:t xml:space="preserve">World Health Organisation. (2022). </w:t>
      </w:r>
      <w:r w:rsidRPr="00E05ED1">
        <w:rPr>
          <w:rFonts w:ascii="Arial" w:hAnsi="Arial" w:cs="Arial"/>
          <w:i/>
          <w:iCs/>
          <w:sz w:val="22"/>
          <w:szCs w:val="22"/>
        </w:rPr>
        <w:t>International classification of diseases for mortality and morbidity statistics</w:t>
      </w:r>
      <w:r w:rsidRPr="00E05ED1">
        <w:rPr>
          <w:rFonts w:ascii="Arial" w:hAnsi="Arial" w:cs="Arial"/>
          <w:sz w:val="22"/>
          <w:szCs w:val="22"/>
        </w:rPr>
        <w:t xml:space="preserve"> (11th ed.). </w:t>
      </w:r>
      <w:hyperlink r:id="rId8" w:history="1">
        <w:r w:rsidRPr="00E05ED1">
          <w:rPr>
            <w:rStyle w:val="Hyperlink"/>
            <w:rFonts w:ascii="Arial" w:hAnsi="Arial" w:cs="Arial"/>
            <w:sz w:val="22"/>
            <w:szCs w:val="22"/>
          </w:rPr>
          <w:t>https://icd.who.int</w:t>
        </w:r>
      </w:hyperlink>
      <w:r w:rsidRPr="00E05ED1">
        <w:rPr>
          <w:rFonts w:ascii="Arial" w:hAnsi="Arial" w:cs="Arial"/>
          <w:sz w:val="22"/>
          <w:szCs w:val="22"/>
        </w:rPr>
        <w:t>.</w:t>
      </w:r>
    </w:p>
    <w:p w14:paraId="14C80BA6" w14:textId="77777777" w:rsidR="002D5C02" w:rsidRPr="00E05ED1" w:rsidRDefault="002D5C02" w:rsidP="002D5C02">
      <w:pPr>
        <w:spacing w:line="240" w:lineRule="auto"/>
        <w:jc w:val="both"/>
        <w:rPr>
          <w:rFonts w:ascii="Arial" w:hAnsi="Arial" w:cs="Arial"/>
          <w:sz w:val="22"/>
          <w:szCs w:val="22"/>
        </w:rPr>
      </w:pPr>
    </w:p>
    <w:sectPr w:rsidR="002D5C02" w:rsidRPr="00E05E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C02"/>
    <w:rsid w:val="002D5C02"/>
    <w:rsid w:val="00315F5D"/>
    <w:rsid w:val="003C2877"/>
    <w:rsid w:val="00492E36"/>
    <w:rsid w:val="00605199"/>
    <w:rsid w:val="007C7943"/>
    <w:rsid w:val="00867371"/>
    <w:rsid w:val="00A175D9"/>
    <w:rsid w:val="00DE1CC7"/>
    <w:rsid w:val="00E05ED1"/>
    <w:rsid w:val="00F04F8A"/>
    <w:rsid w:val="00FA02A3"/>
    <w:rsid w:val="00FC5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1AD4C"/>
  <w15:chartTrackingRefBased/>
  <w15:docId w15:val="{AC1B07E0-DD83-4CE6-AA7A-7C6DBD5C3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C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5C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5C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5C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5C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5C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C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C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C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C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5C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5C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5C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5C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5C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C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C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C02"/>
    <w:rPr>
      <w:rFonts w:eastAsiaTheme="majorEastAsia" w:cstheme="majorBidi"/>
      <w:color w:val="272727" w:themeColor="text1" w:themeTint="D8"/>
    </w:rPr>
  </w:style>
  <w:style w:type="paragraph" w:styleId="Title">
    <w:name w:val="Title"/>
    <w:basedOn w:val="Normal"/>
    <w:next w:val="Normal"/>
    <w:link w:val="TitleChar"/>
    <w:uiPriority w:val="10"/>
    <w:qFormat/>
    <w:rsid w:val="002D5C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C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C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C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C02"/>
    <w:pPr>
      <w:spacing w:before="160"/>
      <w:jc w:val="center"/>
    </w:pPr>
    <w:rPr>
      <w:i/>
      <w:iCs/>
      <w:color w:val="404040" w:themeColor="text1" w:themeTint="BF"/>
    </w:rPr>
  </w:style>
  <w:style w:type="character" w:customStyle="1" w:styleId="QuoteChar">
    <w:name w:val="Quote Char"/>
    <w:basedOn w:val="DefaultParagraphFont"/>
    <w:link w:val="Quote"/>
    <w:uiPriority w:val="29"/>
    <w:rsid w:val="002D5C02"/>
    <w:rPr>
      <w:i/>
      <w:iCs/>
      <w:color w:val="404040" w:themeColor="text1" w:themeTint="BF"/>
    </w:rPr>
  </w:style>
  <w:style w:type="paragraph" w:styleId="ListParagraph">
    <w:name w:val="List Paragraph"/>
    <w:basedOn w:val="Normal"/>
    <w:uiPriority w:val="34"/>
    <w:qFormat/>
    <w:rsid w:val="002D5C02"/>
    <w:pPr>
      <w:ind w:left="720"/>
      <w:contextualSpacing/>
    </w:pPr>
  </w:style>
  <w:style w:type="character" w:styleId="IntenseEmphasis">
    <w:name w:val="Intense Emphasis"/>
    <w:basedOn w:val="DefaultParagraphFont"/>
    <w:uiPriority w:val="21"/>
    <w:qFormat/>
    <w:rsid w:val="002D5C02"/>
    <w:rPr>
      <w:i/>
      <w:iCs/>
      <w:color w:val="0F4761" w:themeColor="accent1" w:themeShade="BF"/>
    </w:rPr>
  </w:style>
  <w:style w:type="paragraph" w:styleId="IntenseQuote">
    <w:name w:val="Intense Quote"/>
    <w:basedOn w:val="Normal"/>
    <w:next w:val="Normal"/>
    <w:link w:val="IntenseQuoteChar"/>
    <w:uiPriority w:val="30"/>
    <w:qFormat/>
    <w:rsid w:val="002D5C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5C02"/>
    <w:rPr>
      <w:i/>
      <w:iCs/>
      <w:color w:val="0F4761" w:themeColor="accent1" w:themeShade="BF"/>
    </w:rPr>
  </w:style>
  <w:style w:type="character" w:styleId="IntenseReference">
    <w:name w:val="Intense Reference"/>
    <w:basedOn w:val="DefaultParagraphFont"/>
    <w:uiPriority w:val="32"/>
    <w:qFormat/>
    <w:rsid w:val="002D5C02"/>
    <w:rPr>
      <w:b/>
      <w:bCs/>
      <w:smallCaps/>
      <w:color w:val="0F4761" w:themeColor="accent1" w:themeShade="BF"/>
      <w:spacing w:val="5"/>
    </w:rPr>
  </w:style>
  <w:style w:type="character" w:styleId="Hyperlink">
    <w:name w:val="Hyperlink"/>
    <w:basedOn w:val="DefaultParagraphFont"/>
    <w:uiPriority w:val="99"/>
    <w:unhideWhenUsed/>
    <w:rsid w:val="002D5C02"/>
    <w:rPr>
      <w:color w:val="467886" w:themeColor="hyperlink"/>
      <w:u w:val="single"/>
    </w:rPr>
  </w:style>
  <w:style w:type="character" w:styleId="UnresolvedMention">
    <w:name w:val="Unresolved Mention"/>
    <w:basedOn w:val="DefaultParagraphFont"/>
    <w:uiPriority w:val="99"/>
    <w:semiHidden/>
    <w:unhideWhenUsed/>
    <w:rsid w:val="002D5C02"/>
    <w:rPr>
      <w:color w:val="605E5C"/>
      <w:shd w:val="clear" w:color="auto" w:fill="E1DFDD"/>
    </w:rPr>
  </w:style>
  <w:style w:type="character" w:styleId="Strong">
    <w:name w:val="Strong"/>
    <w:basedOn w:val="DefaultParagraphFont"/>
    <w:uiPriority w:val="22"/>
    <w:qFormat/>
    <w:rsid w:val="00315F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d.who.int/" TargetMode="External"/><Relationship Id="rId3" Type="http://schemas.openxmlformats.org/officeDocument/2006/relationships/webSettings" Target="webSettings.xml"/><Relationship Id="rId7" Type="http://schemas.openxmlformats.org/officeDocument/2006/relationships/hyperlink" Target="http://apps.who.int/classifications/icd10/browse/2016/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3009734.2018.1526235" TargetMode="External"/><Relationship Id="rId5" Type="http://schemas.openxmlformats.org/officeDocument/2006/relationships/hyperlink" Target="https://doi.org/10.1016/j.socscimed.2014.10.048" TargetMode="External"/><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3482</Words>
  <Characters>19853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Haja Lamin</dc:creator>
  <cp:keywords/>
  <dc:description/>
  <cp:lastModifiedBy>Marie Louise Audrey Sombo Niamie (2335747)</cp:lastModifiedBy>
  <cp:revision>2</cp:revision>
  <dcterms:created xsi:type="dcterms:W3CDTF">2026-08-13T21:02:00Z</dcterms:created>
  <dcterms:modified xsi:type="dcterms:W3CDTF">2026-08-13T21:02:00Z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80a17ff1-b613-4c57-8cd8-9322feb6f9e3</vt:lpwstr>
  </property>
</Properties>
</file>