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72B0B01" w14:textId="77777777" w:rsidR="00F46C6C" w:rsidRDefault="00F46C6C" w:rsidP="00F46C6C">
      <w:pPr>
        <w:pStyle w:val="Title"/>
      </w:pPr>
    </w:p>
    <w:p w14:paraId="1951CFED" w14:textId="77777777" w:rsidR="00F46C6C" w:rsidRDefault="00F46C6C" w:rsidP="00F46C6C">
      <w:pPr>
        <w:pStyle w:val="Title"/>
      </w:pPr>
    </w:p>
    <w:p w14:paraId="72A2712A" w14:textId="77777777" w:rsidR="00F46C6C" w:rsidRPr="00027BF3" w:rsidRDefault="00F46C6C" w:rsidP="00F46C6C">
      <w:pPr>
        <w:jc w:val="center"/>
        <w:rPr>
          <w:sz w:val="36"/>
          <w:szCs w:val="40"/>
        </w:rPr>
      </w:pPr>
      <w:r w:rsidRPr="00DC7450">
        <w:rPr>
          <w:b/>
          <w:sz w:val="36"/>
          <w:szCs w:val="40"/>
        </w:rPr>
        <w:t>Programme:</w:t>
      </w:r>
      <w:r w:rsidRPr="00027BF3">
        <w:rPr>
          <w:sz w:val="36"/>
          <w:szCs w:val="40"/>
        </w:rPr>
        <w:t xml:space="preserve"> BA International Hotel Management</w:t>
      </w:r>
    </w:p>
    <w:p w14:paraId="5CDC4FB1" w14:textId="77777777" w:rsidR="00F46C6C" w:rsidRPr="00027BF3" w:rsidRDefault="00F46C6C" w:rsidP="00F46C6C">
      <w:pPr>
        <w:jc w:val="center"/>
        <w:rPr>
          <w:sz w:val="36"/>
          <w:szCs w:val="40"/>
        </w:rPr>
      </w:pPr>
      <w:r w:rsidRPr="00DC7450">
        <w:rPr>
          <w:b/>
          <w:sz w:val="36"/>
          <w:szCs w:val="40"/>
        </w:rPr>
        <w:t>Module Name:</w:t>
      </w:r>
      <w:r w:rsidRPr="00027BF3">
        <w:rPr>
          <w:sz w:val="36"/>
          <w:szCs w:val="40"/>
        </w:rPr>
        <w:t xml:space="preserve"> Financial Management for the Hotel Industry</w:t>
      </w:r>
    </w:p>
    <w:p w14:paraId="0AEA27D3" w14:textId="77777777" w:rsidR="00F46C6C" w:rsidRDefault="00F46C6C" w:rsidP="00F46C6C">
      <w:pPr>
        <w:jc w:val="center"/>
        <w:rPr>
          <w:sz w:val="36"/>
          <w:szCs w:val="40"/>
        </w:rPr>
      </w:pPr>
      <w:r w:rsidRPr="00DC7450">
        <w:rPr>
          <w:b/>
          <w:sz w:val="36"/>
          <w:szCs w:val="40"/>
        </w:rPr>
        <w:t>Module Code:</w:t>
      </w:r>
      <w:r>
        <w:rPr>
          <w:sz w:val="36"/>
          <w:szCs w:val="40"/>
        </w:rPr>
        <w:t xml:space="preserve"> BMIH5007</w:t>
      </w:r>
    </w:p>
    <w:p w14:paraId="54067A0E" w14:textId="77777777" w:rsidR="00F46C6C" w:rsidRDefault="00F46C6C" w:rsidP="00F46C6C">
      <w:pPr>
        <w:pStyle w:val="Title"/>
      </w:pPr>
      <w:r w:rsidRPr="00A724F1">
        <w:t>Report Case Study: The City Hotel</w:t>
      </w:r>
    </w:p>
    <w:p w14:paraId="178551F7" w14:textId="77777777" w:rsidR="00F46C6C" w:rsidRPr="00027BF3" w:rsidRDefault="00F46C6C" w:rsidP="007C788F">
      <w:pPr>
        <w:jc w:val="center"/>
        <w:rPr>
          <w:sz w:val="36"/>
          <w:szCs w:val="40"/>
        </w:rPr>
      </w:pPr>
    </w:p>
    <w:p w14:paraId="33099CEF" w14:textId="2CEBD6B8" w:rsidR="00F46C6C" w:rsidRPr="00027BF3" w:rsidRDefault="00F46C6C" w:rsidP="007C788F">
      <w:pPr>
        <w:jc w:val="center"/>
        <w:rPr>
          <w:sz w:val="36"/>
          <w:szCs w:val="40"/>
        </w:rPr>
      </w:pPr>
      <w:r w:rsidRPr="00DC7450">
        <w:rPr>
          <w:b/>
          <w:sz w:val="36"/>
          <w:szCs w:val="40"/>
        </w:rPr>
        <w:t>Lecturer:</w:t>
      </w:r>
      <w:r w:rsidRPr="00027BF3">
        <w:rPr>
          <w:sz w:val="36"/>
          <w:szCs w:val="40"/>
        </w:rPr>
        <w:t xml:space="preserve"> Tristan Hawkins</w:t>
      </w:r>
    </w:p>
    <w:p w14:paraId="40523143" w14:textId="6E990FDB" w:rsidR="00F46C6C" w:rsidRPr="00027BF3" w:rsidRDefault="00F46C6C" w:rsidP="007C788F">
      <w:pPr>
        <w:jc w:val="center"/>
        <w:rPr>
          <w:sz w:val="36"/>
          <w:szCs w:val="40"/>
        </w:rPr>
      </w:pPr>
      <w:r w:rsidRPr="00DC7450">
        <w:rPr>
          <w:b/>
          <w:sz w:val="36"/>
          <w:szCs w:val="40"/>
        </w:rPr>
        <w:t>Student</w:t>
      </w:r>
      <w:r w:rsidRPr="00027BF3">
        <w:rPr>
          <w:sz w:val="36"/>
          <w:szCs w:val="40"/>
        </w:rPr>
        <w:t xml:space="preserve"> </w:t>
      </w:r>
      <w:r w:rsidRPr="00DC7450">
        <w:rPr>
          <w:b/>
          <w:sz w:val="36"/>
          <w:szCs w:val="40"/>
        </w:rPr>
        <w:t>Na</w:t>
      </w:r>
      <w:bookmarkStart w:id="0" w:name="_GoBack"/>
      <w:bookmarkEnd w:id="0"/>
      <w:r w:rsidRPr="00DC7450">
        <w:rPr>
          <w:b/>
          <w:sz w:val="36"/>
          <w:szCs w:val="40"/>
        </w:rPr>
        <w:t>me:</w:t>
      </w:r>
      <w:r w:rsidRPr="00027BF3">
        <w:rPr>
          <w:sz w:val="36"/>
          <w:szCs w:val="40"/>
        </w:rPr>
        <w:t xml:space="preserve"> Rowshan Ara Chowdhury</w:t>
      </w:r>
    </w:p>
    <w:p w14:paraId="2C38B407" w14:textId="77777777" w:rsidR="00F46C6C" w:rsidRPr="00027BF3" w:rsidRDefault="00F46C6C" w:rsidP="007C788F">
      <w:pPr>
        <w:jc w:val="center"/>
        <w:rPr>
          <w:sz w:val="36"/>
          <w:szCs w:val="40"/>
        </w:rPr>
      </w:pPr>
      <w:r w:rsidRPr="00DC7450">
        <w:rPr>
          <w:b/>
          <w:sz w:val="36"/>
          <w:szCs w:val="40"/>
        </w:rPr>
        <w:t>Student</w:t>
      </w:r>
      <w:r w:rsidRPr="00027BF3">
        <w:rPr>
          <w:sz w:val="36"/>
          <w:szCs w:val="40"/>
        </w:rPr>
        <w:t xml:space="preserve"> </w:t>
      </w:r>
      <w:r w:rsidRPr="00DC7450">
        <w:rPr>
          <w:b/>
          <w:sz w:val="36"/>
          <w:szCs w:val="40"/>
        </w:rPr>
        <w:t>ID:</w:t>
      </w:r>
      <w:r w:rsidRPr="00027BF3">
        <w:rPr>
          <w:sz w:val="36"/>
          <w:szCs w:val="40"/>
        </w:rPr>
        <w:t xml:space="preserve"> 2231044</w:t>
      </w:r>
    </w:p>
    <w:p w14:paraId="165F3E79" w14:textId="77777777" w:rsidR="00F46C6C" w:rsidRPr="00027BF3" w:rsidRDefault="00F46C6C" w:rsidP="00F46C6C">
      <w:pPr>
        <w:jc w:val="center"/>
        <w:rPr>
          <w:sz w:val="36"/>
          <w:szCs w:val="40"/>
        </w:rPr>
      </w:pPr>
    </w:p>
    <w:p w14:paraId="5EEC57D6" w14:textId="77777777" w:rsidR="00F46C6C" w:rsidRDefault="00F46C6C" w:rsidP="00F46C6C">
      <w:pPr>
        <w:jc w:val="center"/>
        <w:rPr>
          <w:sz w:val="36"/>
          <w:szCs w:val="40"/>
        </w:rPr>
      </w:pPr>
    </w:p>
    <w:p w14:paraId="4DB32E6B" w14:textId="77777777" w:rsidR="007C788F" w:rsidRPr="001E327D" w:rsidRDefault="007C788F" w:rsidP="00F46C6C">
      <w:pPr>
        <w:jc w:val="center"/>
        <w:rPr>
          <w:rFonts w:ascii="Arial" w:hAnsi="Arial" w:cs="Arial"/>
          <w:sz w:val="36"/>
          <w:szCs w:val="40"/>
        </w:rPr>
      </w:pPr>
    </w:p>
    <w:p w14:paraId="2BF28935" w14:textId="77777777" w:rsidR="00F46C6C" w:rsidRPr="001E327D" w:rsidRDefault="00F46C6C" w:rsidP="00F46C6C">
      <w:pPr>
        <w:rPr>
          <w:rFonts w:ascii="Arial" w:hAnsi="Arial" w:cs="Arial"/>
          <w:b/>
          <w:bCs/>
        </w:rPr>
      </w:pPr>
      <w:bookmarkStart w:id="1" w:name="_Hlk180119271"/>
      <w:r w:rsidRPr="001E327D">
        <w:rPr>
          <w:rFonts w:ascii="Arial" w:hAnsi="Arial" w:cs="Arial"/>
          <w:b/>
          <w:bCs/>
        </w:rPr>
        <w:t>Acknowledgement</w:t>
      </w:r>
    </w:p>
    <w:p w14:paraId="12866F47" w14:textId="0D13A204" w:rsidR="00F46C6C" w:rsidRDefault="00F46C6C" w:rsidP="00F46C6C">
      <w:r w:rsidRPr="001E327D">
        <w:rPr>
          <w:rFonts w:ascii="Arial" w:hAnsi="Arial" w:cs="Arial"/>
        </w:rPr>
        <w:t xml:space="preserve">I confirm that I have not used any AI tools in the research and creation of this assignment. I also confirm that I have not </w:t>
      </w:r>
      <w:r w:rsidR="00DC7450">
        <w:rPr>
          <w:rFonts w:ascii="Arial" w:hAnsi="Arial" w:cs="Arial"/>
        </w:rPr>
        <w:t>shown</w:t>
      </w:r>
      <w:r w:rsidRPr="001E327D">
        <w:rPr>
          <w:rFonts w:ascii="Arial" w:hAnsi="Arial" w:cs="Arial"/>
        </w:rPr>
        <w:t xml:space="preserve"> any AI-generated materials as my own work.</w:t>
      </w:r>
      <w:r w:rsidR="00DC7450">
        <w:rPr>
          <w:rFonts w:ascii="Arial" w:hAnsi="Arial" w:cs="Arial"/>
        </w:rPr>
        <w:t xml:space="preserve">, </w:t>
      </w:r>
      <w:r w:rsidRPr="001E327D">
        <w:rPr>
          <w:rFonts w:ascii="Arial" w:hAnsi="Arial" w:cs="Arial"/>
        </w:rPr>
        <w:t>I</w:t>
      </w:r>
      <w:r w:rsidR="00DC7450">
        <w:rPr>
          <w:rFonts w:ascii="Arial" w:hAnsi="Arial" w:cs="Arial"/>
        </w:rPr>
        <w:t xml:space="preserve"> can</w:t>
      </w:r>
      <w:r w:rsidRPr="001E327D">
        <w:rPr>
          <w:rFonts w:ascii="Arial" w:hAnsi="Arial" w:cs="Arial"/>
        </w:rPr>
        <w:t xml:space="preserve"> confirm I have copies of my drafts, notes and other resources I used, which I may be asked to provide in evidence.</w:t>
      </w:r>
      <w:bookmarkEnd w:id="1"/>
      <w:r>
        <w:br w:type="page"/>
      </w:r>
    </w:p>
    <w:sdt>
      <w:sdtPr>
        <w:rPr>
          <w:rFonts w:ascii="Times New Roman" w:eastAsiaTheme="minorHAnsi" w:hAnsi="Times New Roman" w:cs="Times New Roman"/>
          <w:b w:val="0"/>
          <w:bCs w:val="0"/>
          <w:color w:val="000000" w:themeColor="text1"/>
          <w:kern w:val="2"/>
          <w:sz w:val="24"/>
          <w:szCs w:val="24"/>
          <w:lang w:val="en-GB" w:bidi="bn-IN"/>
          <w14:ligatures w14:val="standardContextual"/>
        </w:rPr>
        <w:id w:val="-1633544177"/>
        <w:docPartObj>
          <w:docPartGallery w:val="Table of Contents"/>
          <w:docPartUnique/>
        </w:docPartObj>
      </w:sdtPr>
      <w:sdtEndPr>
        <w:rPr>
          <w:noProof/>
        </w:rPr>
      </w:sdtEndPr>
      <w:sdtContent>
        <w:p w14:paraId="4A67B309" w14:textId="77777777" w:rsidR="00F46C6C" w:rsidRPr="00D12A41" w:rsidRDefault="00F46C6C" w:rsidP="00F46C6C">
          <w:pPr>
            <w:pStyle w:val="TOCHeading"/>
            <w:jc w:val="center"/>
            <w:rPr>
              <w:rFonts w:ascii="Times New Roman" w:hAnsi="Times New Roman" w:cs="Times New Roman"/>
              <w:sz w:val="24"/>
              <w:szCs w:val="24"/>
            </w:rPr>
          </w:pPr>
          <w:r w:rsidRPr="00D12A41">
            <w:rPr>
              <w:rFonts w:ascii="Times New Roman" w:hAnsi="Times New Roman" w:cs="Times New Roman"/>
              <w:sz w:val="24"/>
              <w:szCs w:val="24"/>
            </w:rPr>
            <w:t>Table of Contents</w:t>
          </w:r>
        </w:p>
        <w:p w14:paraId="074C3B9C" w14:textId="77777777" w:rsidR="00F46C6C" w:rsidRPr="001E327D" w:rsidRDefault="00F46C6C" w:rsidP="00F46C6C">
          <w:pPr>
            <w:pStyle w:val="TOC1"/>
            <w:tabs>
              <w:tab w:val="right" w:leader="dot" w:pos="9016"/>
            </w:tabs>
            <w:rPr>
              <w:rFonts w:ascii="Arial" w:eastAsiaTheme="minorEastAsia" w:hAnsi="Arial" w:cs="Arial"/>
              <w:b w:val="0"/>
              <w:bCs w:val="0"/>
              <w:caps w:val="0"/>
              <w:noProof/>
              <w:color w:val="auto"/>
              <w:sz w:val="24"/>
              <w:szCs w:val="24"/>
              <w:lang w:eastAsia="en-GB" w:bidi="hi-IN"/>
            </w:rPr>
          </w:pPr>
          <w:r w:rsidRPr="00D12A41">
            <w:rPr>
              <w:rFonts w:ascii="Times New Roman" w:hAnsi="Times New Roman" w:cs="Times New Roman"/>
              <w:b w:val="0"/>
              <w:bCs w:val="0"/>
              <w:sz w:val="24"/>
              <w:szCs w:val="24"/>
            </w:rPr>
            <w:fldChar w:fldCharType="begin"/>
          </w:r>
          <w:r w:rsidRPr="00D12A41">
            <w:rPr>
              <w:rFonts w:ascii="Times New Roman" w:hAnsi="Times New Roman" w:cs="Times New Roman"/>
              <w:sz w:val="24"/>
              <w:szCs w:val="24"/>
            </w:rPr>
            <w:instrText xml:space="preserve"> TOC \o "1-3" \h \z \u </w:instrText>
          </w:r>
          <w:r w:rsidRPr="00D12A41">
            <w:rPr>
              <w:rFonts w:ascii="Times New Roman" w:hAnsi="Times New Roman" w:cs="Times New Roman"/>
              <w:b w:val="0"/>
              <w:bCs w:val="0"/>
              <w:sz w:val="24"/>
              <w:szCs w:val="24"/>
            </w:rPr>
            <w:fldChar w:fldCharType="separate"/>
          </w:r>
          <w:hyperlink w:anchor="_Toc182335483" w:history="1">
            <w:r w:rsidRPr="001E327D">
              <w:rPr>
                <w:rStyle w:val="Hyperlink"/>
                <w:rFonts w:ascii="Arial" w:hAnsi="Arial" w:cs="Arial"/>
                <w:noProof/>
                <w:sz w:val="24"/>
                <w:szCs w:val="24"/>
              </w:rPr>
              <w:t>Introduction</w:t>
            </w:r>
            <w:r w:rsidRPr="001E327D">
              <w:rPr>
                <w:rFonts w:ascii="Arial" w:hAnsi="Arial" w:cs="Arial"/>
                <w:noProof/>
                <w:webHidden/>
                <w:sz w:val="24"/>
                <w:szCs w:val="24"/>
              </w:rPr>
              <w:tab/>
            </w:r>
            <w:r w:rsidRPr="001E327D">
              <w:rPr>
                <w:rFonts w:ascii="Arial" w:hAnsi="Arial" w:cs="Arial"/>
                <w:noProof/>
                <w:webHidden/>
                <w:sz w:val="24"/>
                <w:szCs w:val="24"/>
              </w:rPr>
              <w:fldChar w:fldCharType="begin"/>
            </w:r>
            <w:r w:rsidRPr="001E327D">
              <w:rPr>
                <w:rFonts w:ascii="Arial" w:hAnsi="Arial" w:cs="Arial"/>
                <w:noProof/>
                <w:webHidden/>
                <w:sz w:val="24"/>
                <w:szCs w:val="24"/>
              </w:rPr>
              <w:instrText xml:space="preserve"> PAGEREF _Toc182335483 \h </w:instrText>
            </w:r>
            <w:r w:rsidRPr="001E327D">
              <w:rPr>
                <w:rFonts w:ascii="Arial" w:hAnsi="Arial" w:cs="Arial"/>
                <w:noProof/>
                <w:webHidden/>
                <w:sz w:val="24"/>
                <w:szCs w:val="24"/>
              </w:rPr>
            </w:r>
            <w:r w:rsidRPr="001E327D">
              <w:rPr>
                <w:rFonts w:ascii="Arial" w:hAnsi="Arial" w:cs="Arial"/>
                <w:noProof/>
                <w:webHidden/>
                <w:sz w:val="24"/>
                <w:szCs w:val="24"/>
              </w:rPr>
              <w:fldChar w:fldCharType="separate"/>
            </w:r>
            <w:r w:rsidRPr="001E327D">
              <w:rPr>
                <w:rFonts w:ascii="Arial" w:hAnsi="Arial" w:cs="Arial"/>
                <w:noProof/>
                <w:webHidden/>
                <w:sz w:val="24"/>
                <w:szCs w:val="24"/>
              </w:rPr>
              <w:t>3</w:t>
            </w:r>
            <w:r w:rsidRPr="001E327D">
              <w:rPr>
                <w:rFonts w:ascii="Arial" w:hAnsi="Arial" w:cs="Arial"/>
                <w:noProof/>
                <w:webHidden/>
                <w:sz w:val="24"/>
                <w:szCs w:val="24"/>
              </w:rPr>
              <w:fldChar w:fldCharType="end"/>
            </w:r>
          </w:hyperlink>
        </w:p>
        <w:p w14:paraId="12979343" w14:textId="77777777" w:rsidR="00F46C6C" w:rsidRPr="001E327D" w:rsidRDefault="00AC4DEE" w:rsidP="00F46C6C">
          <w:pPr>
            <w:pStyle w:val="TOC1"/>
            <w:tabs>
              <w:tab w:val="right" w:leader="dot" w:pos="9016"/>
            </w:tabs>
            <w:rPr>
              <w:rFonts w:ascii="Arial" w:eastAsiaTheme="minorEastAsia" w:hAnsi="Arial" w:cs="Arial"/>
              <w:b w:val="0"/>
              <w:bCs w:val="0"/>
              <w:caps w:val="0"/>
              <w:noProof/>
              <w:color w:val="auto"/>
              <w:sz w:val="24"/>
              <w:szCs w:val="24"/>
              <w:lang w:eastAsia="en-GB" w:bidi="hi-IN"/>
            </w:rPr>
          </w:pPr>
          <w:hyperlink w:anchor="_Toc182335484" w:history="1">
            <w:r w:rsidR="00F46C6C" w:rsidRPr="001E327D">
              <w:rPr>
                <w:rStyle w:val="Hyperlink"/>
                <w:rFonts w:ascii="Arial" w:eastAsia="Times New Roman" w:hAnsi="Arial" w:cs="Arial"/>
                <w:noProof/>
                <w:kern w:val="0"/>
                <w:sz w:val="24"/>
                <w:szCs w:val="24"/>
                <w:lang w:eastAsia="en-GB"/>
                <w14:ligatures w14:val="none"/>
              </w:rPr>
              <w:t>Financial Performance</w:t>
            </w:r>
            <w:r w:rsidR="00F46C6C" w:rsidRPr="001E327D">
              <w:rPr>
                <w:rFonts w:ascii="Arial" w:hAnsi="Arial" w:cs="Arial"/>
                <w:noProof/>
                <w:webHidden/>
                <w:sz w:val="24"/>
                <w:szCs w:val="24"/>
              </w:rPr>
              <w:tab/>
            </w:r>
            <w:r w:rsidR="00F46C6C" w:rsidRPr="001E327D">
              <w:rPr>
                <w:rFonts w:ascii="Arial" w:hAnsi="Arial" w:cs="Arial"/>
                <w:noProof/>
                <w:webHidden/>
                <w:sz w:val="24"/>
                <w:szCs w:val="24"/>
              </w:rPr>
              <w:fldChar w:fldCharType="begin"/>
            </w:r>
            <w:r w:rsidR="00F46C6C" w:rsidRPr="001E327D">
              <w:rPr>
                <w:rFonts w:ascii="Arial" w:hAnsi="Arial" w:cs="Arial"/>
                <w:noProof/>
                <w:webHidden/>
                <w:sz w:val="24"/>
                <w:szCs w:val="24"/>
              </w:rPr>
              <w:instrText xml:space="preserve"> PAGEREF _Toc182335484 \h </w:instrText>
            </w:r>
            <w:r w:rsidR="00F46C6C" w:rsidRPr="001E327D">
              <w:rPr>
                <w:rFonts w:ascii="Arial" w:hAnsi="Arial" w:cs="Arial"/>
                <w:noProof/>
                <w:webHidden/>
                <w:sz w:val="24"/>
                <w:szCs w:val="24"/>
              </w:rPr>
            </w:r>
            <w:r w:rsidR="00F46C6C" w:rsidRPr="001E327D">
              <w:rPr>
                <w:rFonts w:ascii="Arial" w:hAnsi="Arial" w:cs="Arial"/>
                <w:noProof/>
                <w:webHidden/>
                <w:sz w:val="24"/>
                <w:szCs w:val="24"/>
              </w:rPr>
              <w:fldChar w:fldCharType="separate"/>
            </w:r>
            <w:r w:rsidR="00F46C6C" w:rsidRPr="001E327D">
              <w:rPr>
                <w:rFonts w:ascii="Arial" w:hAnsi="Arial" w:cs="Arial"/>
                <w:noProof/>
                <w:webHidden/>
                <w:sz w:val="24"/>
                <w:szCs w:val="24"/>
              </w:rPr>
              <w:t>3</w:t>
            </w:r>
            <w:r w:rsidR="00F46C6C" w:rsidRPr="001E327D">
              <w:rPr>
                <w:rFonts w:ascii="Arial" w:hAnsi="Arial" w:cs="Arial"/>
                <w:noProof/>
                <w:webHidden/>
                <w:sz w:val="24"/>
                <w:szCs w:val="24"/>
              </w:rPr>
              <w:fldChar w:fldCharType="end"/>
            </w:r>
          </w:hyperlink>
        </w:p>
        <w:p w14:paraId="5BF91EAC" w14:textId="77777777" w:rsidR="00F46C6C" w:rsidRPr="001E327D" w:rsidRDefault="00AC4DEE" w:rsidP="00F46C6C">
          <w:pPr>
            <w:pStyle w:val="TOC2"/>
            <w:tabs>
              <w:tab w:val="right" w:leader="dot" w:pos="9016"/>
            </w:tabs>
            <w:rPr>
              <w:rFonts w:ascii="Arial" w:eastAsiaTheme="minorEastAsia" w:hAnsi="Arial" w:cs="Arial"/>
              <w:b/>
              <w:bCs/>
              <w:noProof/>
              <w:color w:val="auto"/>
              <w:sz w:val="24"/>
              <w:szCs w:val="24"/>
              <w:lang w:eastAsia="en-GB" w:bidi="hi-IN"/>
            </w:rPr>
          </w:pPr>
          <w:hyperlink w:anchor="_Toc182335485" w:history="1">
            <w:r w:rsidR="00F46C6C" w:rsidRPr="001E327D">
              <w:rPr>
                <w:rStyle w:val="Hyperlink"/>
                <w:rFonts w:ascii="Arial" w:hAnsi="Arial" w:cs="Arial"/>
                <w:noProof/>
                <w:sz w:val="24"/>
                <w:szCs w:val="24"/>
                <w:lang w:eastAsia="en-GB"/>
              </w:rPr>
              <w:t>Revenue and Profitability Trends</w:t>
            </w:r>
            <w:r w:rsidR="00F46C6C" w:rsidRPr="001E327D">
              <w:rPr>
                <w:rFonts w:ascii="Arial" w:hAnsi="Arial" w:cs="Arial"/>
                <w:noProof/>
                <w:webHidden/>
                <w:sz w:val="24"/>
                <w:szCs w:val="24"/>
              </w:rPr>
              <w:tab/>
            </w:r>
            <w:r w:rsidR="00F46C6C" w:rsidRPr="001E327D">
              <w:rPr>
                <w:rFonts w:ascii="Arial" w:hAnsi="Arial" w:cs="Arial"/>
                <w:noProof/>
                <w:webHidden/>
                <w:sz w:val="24"/>
                <w:szCs w:val="24"/>
              </w:rPr>
              <w:fldChar w:fldCharType="begin"/>
            </w:r>
            <w:r w:rsidR="00F46C6C" w:rsidRPr="001E327D">
              <w:rPr>
                <w:rFonts w:ascii="Arial" w:hAnsi="Arial" w:cs="Arial"/>
                <w:noProof/>
                <w:webHidden/>
                <w:sz w:val="24"/>
                <w:szCs w:val="24"/>
              </w:rPr>
              <w:instrText xml:space="preserve"> PAGEREF _Toc182335485 \h </w:instrText>
            </w:r>
            <w:r w:rsidR="00F46C6C" w:rsidRPr="001E327D">
              <w:rPr>
                <w:rFonts w:ascii="Arial" w:hAnsi="Arial" w:cs="Arial"/>
                <w:noProof/>
                <w:webHidden/>
                <w:sz w:val="24"/>
                <w:szCs w:val="24"/>
              </w:rPr>
            </w:r>
            <w:r w:rsidR="00F46C6C" w:rsidRPr="001E327D">
              <w:rPr>
                <w:rFonts w:ascii="Arial" w:hAnsi="Arial" w:cs="Arial"/>
                <w:noProof/>
                <w:webHidden/>
                <w:sz w:val="24"/>
                <w:szCs w:val="24"/>
              </w:rPr>
              <w:fldChar w:fldCharType="separate"/>
            </w:r>
            <w:r w:rsidR="00F46C6C" w:rsidRPr="001E327D">
              <w:rPr>
                <w:rFonts w:ascii="Arial" w:hAnsi="Arial" w:cs="Arial"/>
                <w:noProof/>
                <w:webHidden/>
                <w:sz w:val="24"/>
                <w:szCs w:val="24"/>
              </w:rPr>
              <w:t>3</w:t>
            </w:r>
            <w:r w:rsidR="00F46C6C" w:rsidRPr="001E327D">
              <w:rPr>
                <w:rFonts w:ascii="Arial" w:hAnsi="Arial" w:cs="Arial"/>
                <w:noProof/>
                <w:webHidden/>
                <w:sz w:val="24"/>
                <w:szCs w:val="24"/>
              </w:rPr>
              <w:fldChar w:fldCharType="end"/>
            </w:r>
          </w:hyperlink>
        </w:p>
        <w:p w14:paraId="7F1A8233" w14:textId="77777777" w:rsidR="00F46C6C" w:rsidRPr="001E327D" w:rsidRDefault="00AC4DEE" w:rsidP="00F46C6C">
          <w:pPr>
            <w:pStyle w:val="TOC2"/>
            <w:tabs>
              <w:tab w:val="right" w:leader="dot" w:pos="9016"/>
            </w:tabs>
            <w:rPr>
              <w:rFonts w:ascii="Arial" w:eastAsiaTheme="minorEastAsia" w:hAnsi="Arial" w:cs="Arial"/>
              <w:b/>
              <w:bCs/>
              <w:noProof/>
              <w:color w:val="auto"/>
              <w:sz w:val="24"/>
              <w:szCs w:val="24"/>
              <w:lang w:eastAsia="en-GB" w:bidi="hi-IN"/>
            </w:rPr>
          </w:pPr>
          <w:hyperlink w:anchor="_Toc182335486" w:history="1">
            <w:r w:rsidR="00F46C6C" w:rsidRPr="001E327D">
              <w:rPr>
                <w:rStyle w:val="Hyperlink"/>
                <w:rFonts w:ascii="Arial" w:hAnsi="Arial" w:cs="Arial"/>
                <w:noProof/>
                <w:sz w:val="24"/>
                <w:szCs w:val="24"/>
                <w:lang w:eastAsia="en-GB"/>
              </w:rPr>
              <w:t>Cost Analysis</w:t>
            </w:r>
            <w:r w:rsidR="00F46C6C" w:rsidRPr="001E327D">
              <w:rPr>
                <w:rFonts w:ascii="Arial" w:hAnsi="Arial" w:cs="Arial"/>
                <w:noProof/>
                <w:webHidden/>
                <w:sz w:val="24"/>
                <w:szCs w:val="24"/>
              </w:rPr>
              <w:tab/>
            </w:r>
            <w:r w:rsidR="00F46C6C" w:rsidRPr="001E327D">
              <w:rPr>
                <w:rFonts w:ascii="Arial" w:hAnsi="Arial" w:cs="Arial"/>
                <w:noProof/>
                <w:webHidden/>
                <w:sz w:val="24"/>
                <w:szCs w:val="24"/>
              </w:rPr>
              <w:fldChar w:fldCharType="begin"/>
            </w:r>
            <w:r w:rsidR="00F46C6C" w:rsidRPr="001E327D">
              <w:rPr>
                <w:rFonts w:ascii="Arial" w:hAnsi="Arial" w:cs="Arial"/>
                <w:noProof/>
                <w:webHidden/>
                <w:sz w:val="24"/>
                <w:szCs w:val="24"/>
              </w:rPr>
              <w:instrText xml:space="preserve"> PAGEREF _Toc182335486 \h </w:instrText>
            </w:r>
            <w:r w:rsidR="00F46C6C" w:rsidRPr="001E327D">
              <w:rPr>
                <w:rFonts w:ascii="Arial" w:hAnsi="Arial" w:cs="Arial"/>
                <w:noProof/>
                <w:webHidden/>
                <w:sz w:val="24"/>
                <w:szCs w:val="24"/>
              </w:rPr>
            </w:r>
            <w:r w:rsidR="00F46C6C" w:rsidRPr="001E327D">
              <w:rPr>
                <w:rFonts w:ascii="Arial" w:hAnsi="Arial" w:cs="Arial"/>
                <w:noProof/>
                <w:webHidden/>
                <w:sz w:val="24"/>
                <w:szCs w:val="24"/>
              </w:rPr>
              <w:fldChar w:fldCharType="separate"/>
            </w:r>
            <w:r w:rsidR="00F46C6C" w:rsidRPr="001E327D">
              <w:rPr>
                <w:rFonts w:ascii="Arial" w:hAnsi="Arial" w:cs="Arial"/>
                <w:noProof/>
                <w:webHidden/>
                <w:sz w:val="24"/>
                <w:szCs w:val="24"/>
              </w:rPr>
              <w:t>3</w:t>
            </w:r>
            <w:r w:rsidR="00F46C6C" w:rsidRPr="001E327D">
              <w:rPr>
                <w:rFonts w:ascii="Arial" w:hAnsi="Arial" w:cs="Arial"/>
                <w:noProof/>
                <w:webHidden/>
                <w:sz w:val="24"/>
                <w:szCs w:val="24"/>
              </w:rPr>
              <w:fldChar w:fldCharType="end"/>
            </w:r>
          </w:hyperlink>
        </w:p>
        <w:p w14:paraId="3701D6F0" w14:textId="77777777" w:rsidR="00F46C6C" w:rsidRPr="001E327D" w:rsidRDefault="00AC4DEE" w:rsidP="00F46C6C">
          <w:pPr>
            <w:pStyle w:val="TOC2"/>
            <w:tabs>
              <w:tab w:val="right" w:leader="dot" w:pos="9016"/>
            </w:tabs>
            <w:rPr>
              <w:rFonts w:ascii="Arial" w:eastAsiaTheme="minorEastAsia" w:hAnsi="Arial" w:cs="Arial"/>
              <w:b/>
              <w:bCs/>
              <w:noProof/>
              <w:color w:val="auto"/>
              <w:sz w:val="24"/>
              <w:szCs w:val="24"/>
              <w:lang w:eastAsia="en-GB" w:bidi="hi-IN"/>
            </w:rPr>
          </w:pPr>
          <w:hyperlink w:anchor="_Toc182335487" w:history="1">
            <w:r w:rsidR="00F46C6C" w:rsidRPr="001E327D">
              <w:rPr>
                <w:rStyle w:val="Hyperlink"/>
                <w:rFonts w:ascii="Arial" w:hAnsi="Arial" w:cs="Arial"/>
                <w:noProof/>
                <w:sz w:val="24"/>
                <w:szCs w:val="24"/>
                <w:lang w:eastAsia="en-GB"/>
              </w:rPr>
              <w:t>Balance Sheet Analysis</w:t>
            </w:r>
            <w:r w:rsidR="00F46C6C" w:rsidRPr="001E327D">
              <w:rPr>
                <w:rFonts w:ascii="Arial" w:hAnsi="Arial" w:cs="Arial"/>
                <w:noProof/>
                <w:webHidden/>
                <w:sz w:val="24"/>
                <w:szCs w:val="24"/>
              </w:rPr>
              <w:tab/>
            </w:r>
            <w:r w:rsidR="00F46C6C" w:rsidRPr="001E327D">
              <w:rPr>
                <w:rFonts w:ascii="Arial" w:hAnsi="Arial" w:cs="Arial"/>
                <w:noProof/>
                <w:webHidden/>
                <w:sz w:val="24"/>
                <w:szCs w:val="24"/>
              </w:rPr>
              <w:fldChar w:fldCharType="begin"/>
            </w:r>
            <w:r w:rsidR="00F46C6C" w:rsidRPr="001E327D">
              <w:rPr>
                <w:rFonts w:ascii="Arial" w:hAnsi="Arial" w:cs="Arial"/>
                <w:noProof/>
                <w:webHidden/>
                <w:sz w:val="24"/>
                <w:szCs w:val="24"/>
              </w:rPr>
              <w:instrText xml:space="preserve"> PAGEREF _Toc182335487 \h </w:instrText>
            </w:r>
            <w:r w:rsidR="00F46C6C" w:rsidRPr="001E327D">
              <w:rPr>
                <w:rFonts w:ascii="Arial" w:hAnsi="Arial" w:cs="Arial"/>
                <w:noProof/>
                <w:webHidden/>
                <w:sz w:val="24"/>
                <w:szCs w:val="24"/>
              </w:rPr>
            </w:r>
            <w:r w:rsidR="00F46C6C" w:rsidRPr="001E327D">
              <w:rPr>
                <w:rFonts w:ascii="Arial" w:hAnsi="Arial" w:cs="Arial"/>
                <w:noProof/>
                <w:webHidden/>
                <w:sz w:val="24"/>
                <w:szCs w:val="24"/>
              </w:rPr>
              <w:fldChar w:fldCharType="separate"/>
            </w:r>
            <w:r w:rsidR="00F46C6C" w:rsidRPr="001E327D">
              <w:rPr>
                <w:rFonts w:ascii="Arial" w:hAnsi="Arial" w:cs="Arial"/>
                <w:noProof/>
                <w:webHidden/>
                <w:sz w:val="24"/>
                <w:szCs w:val="24"/>
              </w:rPr>
              <w:t>4</w:t>
            </w:r>
            <w:r w:rsidR="00F46C6C" w:rsidRPr="001E327D">
              <w:rPr>
                <w:rFonts w:ascii="Arial" w:hAnsi="Arial" w:cs="Arial"/>
                <w:noProof/>
                <w:webHidden/>
                <w:sz w:val="24"/>
                <w:szCs w:val="24"/>
              </w:rPr>
              <w:fldChar w:fldCharType="end"/>
            </w:r>
          </w:hyperlink>
        </w:p>
        <w:p w14:paraId="5C9F8B21" w14:textId="77777777" w:rsidR="00F46C6C" w:rsidRPr="001E327D" w:rsidRDefault="00AC4DEE" w:rsidP="00F46C6C">
          <w:pPr>
            <w:pStyle w:val="TOC1"/>
            <w:tabs>
              <w:tab w:val="right" w:leader="dot" w:pos="9016"/>
            </w:tabs>
            <w:rPr>
              <w:rFonts w:ascii="Arial" w:eastAsiaTheme="minorEastAsia" w:hAnsi="Arial" w:cs="Arial"/>
              <w:b w:val="0"/>
              <w:bCs w:val="0"/>
              <w:caps w:val="0"/>
              <w:noProof/>
              <w:color w:val="auto"/>
              <w:sz w:val="24"/>
              <w:szCs w:val="24"/>
              <w:lang w:eastAsia="en-GB" w:bidi="hi-IN"/>
            </w:rPr>
          </w:pPr>
          <w:hyperlink w:anchor="_Toc182335488" w:history="1">
            <w:r w:rsidR="00F46C6C" w:rsidRPr="001E327D">
              <w:rPr>
                <w:rStyle w:val="Hyperlink"/>
                <w:rFonts w:ascii="Arial" w:eastAsia="Times New Roman" w:hAnsi="Arial" w:cs="Arial"/>
                <w:noProof/>
                <w:kern w:val="0"/>
                <w:sz w:val="24"/>
                <w:szCs w:val="24"/>
                <w:lang w:eastAsia="en-GB"/>
                <w14:ligatures w14:val="none"/>
              </w:rPr>
              <w:t>Key Financial Ratios and Their Implications</w:t>
            </w:r>
            <w:r w:rsidR="00F46C6C" w:rsidRPr="001E327D">
              <w:rPr>
                <w:rFonts w:ascii="Arial" w:hAnsi="Arial" w:cs="Arial"/>
                <w:noProof/>
                <w:webHidden/>
                <w:sz w:val="24"/>
                <w:szCs w:val="24"/>
              </w:rPr>
              <w:tab/>
            </w:r>
            <w:r w:rsidR="00F46C6C" w:rsidRPr="001E327D">
              <w:rPr>
                <w:rFonts w:ascii="Arial" w:hAnsi="Arial" w:cs="Arial"/>
                <w:noProof/>
                <w:webHidden/>
                <w:sz w:val="24"/>
                <w:szCs w:val="24"/>
              </w:rPr>
              <w:fldChar w:fldCharType="begin"/>
            </w:r>
            <w:r w:rsidR="00F46C6C" w:rsidRPr="001E327D">
              <w:rPr>
                <w:rFonts w:ascii="Arial" w:hAnsi="Arial" w:cs="Arial"/>
                <w:noProof/>
                <w:webHidden/>
                <w:sz w:val="24"/>
                <w:szCs w:val="24"/>
              </w:rPr>
              <w:instrText xml:space="preserve"> PAGEREF _Toc182335488 \h </w:instrText>
            </w:r>
            <w:r w:rsidR="00F46C6C" w:rsidRPr="001E327D">
              <w:rPr>
                <w:rFonts w:ascii="Arial" w:hAnsi="Arial" w:cs="Arial"/>
                <w:noProof/>
                <w:webHidden/>
                <w:sz w:val="24"/>
                <w:szCs w:val="24"/>
              </w:rPr>
            </w:r>
            <w:r w:rsidR="00F46C6C" w:rsidRPr="001E327D">
              <w:rPr>
                <w:rFonts w:ascii="Arial" w:hAnsi="Arial" w:cs="Arial"/>
                <w:noProof/>
                <w:webHidden/>
                <w:sz w:val="24"/>
                <w:szCs w:val="24"/>
              </w:rPr>
              <w:fldChar w:fldCharType="separate"/>
            </w:r>
            <w:r w:rsidR="00F46C6C" w:rsidRPr="001E327D">
              <w:rPr>
                <w:rFonts w:ascii="Arial" w:hAnsi="Arial" w:cs="Arial"/>
                <w:noProof/>
                <w:webHidden/>
                <w:sz w:val="24"/>
                <w:szCs w:val="24"/>
              </w:rPr>
              <w:t>4</w:t>
            </w:r>
            <w:r w:rsidR="00F46C6C" w:rsidRPr="001E327D">
              <w:rPr>
                <w:rFonts w:ascii="Arial" w:hAnsi="Arial" w:cs="Arial"/>
                <w:noProof/>
                <w:webHidden/>
                <w:sz w:val="24"/>
                <w:szCs w:val="24"/>
              </w:rPr>
              <w:fldChar w:fldCharType="end"/>
            </w:r>
          </w:hyperlink>
        </w:p>
        <w:p w14:paraId="6FA957F0" w14:textId="77777777" w:rsidR="00F46C6C" w:rsidRPr="00D12A41" w:rsidRDefault="00AC4DEE" w:rsidP="00F46C6C">
          <w:pPr>
            <w:pStyle w:val="TOC1"/>
            <w:tabs>
              <w:tab w:val="right" w:leader="dot" w:pos="9016"/>
            </w:tabs>
            <w:rPr>
              <w:rFonts w:ascii="Times New Roman" w:eastAsiaTheme="minorEastAsia" w:hAnsi="Times New Roman" w:cs="Times New Roman"/>
              <w:b w:val="0"/>
              <w:bCs w:val="0"/>
              <w:caps w:val="0"/>
              <w:noProof/>
              <w:color w:val="auto"/>
              <w:sz w:val="24"/>
              <w:szCs w:val="24"/>
              <w:lang w:eastAsia="en-GB" w:bidi="hi-IN"/>
            </w:rPr>
          </w:pPr>
          <w:hyperlink w:anchor="_Toc182335489" w:history="1">
            <w:r w:rsidR="00F46C6C" w:rsidRPr="001E327D">
              <w:rPr>
                <w:rStyle w:val="Hyperlink"/>
                <w:rFonts w:ascii="Arial" w:eastAsia="Times New Roman" w:hAnsi="Arial" w:cs="Arial"/>
                <w:noProof/>
                <w:kern w:val="0"/>
                <w:sz w:val="24"/>
                <w:szCs w:val="24"/>
                <w:lang w:eastAsia="en-GB"/>
                <w14:ligatures w14:val="none"/>
              </w:rPr>
              <w:t>Current Operational Analysis</w:t>
            </w:r>
            <w:r w:rsidR="00F46C6C" w:rsidRPr="001E327D">
              <w:rPr>
                <w:rFonts w:ascii="Arial" w:hAnsi="Arial" w:cs="Arial"/>
                <w:noProof/>
                <w:webHidden/>
                <w:sz w:val="24"/>
                <w:szCs w:val="24"/>
              </w:rPr>
              <w:tab/>
            </w:r>
            <w:r w:rsidR="00F46C6C" w:rsidRPr="001E327D">
              <w:rPr>
                <w:rFonts w:ascii="Arial" w:hAnsi="Arial" w:cs="Arial"/>
                <w:noProof/>
                <w:webHidden/>
                <w:sz w:val="24"/>
                <w:szCs w:val="24"/>
              </w:rPr>
              <w:fldChar w:fldCharType="begin"/>
            </w:r>
            <w:r w:rsidR="00F46C6C" w:rsidRPr="001E327D">
              <w:rPr>
                <w:rFonts w:ascii="Arial" w:hAnsi="Arial" w:cs="Arial"/>
                <w:noProof/>
                <w:webHidden/>
                <w:sz w:val="24"/>
                <w:szCs w:val="24"/>
              </w:rPr>
              <w:instrText xml:space="preserve"> PAGEREF _Toc182335489 \h </w:instrText>
            </w:r>
            <w:r w:rsidR="00F46C6C" w:rsidRPr="001E327D">
              <w:rPr>
                <w:rFonts w:ascii="Arial" w:hAnsi="Arial" w:cs="Arial"/>
                <w:noProof/>
                <w:webHidden/>
                <w:sz w:val="24"/>
                <w:szCs w:val="24"/>
              </w:rPr>
            </w:r>
            <w:r w:rsidR="00F46C6C" w:rsidRPr="001E327D">
              <w:rPr>
                <w:rFonts w:ascii="Arial" w:hAnsi="Arial" w:cs="Arial"/>
                <w:noProof/>
                <w:webHidden/>
                <w:sz w:val="24"/>
                <w:szCs w:val="24"/>
              </w:rPr>
              <w:fldChar w:fldCharType="separate"/>
            </w:r>
            <w:r w:rsidR="00F46C6C" w:rsidRPr="001E327D">
              <w:rPr>
                <w:rFonts w:ascii="Arial" w:hAnsi="Arial" w:cs="Arial"/>
                <w:noProof/>
                <w:webHidden/>
                <w:sz w:val="24"/>
                <w:szCs w:val="24"/>
              </w:rPr>
              <w:t>4</w:t>
            </w:r>
            <w:r w:rsidR="00F46C6C" w:rsidRPr="001E327D">
              <w:rPr>
                <w:rFonts w:ascii="Arial" w:hAnsi="Arial" w:cs="Arial"/>
                <w:noProof/>
                <w:webHidden/>
                <w:sz w:val="24"/>
                <w:szCs w:val="24"/>
              </w:rPr>
              <w:fldChar w:fldCharType="end"/>
            </w:r>
          </w:hyperlink>
        </w:p>
        <w:p w14:paraId="4E9F820E" w14:textId="77777777" w:rsidR="00F46C6C" w:rsidRPr="00D12A41" w:rsidRDefault="00AC4DEE" w:rsidP="00F46C6C">
          <w:pPr>
            <w:pStyle w:val="TOC1"/>
            <w:tabs>
              <w:tab w:val="right" w:leader="dot" w:pos="9016"/>
            </w:tabs>
            <w:rPr>
              <w:rFonts w:ascii="Times New Roman" w:eastAsiaTheme="minorEastAsia" w:hAnsi="Times New Roman" w:cs="Times New Roman"/>
              <w:b w:val="0"/>
              <w:bCs w:val="0"/>
              <w:caps w:val="0"/>
              <w:noProof/>
              <w:color w:val="auto"/>
              <w:sz w:val="24"/>
              <w:szCs w:val="24"/>
              <w:lang w:eastAsia="en-GB" w:bidi="hi-IN"/>
            </w:rPr>
          </w:pPr>
          <w:hyperlink w:anchor="_Toc182335490" w:history="1">
            <w:r w:rsidR="00F46C6C" w:rsidRPr="00D12A41">
              <w:rPr>
                <w:rStyle w:val="Hyperlink"/>
                <w:rFonts w:ascii="Times New Roman" w:eastAsia="Times New Roman" w:hAnsi="Times New Roman" w:cs="Times New Roman"/>
                <w:noProof/>
                <w:kern w:val="0"/>
                <w:sz w:val="24"/>
                <w:szCs w:val="24"/>
                <w:lang w:eastAsia="en-GB"/>
                <w14:ligatures w14:val="none"/>
              </w:rPr>
              <w:t>Market and Competitive Position Analysis</w:t>
            </w:r>
            <w:r w:rsidR="00F46C6C" w:rsidRPr="00D12A41">
              <w:rPr>
                <w:rFonts w:ascii="Times New Roman" w:hAnsi="Times New Roman" w:cs="Times New Roman"/>
                <w:noProof/>
                <w:webHidden/>
                <w:sz w:val="24"/>
                <w:szCs w:val="24"/>
              </w:rPr>
              <w:tab/>
            </w:r>
            <w:r w:rsidR="00F46C6C" w:rsidRPr="00D12A41">
              <w:rPr>
                <w:rFonts w:ascii="Times New Roman" w:hAnsi="Times New Roman" w:cs="Times New Roman"/>
                <w:noProof/>
                <w:webHidden/>
                <w:sz w:val="24"/>
                <w:szCs w:val="24"/>
              </w:rPr>
              <w:fldChar w:fldCharType="begin"/>
            </w:r>
            <w:r w:rsidR="00F46C6C" w:rsidRPr="00D12A41">
              <w:rPr>
                <w:rFonts w:ascii="Times New Roman" w:hAnsi="Times New Roman" w:cs="Times New Roman"/>
                <w:noProof/>
                <w:webHidden/>
                <w:sz w:val="24"/>
                <w:szCs w:val="24"/>
              </w:rPr>
              <w:instrText xml:space="preserve"> PAGEREF _Toc182335490 \h </w:instrText>
            </w:r>
            <w:r w:rsidR="00F46C6C" w:rsidRPr="00D12A41">
              <w:rPr>
                <w:rFonts w:ascii="Times New Roman" w:hAnsi="Times New Roman" w:cs="Times New Roman"/>
                <w:noProof/>
                <w:webHidden/>
                <w:sz w:val="24"/>
                <w:szCs w:val="24"/>
              </w:rPr>
            </w:r>
            <w:r w:rsidR="00F46C6C" w:rsidRPr="00D12A41">
              <w:rPr>
                <w:rFonts w:ascii="Times New Roman" w:hAnsi="Times New Roman" w:cs="Times New Roman"/>
                <w:noProof/>
                <w:webHidden/>
                <w:sz w:val="24"/>
                <w:szCs w:val="24"/>
              </w:rPr>
              <w:fldChar w:fldCharType="separate"/>
            </w:r>
            <w:r w:rsidR="00F46C6C" w:rsidRPr="00D12A41">
              <w:rPr>
                <w:rFonts w:ascii="Times New Roman" w:hAnsi="Times New Roman" w:cs="Times New Roman"/>
                <w:noProof/>
                <w:webHidden/>
                <w:sz w:val="24"/>
                <w:szCs w:val="24"/>
              </w:rPr>
              <w:t>5</w:t>
            </w:r>
            <w:r w:rsidR="00F46C6C" w:rsidRPr="00D12A41">
              <w:rPr>
                <w:rFonts w:ascii="Times New Roman" w:hAnsi="Times New Roman" w:cs="Times New Roman"/>
                <w:noProof/>
                <w:webHidden/>
                <w:sz w:val="24"/>
                <w:szCs w:val="24"/>
              </w:rPr>
              <w:fldChar w:fldCharType="end"/>
            </w:r>
          </w:hyperlink>
        </w:p>
        <w:p w14:paraId="584D3444" w14:textId="77777777" w:rsidR="00F46C6C" w:rsidRPr="00D12A41" w:rsidRDefault="00AC4DEE" w:rsidP="00F46C6C">
          <w:pPr>
            <w:pStyle w:val="TOC1"/>
            <w:tabs>
              <w:tab w:val="right" w:leader="dot" w:pos="9016"/>
            </w:tabs>
            <w:rPr>
              <w:rFonts w:ascii="Times New Roman" w:eastAsiaTheme="minorEastAsia" w:hAnsi="Times New Roman" w:cs="Times New Roman"/>
              <w:b w:val="0"/>
              <w:bCs w:val="0"/>
              <w:caps w:val="0"/>
              <w:noProof/>
              <w:color w:val="auto"/>
              <w:sz w:val="24"/>
              <w:szCs w:val="24"/>
              <w:lang w:eastAsia="en-GB" w:bidi="hi-IN"/>
            </w:rPr>
          </w:pPr>
          <w:hyperlink w:anchor="_Toc182335491" w:history="1">
            <w:r w:rsidR="00F46C6C" w:rsidRPr="00D12A41">
              <w:rPr>
                <w:rStyle w:val="Hyperlink"/>
                <w:rFonts w:ascii="Times New Roman" w:eastAsia="Times New Roman" w:hAnsi="Times New Roman" w:cs="Times New Roman"/>
                <w:noProof/>
                <w:kern w:val="0"/>
                <w:sz w:val="24"/>
                <w:szCs w:val="24"/>
                <w:lang w:eastAsia="en-GB"/>
                <w14:ligatures w14:val="none"/>
              </w:rPr>
              <w:t>Strategic Recommendations for Turnaround</w:t>
            </w:r>
            <w:r w:rsidR="00F46C6C" w:rsidRPr="00D12A41">
              <w:rPr>
                <w:rFonts w:ascii="Times New Roman" w:hAnsi="Times New Roman" w:cs="Times New Roman"/>
                <w:noProof/>
                <w:webHidden/>
                <w:sz w:val="24"/>
                <w:szCs w:val="24"/>
              </w:rPr>
              <w:tab/>
            </w:r>
            <w:r w:rsidR="00F46C6C" w:rsidRPr="00D12A41">
              <w:rPr>
                <w:rFonts w:ascii="Times New Roman" w:hAnsi="Times New Roman" w:cs="Times New Roman"/>
                <w:noProof/>
                <w:webHidden/>
                <w:sz w:val="24"/>
                <w:szCs w:val="24"/>
              </w:rPr>
              <w:fldChar w:fldCharType="begin"/>
            </w:r>
            <w:r w:rsidR="00F46C6C" w:rsidRPr="00D12A41">
              <w:rPr>
                <w:rFonts w:ascii="Times New Roman" w:hAnsi="Times New Roman" w:cs="Times New Roman"/>
                <w:noProof/>
                <w:webHidden/>
                <w:sz w:val="24"/>
                <w:szCs w:val="24"/>
              </w:rPr>
              <w:instrText xml:space="preserve"> PAGEREF _Toc182335491 \h </w:instrText>
            </w:r>
            <w:r w:rsidR="00F46C6C" w:rsidRPr="00D12A41">
              <w:rPr>
                <w:rFonts w:ascii="Times New Roman" w:hAnsi="Times New Roman" w:cs="Times New Roman"/>
                <w:noProof/>
                <w:webHidden/>
                <w:sz w:val="24"/>
                <w:szCs w:val="24"/>
              </w:rPr>
            </w:r>
            <w:r w:rsidR="00F46C6C" w:rsidRPr="00D12A41">
              <w:rPr>
                <w:rFonts w:ascii="Times New Roman" w:hAnsi="Times New Roman" w:cs="Times New Roman"/>
                <w:noProof/>
                <w:webHidden/>
                <w:sz w:val="24"/>
                <w:szCs w:val="24"/>
              </w:rPr>
              <w:fldChar w:fldCharType="separate"/>
            </w:r>
            <w:r w:rsidR="00F46C6C" w:rsidRPr="00D12A41">
              <w:rPr>
                <w:rFonts w:ascii="Times New Roman" w:hAnsi="Times New Roman" w:cs="Times New Roman"/>
                <w:noProof/>
                <w:webHidden/>
                <w:sz w:val="24"/>
                <w:szCs w:val="24"/>
              </w:rPr>
              <w:t>5</w:t>
            </w:r>
            <w:r w:rsidR="00F46C6C" w:rsidRPr="00D12A41">
              <w:rPr>
                <w:rFonts w:ascii="Times New Roman" w:hAnsi="Times New Roman" w:cs="Times New Roman"/>
                <w:noProof/>
                <w:webHidden/>
                <w:sz w:val="24"/>
                <w:szCs w:val="24"/>
              </w:rPr>
              <w:fldChar w:fldCharType="end"/>
            </w:r>
          </w:hyperlink>
        </w:p>
        <w:p w14:paraId="24DB0519" w14:textId="77777777" w:rsidR="00F46C6C" w:rsidRPr="00D12A41" w:rsidRDefault="00AC4DEE" w:rsidP="00F46C6C">
          <w:pPr>
            <w:pStyle w:val="TOC1"/>
            <w:tabs>
              <w:tab w:val="right" w:leader="dot" w:pos="9016"/>
            </w:tabs>
            <w:rPr>
              <w:rFonts w:ascii="Times New Roman" w:eastAsiaTheme="minorEastAsia" w:hAnsi="Times New Roman" w:cs="Times New Roman"/>
              <w:b w:val="0"/>
              <w:bCs w:val="0"/>
              <w:caps w:val="0"/>
              <w:noProof/>
              <w:color w:val="auto"/>
              <w:sz w:val="24"/>
              <w:szCs w:val="24"/>
              <w:lang w:eastAsia="en-GB" w:bidi="hi-IN"/>
            </w:rPr>
          </w:pPr>
          <w:hyperlink w:anchor="_Toc182335492" w:history="1">
            <w:r w:rsidR="00F46C6C" w:rsidRPr="00D12A41">
              <w:rPr>
                <w:rStyle w:val="Hyperlink"/>
                <w:rFonts w:ascii="Times New Roman" w:eastAsia="Times New Roman" w:hAnsi="Times New Roman" w:cs="Times New Roman"/>
                <w:noProof/>
                <w:kern w:val="0"/>
                <w:sz w:val="24"/>
                <w:szCs w:val="24"/>
                <w:lang w:eastAsia="en-GB"/>
                <w14:ligatures w14:val="none"/>
              </w:rPr>
              <w:t>Financial Forecast and Expected Outcomes</w:t>
            </w:r>
            <w:r w:rsidR="00F46C6C" w:rsidRPr="00D12A41">
              <w:rPr>
                <w:rFonts w:ascii="Times New Roman" w:hAnsi="Times New Roman" w:cs="Times New Roman"/>
                <w:noProof/>
                <w:webHidden/>
                <w:sz w:val="24"/>
                <w:szCs w:val="24"/>
              </w:rPr>
              <w:tab/>
            </w:r>
            <w:r w:rsidR="00F46C6C" w:rsidRPr="00D12A41">
              <w:rPr>
                <w:rFonts w:ascii="Times New Roman" w:hAnsi="Times New Roman" w:cs="Times New Roman"/>
                <w:noProof/>
                <w:webHidden/>
                <w:sz w:val="24"/>
                <w:szCs w:val="24"/>
              </w:rPr>
              <w:fldChar w:fldCharType="begin"/>
            </w:r>
            <w:r w:rsidR="00F46C6C" w:rsidRPr="00D12A41">
              <w:rPr>
                <w:rFonts w:ascii="Times New Roman" w:hAnsi="Times New Roman" w:cs="Times New Roman"/>
                <w:noProof/>
                <w:webHidden/>
                <w:sz w:val="24"/>
                <w:szCs w:val="24"/>
              </w:rPr>
              <w:instrText xml:space="preserve"> PAGEREF _Toc182335492 \h </w:instrText>
            </w:r>
            <w:r w:rsidR="00F46C6C" w:rsidRPr="00D12A41">
              <w:rPr>
                <w:rFonts w:ascii="Times New Roman" w:hAnsi="Times New Roman" w:cs="Times New Roman"/>
                <w:noProof/>
                <w:webHidden/>
                <w:sz w:val="24"/>
                <w:szCs w:val="24"/>
              </w:rPr>
            </w:r>
            <w:r w:rsidR="00F46C6C" w:rsidRPr="00D12A41">
              <w:rPr>
                <w:rFonts w:ascii="Times New Roman" w:hAnsi="Times New Roman" w:cs="Times New Roman"/>
                <w:noProof/>
                <w:webHidden/>
                <w:sz w:val="24"/>
                <w:szCs w:val="24"/>
              </w:rPr>
              <w:fldChar w:fldCharType="separate"/>
            </w:r>
            <w:r w:rsidR="00F46C6C" w:rsidRPr="00D12A41">
              <w:rPr>
                <w:rFonts w:ascii="Times New Roman" w:hAnsi="Times New Roman" w:cs="Times New Roman"/>
                <w:noProof/>
                <w:webHidden/>
                <w:sz w:val="24"/>
                <w:szCs w:val="24"/>
              </w:rPr>
              <w:t>6</w:t>
            </w:r>
            <w:r w:rsidR="00F46C6C" w:rsidRPr="00D12A41">
              <w:rPr>
                <w:rFonts w:ascii="Times New Roman" w:hAnsi="Times New Roman" w:cs="Times New Roman"/>
                <w:noProof/>
                <w:webHidden/>
                <w:sz w:val="24"/>
                <w:szCs w:val="24"/>
              </w:rPr>
              <w:fldChar w:fldCharType="end"/>
            </w:r>
          </w:hyperlink>
        </w:p>
        <w:p w14:paraId="015F553F" w14:textId="77777777" w:rsidR="00F46C6C" w:rsidRPr="00D12A41" w:rsidRDefault="00AC4DEE" w:rsidP="00F46C6C">
          <w:pPr>
            <w:pStyle w:val="TOC1"/>
            <w:tabs>
              <w:tab w:val="right" w:leader="dot" w:pos="9016"/>
            </w:tabs>
            <w:rPr>
              <w:rFonts w:ascii="Times New Roman" w:eastAsiaTheme="minorEastAsia" w:hAnsi="Times New Roman" w:cs="Times New Roman"/>
              <w:b w:val="0"/>
              <w:bCs w:val="0"/>
              <w:caps w:val="0"/>
              <w:noProof/>
              <w:color w:val="auto"/>
              <w:sz w:val="24"/>
              <w:szCs w:val="24"/>
              <w:lang w:eastAsia="en-GB" w:bidi="hi-IN"/>
            </w:rPr>
          </w:pPr>
          <w:hyperlink w:anchor="_Toc182335493" w:history="1">
            <w:r w:rsidR="00F46C6C" w:rsidRPr="00D12A41">
              <w:rPr>
                <w:rStyle w:val="Hyperlink"/>
                <w:rFonts w:ascii="Times New Roman" w:eastAsia="Times New Roman" w:hAnsi="Times New Roman" w:cs="Times New Roman"/>
                <w:noProof/>
                <w:kern w:val="0"/>
                <w:sz w:val="24"/>
                <w:szCs w:val="24"/>
                <w:lang w:eastAsia="en-GB"/>
                <w14:ligatures w14:val="none"/>
              </w:rPr>
              <w:t>Risk Assessment and Mitigation Measures</w:t>
            </w:r>
            <w:r w:rsidR="00F46C6C" w:rsidRPr="00D12A41">
              <w:rPr>
                <w:rFonts w:ascii="Times New Roman" w:hAnsi="Times New Roman" w:cs="Times New Roman"/>
                <w:noProof/>
                <w:webHidden/>
                <w:sz w:val="24"/>
                <w:szCs w:val="24"/>
              </w:rPr>
              <w:tab/>
            </w:r>
            <w:r w:rsidR="00F46C6C">
              <w:rPr>
                <w:rFonts w:ascii="Times New Roman" w:hAnsi="Times New Roman" w:cs="Times New Roman"/>
                <w:i/>
                <w:iCs/>
                <w:noProof/>
                <w:webHidden/>
              </w:rPr>
              <w:t>7</w:t>
            </w:r>
          </w:hyperlink>
        </w:p>
        <w:p w14:paraId="4155F81A" w14:textId="77777777" w:rsidR="00F46C6C" w:rsidRPr="00D12A41" w:rsidRDefault="00AC4DEE" w:rsidP="00F46C6C">
          <w:pPr>
            <w:pStyle w:val="TOC1"/>
            <w:tabs>
              <w:tab w:val="right" w:leader="dot" w:pos="9016"/>
            </w:tabs>
            <w:rPr>
              <w:rFonts w:ascii="Times New Roman" w:eastAsiaTheme="minorEastAsia" w:hAnsi="Times New Roman" w:cs="Times New Roman"/>
              <w:b w:val="0"/>
              <w:bCs w:val="0"/>
              <w:caps w:val="0"/>
              <w:noProof/>
              <w:color w:val="auto"/>
              <w:sz w:val="24"/>
              <w:szCs w:val="24"/>
              <w:lang w:eastAsia="en-GB" w:bidi="hi-IN"/>
            </w:rPr>
          </w:pPr>
          <w:hyperlink w:anchor="_Toc182335494" w:history="1">
            <w:r w:rsidR="00F46C6C" w:rsidRPr="00D12A41">
              <w:rPr>
                <w:rStyle w:val="Hyperlink"/>
                <w:rFonts w:ascii="Times New Roman" w:eastAsia="Times New Roman" w:hAnsi="Times New Roman" w:cs="Times New Roman"/>
                <w:noProof/>
                <w:kern w:val="0"/>
                <w:sz w:val="24"/>
                <w:szCs w:val="24"/>
                <w:lang w:eastAsia="en-GB"/>
                <w14:ligatures w14:val="none"/>
              </w:rPr>
              <w:t>Conclusion</w:t>
            </w:r>
            <w:r w:rsidR="00F46C6C" w:rsidRPr="00D12A41">
              <w:rPr>
                <w:rStyle w:val="Hyperlink"/>
                <w:rFonts w:ascii="Times New Roman" w:hAnsi="Times New Roman" w:cs="Times New Roman"/>
                <w:noProof/>
                <w:sz w:val="24"/>
                <w:szCs w:val="24"/>
              </w:rPr>
              <w:t xml:space="preserve"> and </w:t>
            </w:r>
            <w:r w:rsidR="00F46C6C" w:rsidRPr="00D12A41">
              <w:rPr>
                <w:rStyle w:val="Hyperlink"/>
                <w:rFonts w:ascii="Times New Roman" w:eastAsia="Times New Roman" w:hAnsi="Times New Roman" w:cs="Times New Roman"/>
                <w:noProof/>
                <w:kern w:val="0"/>
                <w:sz w:val="24"/>
                <w:szCs w:val="24"/>
                <w:lang w:eastAsia="en-GB"/>
                <w14:ligatures w14:val="none"/>
              </w:rPr>
              <w:t>Recommendations</w:t>
            </w:r>
            <w:r w:rsidR="00F46C6C" w:rsidRPr="00D12A41">
              <w:rPr>
                <w:rFonts w:ascii="Times New Roman" w:hAnsi="Times New Roman" w:cs="Times New Roman"/>
                <w:noProof/>
                <w:webHidden/>
                <w:sz w:val="24"/>
                <w:szCs w:val="24"/>
              </w:rPr>
              <w:tab/>
            </w:r>
            <w:r w:rsidR="00F46C6C">
              <w:rPr>
                <w:rFonts w:ascii="Times New Roman" w:hAnsi="Times New Roman" w:cs="Times New Roman"/>
                <w:i/>
                <w:iCs/>
                <w:noProof/>
                <w:webHidden/>
              </w:rPr>
              <w:t>8</w:t>
            </w:r>
          </w:hyperlink>
        </w:p>
        <w:p w14:paraId="1A1BC95A" w14:textId="77777777" w:rsidR="00F46C6C" w:rsidRPr="00D12A41" w:rsidRDefault="00AC4DEE" w:rsidP="00F46C6C">
          <w:pPr>
            <w:pStyle w:val="TOC1"/>
            <w:tabs>
              <w:tab w:val="right" w:leader="dot" w:pos="9016"/>
            </w:tabs>
            <w:rPr>
              <w:rFonts w:ascii="Times New Roman" w:eastAsiaTheme="minorEastAsia" w:hAnsi="Times New Roman" w:cs="Times New Roman"/>
              <w:b w:val="0"/>
              <w:bCs w:val="0"/>
              <w:caps w:val="0"/>
              <w:noProof/>
              <w:color w:val="auto"/>
              <w:sz w:val="24"/>
              <w:szCs w:val="24"/>
              <w:lang w:eastAsia="en-GB" w:bidi="hi-IN"/>
            </w:rPr>
          </w:pPr>
          <w:hyperlink w:anchor="_Toc182335495" w:history="1">
            <w:r w:rsidR="00F46C6C" w:rsidRPr="00D12A41">
              <w:rPr>
                <w:rStyle w:val="Hyperlink"/>
                <w:rFonts w:ascii="Times New Roman" w:hAnsi="Times New Roman" w:cs="Times New Roman"/>
                <w:noProof/>
                <w:sz w:val="24"/>
                <w:szCs w:val="24"/>
              </w:rPr>
              <w:t>References</w:t>
            </w:r>
            <w:r w:rsidR="00F46C6C" w:rsidRPr="00D12A41">
              <w:rPr>
                <w:rFonts w:ascii="Times New Roman" w:hAnsi="Times New Roman" w:cs="Times New Roman"/>
                <w:noProof/>
                <w:webHidden/>
                <w:sz w:val="24"/>
                <w:szCs w:val="24"/>
              </w:rPr>
              <w:tab/>
            </w:r>
            <w:r w:rsidR="00F46C6C">
              <w:rPr>
                <w:rFonts w:ascii="Times New Roman" w:hAnsi="Times New Roman" w:cs="Times New Roman"/>
                <w:i/>
                <w:iCs/>
                <w:noProof/>
                <w:webHidden/>
              </w:rPr>
              <w:t>9</w:t>
            </w:r>
          </w:hyperlink>
        </w:p>
        <w:p w14:paraId="370840B6" w14:textId="77777777" w:rsidR="00F46C6C" w:rsidRPr="00D12A41" w:rsidRDefault="00AC4DEE" w:rsidP="00F46C6C">
          <w:pPr>
            <w:pStyle w:val="TOC1"/>
            <w:tabs>
              <w:tab w:val="right" w:leader="dot" w:pos="9016"/>
            </w:tabs>
            <w:rPr>
              <w:rFonts w:ascii="Times New Roman" w:eastAsiaTheme="minorEastAsia" w:hAnsi="Times New Roman" w:cs="Times New Roman"/>
              <w:b w:val="0"/>
              <w:bCs w:val="0"/>
              <w:caps w:val="0"/>
              <w:noProof/>
              <w:color w:val="auto"/>
              <w:sz w:val="24"/>
              <w:szCs w:val="24"/>
              <w:lang w:eastAsia="en-GB" w:bidi="hi-IN"/>
            </w:rPr>
          </w:pPr>
          <w:hyperlink w:anchor="_Toc182335496" w:history="1"/>
        </w:p>
        <w:p w14:paraId="52A756BD" w14:textId="77777777" w:rsidR="00F46C6C" w:rsidRPr="00D12A41" w:rsidRDefault="00F46C6C" w:rsidP="00F46C6C">
          <w:pPr>
            <w:rPr>
              <w:rFonts w:cs="Times New Roman"/>
              <w:szCs w:val="24"/>
            </w:rPr>
          </w:pPr>
          <w:r w:rsidRPr="00D12A41">
            <w:rPr>
              <w:rFonts w:cs="Times New Roman"/>
              <w:b/>
              <w:bCs/>
              <w:noProof/>
              <w:szCs w:val="24"/>
            </w:rPr>
            <w:fldChar w:fldCharType="end"/>
          </w:r>
        </w:p>
      </w:sdtContent>
    </w:sdt>
    <w:p w14:paraId="78B77B94" w14:textId="77777777" w:rsidR="00F46C6C" w:rsidRPr="00D12A41" w:rsidRDefault="00F46C6C" w:rsidP="00F46C6C">
      <w:pPr>
        <w:spacing w:line="240" w:lineRule="auto"/>
        <w:jc w:val="left"/>
        <w:rPr>
          <w:rFonts w:cs="Times New Roman"/>
          <w:szCs w:val="24"/>
        </w:rPr>
      </w:pPr>
      <w:r w:rsidRPr="00D12A41">
        <w:rPr>
          <w:rFonts w:cs="Times New Roman"/>
          <w:szCs w:val="24"/>
        </w:rPr>
        <w:br w:type="page"/>
      </w:r>
    </w:p>
    <w:p w14:paraId="320CE4B0" w14:textId="77777777" w:rsidR="00F46C6C" w:rsidRPr="001E327D" w:rsidRDefault="00F46C6C" w:rsidP="00F46C6C">
      <w:pPr>
        <w:pStyle w:val="Heading1"/>
        <w:rPr>
          <w:rFonts w:ascii="Arial" w:hAnsi="Arial" w:cs="Arial"/>
          <w:sz w:val="24"/>
          <w:szCs w:val="24"/>
        </w:rPr>
      </w:pPr>
      <w:bookmarkStart w:id="2" w:name="_Toc182335483"/>
      <w:r w:rsidRPr="001E327D">
        <w:rPr>
          <w:rFonts w:ascii="Arial" w:hAnsi="Arial" w:cs="Arial"/>
          <w:sz w:val="24"/>
          <w:szCs w:val="24"/>
        </w:rPr>
        <w:lastRenderedPageBreak/>
        <w:t>Introduction</w:t>
      </w:r>
      <w:bookmarkEnd w:id="2"/>
    </w:p>
    <w:p w14:paraId="33ADFA99" w14:textId="77777777" w:rsidR="00F46C6C" w:rsidRPr="001E327D" w:rsidRDefault="00F46C6C" w:rsidP="00F46C6C">
      <w:pPr>
        <w:rPr>
          <w:rFonts w:ascii="Arial" w:hAnsi="Arial" w:cs="Arial"/>
          <w:szCs w:val="24"/>
        </w:rPr>
      </w:pPr>
      <w:r w:rsidRPr="001E327D">
        <w:rPr>
          <w:rFonts w:ascii="Arial" w:hAnsi="Arial" w:cs="Arial"/>
          <w:szCs w:val="24"/>
        </w:rPr>
        <w:t>The City Hotel is a busy city hotel with restaurant, bar and event facilities. As one of the best locations historically, the steady business it has received has been due to its strategic location, versatile amenities, etc. But in the past three years it has undergone serious financial instability, with revenues, occupancy rates and customer satisfaction falling sharply. From 2021 to 2023 revenue decreased from £5.2m to £2.34m, a 56 per cent fall in part due to increased market competition and rising operational costs. Occupancy rates also took a huge hit, making it very difficult to cover the costs and keep the profitability where it needs to be.</w:t>
      </w:r>
    </w:p>
    <w:p w14:paraId="34737E13" w14:textId="77777777" w:rsidR="00F46C6C" w:rsidRPr="001E327D" w:rsidRDefault="00F46C6C" w:rsidP="00F46C6C">
      <w:pPr>
        <w:rPr>
          <w:rFonts w:ascii="Arial" w:hAnsi="Arial" w:cs="Arial"/>
          <w:szCs w:val="24"/>
        </w:rPr>
      </w:pPr>
      <w:r w:rsidRPr="001E327D">
        <w:rPr>
          <w:rFonts w:ascii="Arial" w:hAnsi="Arial" w:cs="Arial"/>
          <w:szCs w:val="24"/>
        </w:rPr>
        <w:t>This report aims to go deeper into the financial challenges of these financial challenges and develop a sustainable turnaround strategy to rejuvenate the hotel’s financial position and reputation. The strategy will involve analysing past performance trends, identifying core issues in profitability, and creating business process specific to heightened stream revenue and current retention. The report will also provide a detailed overview of how the factors of a financial, operational and market nature are involved in each other using tools like financial ratios, operational and competitive analysis.</w:t>
      </w:r>
    </w:p>
    <w:p w14:paraId="4DB8651C" w14:textId="77777777" w:rsidR="00F46C6C" w:rsidRPr="001E327D" w:rsidRDefault="00F46C6C" w:rsidP="00F46C6C">
      <w:pPr>
        <w:rPr>
          <w:rFonts w:ascii="Arial" w:hAnsi="Arial" w:cs="Arial"/>
          <w:szCs w:val="24"/>
        </w:rPr>
      </w:pPr>
    </w:p>
    <w:p w14:paraId="360BC494" w14:textId="77777777" w:rsidR="00F46C6C" w:rsidRPr="001E327D" w:rsidRDefault="00F46C6C" w:rsidP="00F46C6C">
      <w:pPr>
        <w:pStyle w:val="Heading1"/>
        <w:rPr>
          <w:rFonts w:ascii="Arial" w:eastAsia="Times New Roman" w:hAnsi="Arial" w:cs="Arial"/>
          <w:bCs/>
          <w:color w:val="auto"/>
          <w:kern w:val="0"/>
          <w:sz w:val="24"/>
          <w:szCs w:val="24"/>
          <w:lang w:eastAsia="en-GB" w:bidi="hi-IN"/>
          <w14:ligatures w14:val="none"/>
        </w:rPr>
      </w:pPr>
      <w:bookmarkStart w:id="3" w:name="_Toc182335484"/>
      <w:r w:rsidRPr="001E327D">
        <w:rPr>
          <w:rFonts w:ascii="Arial" w:eastAsia="Times New Roman" w:hAnsi="Arial" w:cs="Arial"/>
          <w:bCs/>
          <w:color w:val="auto"/>
          <w:kern w:val="0"/>
          <w:sz w:val="24"/>
          <w:szCs w:val="24"/>
          <w:lang w:eastAsia="en-GB" w:bidi="hi-IN"/>
          <w14:ligatures w14:val="none"/>
        </w:rPr>
        <w:t>Financial Performance</w:t>
      </w:r>
      <w:bookmarkEnd w:id="3"/>
    </w:p>
    <w:p w14:paraId="7C8140B2" w14:textId="77777777" w:rsidR="00F46C6C" w:rsidRPr="001E327D" w:rsidRDefault="00F46C6C" w:rsidP="00F46C6C">
      <w:pPr>
        <w:pStyle w:val="Heading2"/>
        <w:rPr>
          <w:rFonts w:ascii="Arial" w:hAnsi="Arial" w:cs="Arial"/>
          <w:szCs w:val="24"/>
          <w:lang w:eastAsia="en-GB" w:bidi="hi-IN"/>
        </w:rPr>
      </w:pPr>
      <w:bookmarkStart w:id="4" w:name="_Toc182335485"/>
      <w:r w:rsidRPr="001E327D">
        <w:rPr>
          <w:rFonts w:ascii="Arial" w:hAnsi="Arial" w:cs="Arial"/>
          <w:szCs w:val="24"/>
          <w:lang w:eastAsia="en-GB" w:bidi="hi-IN"/>
        </w:rPr>
        <w:t>Revenue and Profitability Trends</w:t>
      </w:r>
      <w:bookmarkEnd w:id="4"/>
    </w:p>
    <w:p w14:paraId="059BF231" w14:textId="77777777" w:rsidR="00F46C6C" w:rsidRPr="001E327D" w:rsidRDefault="00F46C6C" w:rsidP="00F46C6C">
      <w:pPr>
        <w:rPr>
          <w:rFonts w:ascii="Arial" w:hAnsi="Arial" w:cs="Arial"/>
          <w:szCs w:val="24"/>
          <w:lang w:eastAsia="en-GB" w:bidi="hi-IN"/>
        </w:rPr>
      </w:pPr>
      <w:r w:rsidRPr="001E327D">
        <w:rPr>
          <w:rFonts w:ascii="Arial" w:hAnsi="Arial" w:cs="Arial"/>
          <w:szCs w:val="24"/>
          <w:lang w:eastAsia="en-GB" w:bidi="hi-IN"/>
        </w:rPr>
        <w:t>Over the last three years the City Hotel has proved to have dramatic revenue and profitability problems. In 2021 revenue was £5.2 million, it fell to £5.3 million in 2022 and was down to £2.3 million in 2023. There is this decline reflecting the hotel’s vulnerability to economic downturns and the competitive pressures of the industry (Abubakar</w:t>
      </w:r>
      <w:r w:rsidRPr="001E327D">
        <w:rPr>
          <w:rFonts w:ascii="Arial" w:hAnsi="Arial" w:cs="Arial"/>
          <w:szCs w:val="24"/>
          <w:lang w:val="en-US" w:eastAsia="en-GB" w:bidi="hi-IN"/>
        </w:rPr>
        <w:t xml:space="preserve"> et al</w:t>
      </w:r>
      <w:r w:rsidRPr="001E327D">
        <w:rPr>
          <w:rFonts w:ascii="Arial" w:hAnsi="Arial" w:cs="Arial"/>
          <w:szCs w:val="24"/>
          <w:lang w:eastAsia="en-GB" w:bidi="hi-IN"/>
        </w:rPr>
        <w:t xml:space="preserve">, 2024). Furthermore, the hotel’s operating income was £664,160 positive in 2021, fell slightly to £674,730 in 2022, and then plummeted to £1.2 million loss in 2023, strongly signs of a huge sacrifice in profitability. </w:t>
      </w:r>
      <w:r w:rsidRPr="001E327D">
        <w:rPr>
          <w:rFonts w:ascii="Arial" w:hAnsi="Arial" w:cs="Arial"/>
          <w:szCs w:val="24"/>
          <w:lang w:val="en-US" w:eastAsia="en-GB" w:bidi="hi-IN"/>
        </w:rPr>
        <w:t>It shows</w:t>
      </w:r>
      <w:r w:rsidRPr="001E327D">
        <w:rPr>
          <w:rFonts w:ascii="Arial" w:hAnsi="Arial" w:cs="Arial"/>
          <w:szCs w:val="24"/>
          <w:lang w:eastAsia="en-GB" w:bidi="hi-IN"/>
        </w:rPr>
        <w:t xml:space="preserve"> that because revenue wasn’t sufficient to cover a rising expense base, the hotel is in danger of running out of money.</w:t>
      </w:r>
    </w:p>
    <w:p w14:paraId="4AA6E94A" w14:textId="77777777" w:rsidR="00F46C6C" w:rsidRPr="001E327D" w:rsidRDefault="00F46C6C" w:rsidP="00F46C6C">
      <w:pPr>
        <w:pStyle w:val="Heading2"/>
        <w:rPr>
          <w:rFonts w:ascii="Arial" w:eastAsia="Times New Roman" w:hAnsi="Arial" w:cs="Arial"/>
          <w:szCs w:val="24"/>
          <w:lang w:eastAsia="en-GB" w:bidi="hi-IN"/>
        </w:rPr>
      </w:pPr>
      <w:bookmarkStart w:id="5" w:name="_Toc182335486"/>
      <w:r w:rsidRPr="001E327D">
        <w:rPr>
          <w:rFonts w:ascii="Arial" w:hAnsi="Arial" w:cs="Arial"/>
          <w:szCs w:val="24"/>
          <w:lang w:eastAsia="en-GB" w:bidi="hi-IN"/>
        </w:rPr>
        <w:t>Cost Analysis</w:t>
      </w:r>
      <w:bookmarkEnd w:id="5"/>
    </w:p>
    <w:p w14:paraId="00508B29" w14:textId="77777777" w:rsidR="00F46C6C" w:rsidRPr="001E327D" w:rsidRDefault="00F46C6C" w:rsidP="00F46C6C">
      <w:pPr>
        <w:rPr>
          <w:rFonts w:ascii="Arial" w:hAnsi="Arial" w:cs="Arial"/>
          <w:szCs w:val="24"/>
          <w:lang w:eastAsia="en-GB" w:bidi="hi-IN"/>
        </w:rPr>
      </w:pPr>
      <w:r w:rsidRPr="001E327D">
        <w:rPr>
          <w:rFonts w:ascii="Arial" w:hAnsi="Arial" w:cs="Arial"/>
          <w:szCs w:val="24"/>
          <w:lang w:eastAsia="en-GB" w:bidi="hi-IN"/>
        </w:rPr>
        <w:t xml:space="preserve">Cost examination reveals that employee expenses and external costs contribute most to declining profitability. From 2021 to 2022 employee costs only increased marginally from £1.7 million to £1.8 million, and subsequently fell to £1.2 million in 2023, perhaps </w:t>
      </w:r>
      <w:r w:rsidRPr="001E327D">
        <w:rPr>
          <w:rFonts w:ascii="Arial" w:hAnsi="Arial" w:cs="Arial"/>
          <w:szCs w:val="24"/>
          <w:lang w:eastAsia="en-GB" w:bidi="hi-IN"/>
        </w:rPr>
        <w:lastRenderedPageBreak/>
        <w:t>as a result of staff cuts alongside falling revenues. As with external expenses, external expenses declined from £1.9 million in 2021 to £1.6 million in 2022, and then to £1.1 million in 2023. While these cost reductions gave some respite, they were never sufficiently broad to prevent a hit to revenue and leave the</w:t>
      </w:r>
      <w:r w:rsidRPr="001E327D">
        <w:rPr>
          <w:rFonts w:ascii="Arial" w:hAnsi="Arial" w:cs="Arial"/>
          <w:szCs w:val="24"/>
          <w:lang w:val="en-US" w:eastAsia="en-GB" w:bidi="hi-IN"/>
        </w:rPr>
        <w:t xml:space="preserve"> hotels</w:t>
      </w:r>
      <w:r w:rsidRPr="001E327D">
        <w:rPr>
          <w:rFonts w:ascii="Arial" w:hAnsi="Arial" w:cs="Arial"/>
          <w:szCs w:val="24"/>
          <w:lang w:eastAsia="en-GB" w:bidi="hi-IN"/>
        </w:rPr>
        <w:t xml:space="preserve"> with negative operating income in 2023 </w:t>
      </w:r>
      <w:r w:rsidRPr="001E327D">
        <w:rPr>
          <w:rFonts w:ascii="Arial" w:hAnsi="Arial" w:cs="Arial"/>
          <w:color w:val="000000"/>
          <w:szCs w:val="24"/>
        </w:rPr>
        <w:t>(Lee et al, 2024)</w:t>
      </w:r>
      <w:r w:rsidRPr="001E327D">
        <w:rPr>
          <w:rFonts w:ascii="Arial" w:hAnsi="Arial" w:cs="Arial"/>
          <w:szCs w:val="24"/>
          <w:lang w:eastAsia="en-GB" w:bidi="hi-IN"/>
        </w:rPr>
        <w:t>.</w:t>
      </w:r>
    </w:p>
    <w:p w14:paraId="2CF75E1E" w14:textId="77777777" w:rsidR="00F46C6C" w:rsidRPr="001E327D" w:rsidRDefault="00F46C6C" w:rsidP="00F46C6C">
      <w:pPr>
        <w:pStyle w:val="Heading2"/>
        <w:rPr>
          <w:rFonts w:ascii="Arial" w:eastAsia="Times New Roman" w:hAnsi="Arial" w:cs="Arial"/>
          <w:szCs w:val="24"/>
          <w:lang w:eastAsia="en-GB" w:bidi="hi-IN"/>
        </w:rPr>
      </w:pPr>
      <w:bookmarkStart w:id="6" w:name="_Toc182335487"/>
      <w:r w:rsidRPr="001E327D">
        <w:rPr>
          <w:rFonts w:ascii="Arial" w:hAnsi="Arial" w:cs="Arial"/>
          <w:szCs w:val="24"/>
          <w:lang w:eastAsia="en-GB" w:bidi="hi-IN"/>
        </w:rPr>
        <w:t>Balance Sheet Analysis</w:t>
      </w:r>
      <w:bookmarkEnd w:id="6"/>
    </w:p>
    <w:p w14:paraId="28E25D8C" w14:textId="77777777" w:rsidR="00F46C6C" w:rsidRPr="001E327D" w:rsidRDefault="00F46C6C" w:rsidP="00F46C6C">
      <w:pPr>
        <w:rPr>
          <w:rFonts w:ascii="Arial" w:hAnsi="Arial" w:cs="Arial"/>
          <w:szCs w:val="24"/>
          <w:lang w:eastAsia="en-GB" w:bidi="hi-IN"/>
        </w:rPr>
      </w:pPr>
      <w:r w:rsidRPr="001E327D">
        <w:rPr>
          <w:rFonts w:ascii="Arial" w:hAnsi="Arial" w:cs="Arial"/>
          <w:szCs w:val="24"/>
          <w:lang w:eastAsia="en-GB" w:bidi="hi-IN"/>
        </w:rPr>
        <w:t>In the balance sheet, total assets of the hotel decreased from £12.9 million in 2021, £15.9 million in 2022 and then slightly to £15.6 million in 2023. This indicates asset changes or overall liquidation facts of the hotel to increase cash flow in period</w:t>
      </w:r>
      <w:r w:rsidRPr="001E327D">
        <w:rPr>
          <w:rFonts w:ascii="Arial" w:hAnsi="Arial" w:cs="Arial"/>
          <w:szCs w:val="24"/>
          <w:lang w:val="en-US" w:eastAsia="en-GB" w:bidi="hi-IN"/>
        </w:rPr>
        <w:t xml:space="preserve"> (Romanopoulos and Metaxas, 2024)</w:t>
      </w:r>
      <w:r w:rsidRPr="001E327D">
        <w:rPr>
          <w:rFonts w:ascii="Arial" w:hAnsi="Arial" w:cs="Arial"/>
          <w:szCs w:val="24"/>
          <w:lang w:eastAsia="en-GB" w:bidi="hi-IN"/>
        </w:rPr>
        <w:t>. Specifically, cash and cash equivalents too fell from £740,590 in 2021, to £295,510 in 2023, being illustrative of cash flow strain. However between 2021 and 2023 total liabilities increased from £10. 7m in 2021 to £13.3m in 2022 to £14. 2m in 2023, contributing to a weakened balance sheet. Furthermore, retained earnings reduced from £2.1 million in 2021 to £1.3 million in 2023, and it appears that the proportion of retained earnings in relation to the debt of the business in 2023 increased from a relative position in 2021.</w:t>
      </w:r>
    </w:p>
    <w:p w14:paraId="0F2B9203" w14:textId="77777777" w:rsidR="00F46C6C" w:rsidRPr="001E327D" w:rsidRDefault="00F46C6C" w:rsidP="00F46C6C">
      <w:pPr>
        <w:rPr>
          <w:rFonts w:ascii="Arial" w:hAnsi="Arial" w:cs="Arial"/>
          <w:b/>
          <w:szCs w:val="24"/>
          <w:lang w:eastAsia="en-GB" w:bidi="hi-IN"/>
        </w:rPr>
      </w:pPr>
      <w:r w:rsidRPr="001E327D">
        <w:rPr>
          <w:rFonts w:ascii="Arial" w:hAnsi="Arial" w:cs="Arial"/>
          <w:szCs w:val="24"/>
          <w:lang w:eastAsia="en-GB" w:bidi="hi-IN"/>
        </w:rPr>
        <w:t>Declining revenues have held back the City Hotels’ financial performance along with persistent costs and rising liabilities. These trends illustrate the imperative for a turnaround strategy aimed at fixing these revenue trends and advancing operational efficiencies toward excellence and financial sustainability</w:t>
      </w:r>
      <w:r w:rsidRPr="001E327D">
        <w:rPr>
          <w:rFonts w:ascii="Arial" w:hAnsi="Arial" w:cs="Arial"/>
          <w:szCs w:val="24"/>
          <w:lang w:val="en-US" w:eastAsia="en-GB" w:bidi="hi-IN"/>
        </w:rPr>
        <w:t xml:space="preserve"> </w:t>
      </w:r>
      <w:r w:rsidRPr="001E327D">
        <w:rPr>
          <w:rFonts w:ascii="Arial" w:hAnsi="Arial" w:cs="Arial"/>
          <w:color w:val="000000"/>
          <w:szCs w:val="24"/>
        </w:rPr>
        <w:t>(Anand and Munjal, 2024)</w:t>
      </w:r>
      <w:r w:rsidRPr="001E327D">
        <w:rPr>
          <w:rFonts w:ascii="Arial" w:hAnsi="Arial" w:cs="Arial"/>
          <w:szCs w:val="24"/>
          <w:lang w:eastAsia="en-GB" w:bidi="hi-IN"/>
        </w:rPr>
        <w:t xml:space="preserve">. </w:t>
      </w:r>
      <w:r w:rsidRPr="001E327D">
        <w:rPr>
          <w:rFonts w:ascii="Arial" w:hAnsi="Arial" w:cs="Arial"/>
          <w:b/>
          <w:szCs w:val="24"/>
          <w:lang w:eastAsia="en-GB" w:bidi="hi-IN"/>
        </w:rPr>
        <w:t xml:space="preserve"> </w:t>
      </w:r>
    </w:p>
    <w:p w14:paraId="158D41E0" w14:textId="77777777" w:rsidR="00F46C6C" w:rsidRPr="001E327D" w:rsidRDefault="00F46C6C" w:rsidP="00F46C6C">
      <w:pPr>
        <w:pStyle w:val="Heading1"/>
        <w:rPr>
          <w:rFonts w:ascii="Arial" w:eastAsia="Times New Roman" w:hAnsi="Arial" w:cs="Arial"/>
          <w:color w:val="auto"/>
          <w:kern w:val="0"/>
          <w:sz w:val="24"/>
          <w:szCs w:val="24"/>
          <w:lang w:eastAsia="en-GB" w:bidi="hi-IN"/>
          <w14:ligatures w14:val="none"/>
        </w:rPr>
      </w:pPr>
      <w:bookmarkStart w:id="7" w:name="_Toc182335488"/>
      <w:r w:rsidRPr="001E327D">
        <w:rPr>
          <w:rFonts w:ascii="Arial" w:eastAsia="Times New Roman" w:hAnsi="Arial" w:cs="Arial"/>
          <w:bCs/>
          <w:color w:val="auto"/>
          <w:kern w:val="0"/>
          <w:sz w:val="24"/>
          <w:szCs w:val="24"/>
          <w:lang w:eastAsia="en-GB" w:bidi="hi-IN"/>
          <w14:ligatures w14:val="none"/>
        </w:rPr>
        <w:t>Key Financial Ratios and Their Implications</w:t>
      </w:r>
      <w:bookmarkEnd w:id="7"/>
    </w:p>
    <w:p w14:paraId="6724FE79" w14:textId="77777777" w:rsidR="00F46C6C" w:rsidRPr="001E327D" w:rsidRDefault="00F46C6C" w:rsidP="00F46C6C">
      <w:pPr>
        <w:rPr>
          <w:rFonts w:ascii="Arial" w:hAnsi="Arial" w:cs="Arial"/>
          <w:color w:val="auto"/>
          <w:szCs w:val="24"/>
        </w:rPr>
      </w:pPr>
      <w:r w:rsidRPr="001E327D">
        <w:rPr>
          <w:rFonts w:ascii="Arial" w:hAnsi="Arial" w:cs="Arial"/>
          <w:color w:val="auto"/>
          <w:szCs w:val="24"/>
        </w:rPr>
        <w:t>The key ratios of the City Hotel are the following:</w:t>
      </w:r>
    </w:p>
    <w:tbl>
      <w:tblPr>
        <w:tblStyle w:val="TableGrid"/>
        <w:tblW w:w="9209" w:type="dxa"/>
        <w:tblLook w:val="04A0" w:firstRow="1" w:lastRow="0" w:firstColumn="1" w:lastColumn="0" w:noHBand="0" w:noVBand="1"/>
      </w:tblPr>
      <w:tblGrid>
        <w:gridCol w:w="1409"/>
        <w:gridCol w:w="1825"/>
        <w:gridCol w:w="2729"/>
        <w:gridCol w:w="1030"/>
        <w:gridCol w:w="1030"/>
        <w:gridCol w:w="1186"/>
      </w:tblGrid>
      <w:tr w:rsidR="00F46C6C" w:rsidRPr="001E327D" w14:paraId="78536CCD" w14:textId="77777777" w:rsidTr="00967D15">
        <w:tc>
          <w:tcPr>
            <w:tcW w:w="0" w:type="auto"/>
            <w:hideMark/>
          </w:tcPr>
          <w:p w14:paraId="11434878" w14:textId="77777777" w:rsidR="00F46C6C" w:rsidRPr="001E327D" w:rsidRDefault="00F46C6C" w:rsidP="00967D15">
            <w:pPr>
              <w:jc w:val="center"/>
              <w:rPr>
                <w:rFonts w:ascii="Arial" w:hAnsi="Arial" w:cs="Arial"/>
                <w:b/>
                <w:bCs/>
                <w:color w:val="auto"/>
                <w:szCs w:val="24"/>
                <w:lang w:eastAsia="en-GB"/>
              </w:rPr>
            </w:pPr>
            <w:r w:rsidRPr="001E327D">
              <w:rPr>
                <w:rFonts w:ascii="Arial" w:hAnsi="Arial" w:cs="Arial"/>
                <w:b/>
                <w:bCs/>
                <w:color w:val="auto"/>
                <w:szCs w:val="24"/>
                <w:lang w:eastAsia="en-GB"/>
              </w:rPr>
              <w:t>Ratio Type</w:t>
            </w:r>
          </w:p>
        </w:tc>
        <w:tc>
          <w:tcPr>
            <w:tcW w:w="0" w:type="auto"/>
            <w:hideMark/>
          </w:tcPr>
          <w:p w14:paraId="5D3FD545" w14:textId="77777777" w:rsidR="00F46C6C" w:rsidRPr="001E327D" w:rsidRDefault="00F46C6C" w:rsidP="00967D15">
            <w:pPr>
              <w:jc w:val="center"/>
              <w:rPr>
                <w:rFonts w:ascii="Arial" w:hAnsi="Arial" w:cs="Arial"/>
                <w:b/>
                <w:bCs/>
                <w:color w:val="auto"/>
                <w:szCs w:val="24"/>
                <w:lang w:eastAsia="en-GB"/>
              </w:rPr>
            </w:pPr>
            <w:r w:rsidRPr="001E327D">
              <w:rPr>
                <w:rFonts w:ascii="Arial" w:hAnsi="Arial" w:cs="Arial"/>
                <w:b/>
                <w:bCs/>
                <w:color w:val="auto"/>
                <w:szCs w:val="24"/>
                <w:lang w:eastAsia="en-GB"/>
              </w:rPr>
              <w:t>Metric</w:t>
            </w:r>
          </w:p>
        </w:tc>
        <w:tc>
          <w:tcPr>
            <w:tcW w:w="0" w:type="auto"/>
            <w:hideMark/>
          </w:tcPr>
          <w:p w14:paraId="74E5A250" w14:textId="77777777" w:rsidR="00F46C6C" w:rsidRPr="001E327D" w:rsidRDefault="00F46C6C" w:rsidP="00967D15">
            <w:pPr>
              <w:jc w:val="center"/>
              <w:rPr>
                <w:rFonts w:ascii="Arial" w:hAnsi="Arial" w:cs="Arial"/>
                <w:b/>
                <w:bCs/>
                <w:color w:val="auto"/>
                <w:szCs w:val="24"/>
                <w:lang w:eastAsia="en-GB"/>
              </w:rPr>
            </w:pPr>
            <w:r w:rsidRPr="001E327D">
              <w:rPr>
                <w:rFonts w:ascii="Arial" w:hAnsi="Arial" w:cs="Arial"/>
                <w:b/>
                <w:bCs/>
                <w:color w:val="auto"/>
                <w:szCs w:val="24"/>
                <w:lang w:eastAsia="en-GB"/>
              </w:rPr>
              <w:t>Formula</w:t>
            </w:r>
          </w:p>
        </w:tc>
        <w:tc>
          <w:tcPr>
            <w:tcW w:w="0" w:type="auto"/>
            <w:hideMark/>
          </w:tcPr>
          <w:p w14:paraId="2890C6A2" w14:textId="77777777" w:rsidR="00F46C6C" w:rsidRPr="001E327D" w:rsidRDefault="00F46C6C" w:rsidP="00967D15">
            <w:pPr>
              <w:jc w:val="center"/>
              <w:rPr>
                <w:rFonts w:ascii="Arial" w:hAnsi="Arial" w:cs="Arial"/>
                <w:b/>
                <w:bCs/>
                <w:color w:val="auto"/>
                <w:szCs w:val="24"/>
                <w:lang w:eastAsia="en-GB"/>
              </w:rPr>
            </w:pPr>
            <w:r w:rsidRPr="001E327D">
              <w:rPr>
                <w:rFonts w:ascii="Arial" w:hAnsi="Arial" w:cs="Arial"/>
                <w:b/>
                <w:bCs/>
                <w:color w:val="auto"/>
                <w:szCs w:val="24"/>
                <w:lang w:eastAsia="en-GB"/>
              </w:rPr>
              <w:t>2021</w:t>
            </w:r>
          </w:p>
        </w:tc>
        <w:tc>
          <w:tcPr>
            <w:tcW w:w="0" w:type="auto"/>
            <w:hideMark/>
          </w:tcPr>
          <w:p w14:paraId="5520FA29" w14:textId="77777777" w:rsidR="00F46C6C" w:rsidRPr="001E327D" w:rsidRDefault="00F46C6C" w:rsidP="00967D15">
            <w:pPr>
              <w:jc w:val="center"/>
              <w:rPr>
                <w:rFonts w:ascii="Arial" w:hAnsi="Arial" w:cs="Arial"/>
                <w:b/>
                <w:bCs/>
                <w:color w:val="auto"/>
                <w:szCs w:val="24"/>
                <w:lang w:eastAsia="en-GB"/>
              </w:rPr>
            </w:pPr>
            <w:r w:rsidRPr="001E327D">
              <w:rPr>
                <w:rFonts w:ascii="Arial" w:hAnsi="Arial" w:cs="Arial"/>
                <w:b/>
                <w:bCs/>
                <w:color w:val="auto"/>
                <w:szCs w:val="24"/>
                <w:lang w:eastAsia="en-GB"/>
              </w:rPr>
              <w:t>2022</w:t>
            </w:r>
          </w:p>
        </w:tc>
        <w:tc>
          <w:tcPr>
            <w:tcW w:w="1186" w:type="dxa"/>
            <w:hideMark/>
          </w:tcPr>
          <w:p w14:paraId="6D29D168" w14:textId="77777777" w:rsidR="00F46C6C" w:rsidRPr="001E327D" w:rsidRDefault="00F46C6C" w:rsidP="00967D15">
            <w:pPr>
              <w:jc w:val="center"/>
              <w:rPr>
                <w:rFonts w:ascii="Arial" w:hAnsi="Arial" w:cs="Arial"/>
                <w:b/>
                <w:bCs/>
                <w:color w:val="auto"/>
                <w:szCs w:val="24"/>
                <w:lang w:eastAsia="en-GB"/>
              </w:rPr>
            </w:pPr>
            <w:r w:rsidRPr="001E327D">
              <w:rPr>
                <w:rFonts w:ascii="Arial" w:hAnsi="Arial" w:cs="Arial"/>
                <w:b/>
                <w:bCs/>
                <w:color w:val="auto"/>
                <w:szCs w:val="24"/>
                <w:lang w:eastAsia="en-GB"/>
              </w:rPr>
              <w:t>2023</w:t>
            </w:r>
          </w:p>
        </w:tc>
      </w:tr>
      <w:tr w:rsidR="00F46C6C" w:rsidRPr="001E327D" w14:paraId="5190C1F9" w14:textId="77777777" w:rsidTr="00967D15">
        <w:tc>
          <w:tcPr>
            <w:tcW w:w="0" w:type="auto"/>
            <w:vMerge w:val="restart"/>
            <w:hideMark/>
          </w:tcPr>
          <w:p w14:paraId="3381F593" w14:textId="77777777" w:rsidR="00F46C6C" w:rsidRPr="001E327D" w:rsidRDefault="00F46C6C" w:rsidP="00967D15">
            <w:pPr>
              <w:rPr>
                <w:rFonts w:ascii="Arial" w:hAnsi="Arial" w:cs="Arial"/>
                <w:color w:val="auto"/>
                <w:szCs w:val="24"/>
                <w:lang w:eastAsia="en-GB"/>
              </w:rPr>
            </w:pPr>
            <w:r w:rsidRPr="001E327D">
              <w:rPr>
                <w:rFonts w:ascii="Arial" w:hAnsi="Arial" w:cs="Arial"/>
                <w:color w:val="auto"/>
                <w:szCs w:val="24"/>
                <w:lang w:eastAsia="en-GB"/>
              </w:rPr>
              <w:t>Profitability</w:t>
            </w:r>
          </w:p>
        </w:tc>
        <w:tc>
          <w:tcPr>
            <w:tcW w:w="0" w:type="auto"/>
            <w:hideMark/>
          </w:tcPr>
          <w:p w14:paraId="1BB6E10C" w14:textId="77777777" w:rsidR="00F46C6C" w:rsidRPr="001E327D" w:rsidRDefault="00F46C6C" w:rsidP="00967D15">
            <w:pPr>
              <w:rPr>
                <w:rFonts w:ascii="Arial" w:hAnsi="Arial" w:cs="Arial"/>
                <w:color w:val="auto"/>
                <w:szCs w:val="24"/>
                <w:lang w:eastAsia="en-GB"/>
              </w:rPr>
            </w:pPr>
            <w:r w:rsidRPr="001E327D">
              <w:rPr>
                <w:rFonts w:ascii="Arial" w:hAnsi="Arial" w:cs="Arial"/>
                <w:color w:val="auto"/>
                <w:szCs w:val="24"/>
                <w:lang w:eastAsia="en-GB"/>
              </w:rPr>
              <w:t>Gross Profit Margin</w:t>
            </w:r>
          </w:p>
        </w:tc>
        <w:tc>
          <w:tcPr>
            <w:tcW w:w="0" w:type="auto"/>
            <w:hideMark/>
          </w:tcPr>
          <w:p w14:paraId="51E43844" w14:textId="77777777" w:rsidR="00F46C6C" w:rsidRPr="001E327D" w:rsidRDefault="00F46C6C" w:rsidP="00967D15">
            <w:pPr>
              <w:rPr>
                <w:rFonts w:ascii="Arial" w:hAnsi="Arial" w:cs="Arial"/>
                <w:color w:val="auto"/>
                <w:szCs w:val="24"/>
                <w:lang w:eastAsia="en-GB"/>
              </w:rPr>
            </w:pPr>
            <w:r w:rsidRPr="001E327D">
              <w:rPr>
                <w:rFonts w:ascii="Arial" w:hAnsi="Arial" w:cs="Arial"/>
                <w:color w:val="auto"/>
                <w:szCs w:val="24"/>
                <w:lang w:eastAsia="en-GB"/>
              </w:rPr>
              <w:t>(Revenue - COGS) / Revenue × 100</w:t>
            </w:r>
          </w:p>
        </w:tc>
        <w:tc>
          <w:tcPr>
            <w:tcW w:w="0" w:type="auto"/>
            <w:hideMark/>
          </w:tcPr>
          <w:p w14:paraId="3B4F574E" w14:textId="77777777" w:rsidR="00F46C6C" w:rsidRPr="001E327D" w:rsidRDefault="00F46C6C" w:rsidP="00967D15">
            <w:pPr>
              <w:rPr>
                <w:rFonts w:ascii="Arial" w:hAnsi="Arial" w:cs="Arial"/>
                <w:color w:val="auto"/>
                <w:szCs w:val="24"/>
                <w:lang w:eastAsia="en-GB"/>
              </w:rPr>
            </w:pPr>
            <w:r w:rsidRPr="001E327D">
              <w:rPr>
                <w:rFonts w:ascii="Arial" w:hAnsi="Arial" w:cs="Arial"/>
                <w:color w:val="auto"/>
                <w:szCs w:val="24"/>
                <w:lang w:eastAsia="en-GB"/>
              </w:rPr>
              <w:t>92.16%</w:t>
            </w:r>
          </w:p>
        </w:tc>
        <w:tc>
          <w:tcPr>
            <w:tcW w:w="0" w:type="auto"/>
            <w:hideMark/>
          </w:tcPr>
          <w:p w14:paraId="6DD51390" w14:textId="77777777" w:rsidR="00F46C6C" w:rsidRPr="001E327D" w:rsidRDefault="00F46C6C" w:rsidP="00967D15">
            <w:pPr>
              <w:rPr>
                <w:rFonts w:ascii="Arial" w:hAnsi="Arial" w:cs="Arial"/>
                <w:color w:val="auto"/>
                <w:szCs w:val="24"/>
                <w:lang w:eastAsia="en-GB"/>
              </w:rPr>
            </w:pPr>
            <w:r w:rsidRPr="001E327D">
              <w:rPr>
                <w:rFonts w:ascii="Arial" w:hAnsi="Arial" w:cs="Arial"/>
                <w:color w:val="auto"/>
                <w:szCs w:val="24"/>
                <w:lang w:eastAsia="en-GB"/>
              </w:rPr>
              <w:t>92.43%</w:t>
            </w:r>
          </w:p>
        </w:tc>
        <w:tc>
          <w:tcPr>
            <w:tcW w:w="1186" w:type="dxa"/>
            <w:hideMark/>
          </w:tcPr>
          <w:p w14:paraId="225C7F6A" w14:textId="77777777" w:rsidR="00F46C6C" w:rsidRPr="001E327D" w:rsidRDefault="00F46C6C" w:rsidP="00967D15">
            <w:pPr>
              <w:rPr>
                <w:rFonts w:ascii="Arial" w:hAnsi="Arial" w:cs="Arial"/>
                <w:color w:val="auto"/>
                <w:szCs w:val="24"/>
                <w:lang w:eastAsia="en-GB"/>
              </w:rPr>
            </w:pPr>
            <w:r w:rsidRPr="001E327D">
              <w:rPr>
                <w:rFonts w:ascii="Arial" w:hAnsi="Arial" w:cs="Arial"/>
                <w:color w:val="auto"/>
                <w:szCs w:val="24"/>
                <w:lang w:eastAsia="en-GB"/>
              </w:rPr>
              <w:t>92.42%</w:t>
            </w:r>
          </w:p>
        </w:tc>
      </w:tr>
      <w:tr w:rsidR="00F46C6C" w:rsidRPr="001E327D" w14:paraId="3D3E2CDA" w14:textId="77777777" w:rsidTr="00967D15">
        <w:tc>
          <w:tcPr>
            <w:tcW w:w="0" w:type="auto"/>
            <w:vMerge/>
            <w:hideMark/>
          </w:tcPr>
          <w:p w14:paraId="396E5DB3" w14:textId="77777777" w:rsidR="00F46C6C" w:rsidRPr="001E327D" w:rsidRDefault="00F46C6C" w:rsidP="00967D15">
            <w:pPr>
              <w:rPr>
                <w:rFonts w:ascii="Arial" w:hAnsi="Arial" w:cs="Arial"/>
                <w:color w:val="auto"/>
                <w:szCs w:val="24"/>
                <w:lang w:eastAsia="en-GB"/>
              </w:rPr>
            </w:pPr>
          </w:p>
        </w:tc>
        <w:tc>
          <w:tcPr>
            <w:tcW w:w="0" w:type="auto"/>
            <w:hideMark/>
          </w:tcPr>
          <w:p w14:paraId="5A0D799D" w14:textId="77777777" w:rsidR="00F46C6C" w:rsidRPr="001E327D" w:rsidRDefault="00F46C6C" w:rsidP="00967D15">
            <w:pPr>
              <w:rPr>
                <w:rFonts w:ascii="Arial" w:hAnsi="Arial" w:cs="Arial"/>
                <w:color w:val="auto"/>
                <w:szCs w:val="24"/>
                <w:lang w:eastAsia="en-GB"/>
              </w:rPr>
            </w:pPr>
            <w:r w:rsidRPr="001E327D">
              <w:rPr>
                <w:rFonts w:ascii="Arial" w:hAnsi="Arial" w:cs="Arial"/>
                <w:color w:val="auto"/>
                <w:szCs w:val="24"/>
                <w:lang w:eastAsia="en-GB"/>
              </w:rPr>
              <w:t>Net Profit Margin</w:t>
            </w:r>
          </w:p>
        </w:tc>
        <w:tc>
          <w:tcPr>
            <w:tcW w:w="0" w:type="auto"/>
            <w:hideMark/>
          </w:tcPr>
          <w:p w14:paraId="51FF50DA" w14:textId="77777777" w:rsidR="00F46C6C" w:rsidRPr="001E327D" w:rsidRDefault="00F46C6C" w:rsidP="00967D15">
            <w:pPr>
              <w:rPr>
                <w:rFonts w:ascii="Arial" w:hAnsi="Arial" w:cs="Arial"/>
                <w:color w:val="auto"/>
                <w:szCs w:val="24"/>
                <w:lang w:eastAsia="en-GB"/>
              </w:rPr>
            </w:pPr>
            <w:r w:rsidRPr="001E327D">
              <w:rPr>
                <w:rFonts w:ascii="Arial" w:hAnsi="Arial" w:cs="Arial"/>
                <w:color w:val="auto"/>
                <w:szCs w:val="24"/>
                <w:lang w:eastAsia="en-GB"/>
              </w:rPr>
              <w:t>(Net Income / Revenue) × 100</w:t>
            </w:r>
          </w:p>
        </w:tc>
        <w:tc>
          <w:tcPr>
            <w:tcW w:w="0" w:type="auto"/>
            <w:hideMark/>
          </w:tcPr>
          <w:p w14:paraId="4ACDACB6" w14:textId="77777777" w:rsidR="00F46C6C" w:rsidRPr="001E327D" w:rsidRDefault="00F46C6C" w:rsidP="00967D15">
            <w:pPr>
              <w:rPr>
                <w:rFonts w:ascii="Arial" w:hAnsi="Arial" w:cs="Arial"/>
                <w:color w:val="auto"/>
                <w:szCs w:val="24"/>
                <w:lang w:eastAsia="en-GB"/>
              </w:rPr>
            </w:pPr>
            <w:r w:rsidRPr="001E327D">
              <w:rPr>
                <w:rFonts w:ascii="Arial" w:hAnsi="Arial" w:cs="Arial"/>
                <w:color w:val="auto"/>
                <w:szCs w:val="24"/>
                <w:lang w:eastAsia="en-GB"/>
              </w:rPr>
              <w:t>6.36%</w:t>
            </w:r>
          </w:p>
        </w:tc>
        <w:tc>
          <w:tcPr>
            <w:tcW w:w="0" w:type="auto"/>
            <w:hideMark/>
          </w:tcPr>
          <w:p w14:paraId="4F67A313" w14:textId="77777777" w:rsidR="00F46C6C" w:rsidRPr="001E327D" w:rsidRDefault="00F46C6C" w:rsidP="00967D15">
            <w:pPr>
              <w:rPr>
                <w:rFonts w:ascii="Arial" w:hAnsi="Arial" w:cs="Arial"/>
                <w:color w:val="auto"/>
                <w:szCs w:val="24"/>
                <w:lang w:eastAsia="en-GB"/>
              </w:rPr>
            </w:pPr>
            <w:r w:rsidRPr="001E327D">
              <w:rPr>
                <w:rFonts w:ascii="Arial" w:hAnsi="Arial" w:cs="Arial"/>
                <w:color w:val="auto"/>
                <w:szCs w:val="24"/>
                <w:lang w:eastAsia="en-GB"/>
              </w:rPr>
              <w:t>5.74%</w:t>
            </w:r>
          </w:p>
        </w:tc>
        <w:tc>
          <w:tcPr>
            <w:tcW w:w="1186" w:type="dxa"/>
            <w:hideMark/>
          </w:tcPr>
          <w:p w14:paraId="55E7EB64" w14:textId="77777777" w:rsidR="00F46C6C" w:rsidRPr="001E327D" w:rsidRDefault="00F46C6C" w:rsidP="00967D15">
            <w:pPr>
              <w:rPr>
                <w:rFonts w:ascii="Arial" w:hAnsi="Arial" w:cs="Arial"/>
                <w:color w:val="auto"/>
                <w:szCs w:val="24"/>
                <w:lang w:eastAsia="en-GB"/>
              </w:rPr>
            </w:pPr>
            <w:r w:rsidRPr="001E327D">
              <w:rPr>
                <w:rFonts w:ascii="Arial" w:hAnsi="Arial" w:cs="Arial"/>
                <w:color w:val="auto"/>
                <w:szCs w:val="24"/>
                <w:lang w:eastAsia="en-GB"/>
              </w:rPr>
              <w:t>-48.79%</w:t>
            </w:r>
          </w:p>
        </w:tc>
      </w:tr>
      <w:tr w:rsidR="00F46C6C" w:rsidRPr="001E327D" w14:paraId="7F26D477" w14:textId="77777777" w:rsidTr="00967D15">
        <w:tc>
          <w:tcPr>
            <w:tcW w:w="0" w:type="auto"/>
            <w:vMerge/>
            <w:hideMark/>
          </w:tcPr>
          <w:p w14:paraId="154B72A7" w14:textId="77777777" w:rsidR="00F46C6C" w:rsidRPr="001E327D" w:rsidRDefault="00F46C6C" w:rsidP="00967D15">
            <w:pPr>
              <w:rPr>
                <w:rFonts w:ascii="Arial" w:hAnsi="Arial" w:cs="Arial"/>
                <w:color w:val="auto"/>
                <w:szCs w:val="24"/>
                <w:lang w:eastAsia="en-GB"/>
              </w:rPr>
            </w:pPr>
          </w:p>
        </w:tc>
        <w:tc>
          <w:tcPr>
            <w:tcW w:w="0" w:type="auto"/>
            <w:hideMark/>
          </w:tcPr>
          <w:p w14:paraId="0A7A20C7" w14:textId="77777777" w:rsidR="00F46C6C" w:rsidRPr="001E327D" w:rsidRDefault="00F46C6C" w:rsidP="00967D15">
            <w:pPr>
              <w:rPr>
                <w:rFonts w:ascii="Arial" w:hAnsi="Arial" w:cs="Arial"/>
                <w:color w:val="auto"/>
                <w:szCs w:val="24"/>
                <w:lang w:eastAsia="en-GB"/>
              </w:rPr>
            </w:pPr>
            <w:r w:rsidRPr="001E327D">
              <w:rPr>
                <w:rFonts w:ascii="Arial" w:hAnsi="Arial" w:cs="Arial"/>
                <w:color w:val="auto"/>
                <w:szCs w:val="24"/>
                <w:lang w:eastAsia="en-GB"/>
              </w:rPr>
              <w:t>Return on Assets (ROA)</w:t>
            </w:r>
          </w:p>
        </w:tc>
        <w:tc>
          <w:tcPr>
            <w:tcW w:w="0" w:type="auto"/>
            <w:hideMark/>
          </w:tcPr>
          <w:p w14:paraId="0A4816F0" w14:textId="77777777" w:rsidR="00F46C6C" w:rsidRPr="001E327D" w:rsidRDefault="00F46C6C" w:rsidP="00967D15">
            <w:pPr>
              <w:rPr>
                <w:rFonts w:ascii="Arial" w:hAnsi="Arial" w:cs="Arial"/>
                <w:color w:val="auto"/>
                <w:szCs w:val="24"/>
                <w:lang w:eastAsia="en-GB"/>
              </w:rPr>
            </w:pPr>
            <w:r w:rsidRPr="001E327D">
              <w:rPr>
                <w:rFonts w:ascii="Arial" w:hAnsi="Arial" w:cs="Arial"/>
                <w:color w:val="auto"/>
                <w:szCs w:val="24"/>
                <w:lang w:eastAsia="en-GB"/>
              </w:rPr>
              <w:t>(Net Income / Total Assets) × 100</w:t>
            </w:r>
          </w:p>
        </w:tc>
        <w:tc>
          <w:tcPr>
            <w:tcW w:w="0" w:type="auto"/>
            <w:hideMark/>
          </w:tcPr>
          <w:p w14:paraId="0AA4A1D9" w14:textId="77777777" w:rsidR="00F46C6C" w:rsidRPr="001E327D" w:rsidRDefault="00F46C6C" w:rsidP="00967D15">
            <w:pPr>
              <w:rPr>
                <w:rFonts w:ascii="Arial" w:hAnsi="Arial" w:cs="Arial"/>
                <w:color w:val="auto"/>
                <w:szCs w:val="24"/>
                <w:lang w:eastAsia="en-GB"/>
              </w:rPr>
            </w:pPr>
            <w:r w:rsidRPr="001E327D">
              <w:rPr>
                <w:rFonts w:ascii="Arial" w:hAnsi="Arial" w:cs="Arial"/>
                <w:color w:val="auto"/>
                <w:szCs w:val="24"/>
                <w:lang w:eastAsia="en-GB"/>
              </w:rPr>
              <w:t>5.13%</w:t>
            </w:r>
          </w:p>
        </w:tc>
        <w:tc>
          <w:tcPr>
            <w:tcW w:w="0" w:type="auto"/>
            <w:hideMark/>
          </w:tcPr>
          <w:p w14:paraId="68E1BF32" w14:textId="77777777" w:rsidR="00F46C6C" w:rsidRPr="001E327D" w:rsidRDefault="00F46C6C" w:rsidP="00967D15">
            <w:pPr>
              <w:rPr>
                <w:rFonts w:ascii="Arial" w:hAnsi="Arial" w:cs="Arial"/>
                <w:color w:val="auto"/>
                <w:szCs w:val="24"/>
                <w:lang w:eastAsia="en-GB"/>
              </w:rPr>
            </w:pPr>
            <w:r w:rsidRPr="001E327D">
              <w:rPr>
                <w:rFonts w:ascii="Arial" w:hAnsi="Arial" w:cs="Arial"/>
                <w:color w:val="auto"/>
                <w:szCs w:val="24"/>
                <w:lang w:eastAsia="en-GB"/>
              </w:rPr>
              <w:t>4.23%</w:t>
            </w:r>
          </w:p>
        </w:tc>
        <w:tc>
          <w:tcPr>
            <w:tcW w:w="1186" w:type="dxa"/>
            <w:hideMark/>
          </w:tcPr>
          <w:p w14:paraId="3770D84D" w14:textId="77777777" w:rsidR="00F46C6C" w:rsidRPr="001E327D" w:rsidRDefault="00F46C6C" w:rsidP="00967D15">
            <w:pPr>
              <w:rPr>
                <w:rFonts w:ascii="Arial" w:hAnsi="Arial" w:cs="Arial"/>
                <w:color w:val="auto"/>
                <w:szCs w:val="24"/>
                <w:lang w:eastAsia="en-GB"/>
              </w:rPr>
            </w:pPr>
            <w:r w:rsidRPr="001E327D">
              <w:rPr>
                <w:rFonts w:ascii="Arial" w:hAnsi="Arial" w:cs="Arial"/>
                <w:color w:val="auto"/>
                <w:szCs w:val="24"/>
                <w:lang w:eastAsia="en-GB"/>
              </w:rPr>
              <w:t>-7.25%</w:t>
            </w:r>
          </w:p>
        </w:tc>
      </w:tr>
      <w:tr w:rsidR="00F46C6C" w:rsidRPr="001E327D" w14:paraId="41F53301" w14:textId="77777777" w:rsidTr="00967D15">
        <w:tc>
          <w:tcPr>
            <w:tcW w:w="0" w:type="auto"/>
            <w:vMerge w:val="restart"/>
            <w:hideMark/>
          </w:tcPr>
          <w:p w14:paraId="0FB1D8E9" w14:textId="77777777" w:rsidR="00F46C6C" w:rsidRPr="001E327D" w:rsidRDefault="00F46C6C" w:rsidP="00967D15">
            <w:pPr>
              <w:rPr>
                <w:rFonts w:ascii="Arial" w:hAnsi="Arial" w:cs="Arial"/>
                <w:color w:val="auto"/>
                <w:szCs w:val="24"/>
                <w:lang w:eastAsia="en-GB"/>
              </w:rPr>
            </w:pPr>
            <w:r w:rsidRPr="001E327D">
              <w:rPr>
                <w:rFonts w:ascii="Arial" w:hAnsi="Arial" w:cs="Arial"/>
                <w:color w:val="auto"/>
                <w:szCs w:val="24"/>
                <w:lang w:eastAsia="en-GB"/>
              </w:rPr>
              <w:t>Liquidity</w:t>
            </w:r>
          </w:p>
        </w:tc>
        <w:tc>
          <w:tcPr>
            <w:tcW w:w="0" w:type="auto"/>
            <w:hideMark/>
          </w:tcPr>
          <w:p w14:paraId="34DB29E7" w14:textId="77777777" w:rsidR="00F46C6C" w:rsidRPr="001E327D" w:rsidRDefault="00F46C6C" w:rsidP="00967D15">
            <w:pPr>
              <w:rPr>
                <w:rFonts w:ascii="Arial" w:hAnsi="Arial" w:cs="Arial"/>
                <w:color w:val="auto"/>
                <w:szCs w:val="24"/>
                <w:lang w:eastAsia="en-GB"/>
              </w:rPr>
            </w:pPr>
            <w:r w:rsidRPr="001E327D">
              <w:rPr>
                <w:rFonts w:ascii="Arial" w:hAnsi="Arial" w:cs="Arial"/>
                <w:color w:val="auto"/>
                <w:szCs w:val="24"/>
                <w:lang w:eastAsia="en-GB"/>
              </w:rPr>
              <w:t>Current Ratio</w:t>
            </w:r>
          </w:p>
        </w:tc>
        <w:tc>
          <w:tcPr>
            <w:tcW w:w="0" w:type="auto"/>
            <w:hideMark/>
          </w:tcPr>
          <w:p w14:paraId="56E352CA" w14:textId="77777777" w:rsidR="00F46C6C" w:rsidRPr="001E327D" w:rsidRDefault="00F46C6C" w:rsidP="00967D15">
            <w:pPr>
              <w:rPr>
                <w:rFonts w:ascii="Arial" w:hAnsi="Arial" w:cs="Arial"/>
                <w:color w:val="auto"/>
                <w:szCs w:val="24"/>
                <w:lang w:eastAsia="en-GB"/>
              </w:rPr>
            </w:pPr>
            <w:r w:rsidRPr="001E327D">
              <w:rPr>
                <w:rFonts w:ascii="Arial" w:hAnsi="Arial" w:cs="Arial"/>
                <w:color w:val="auto"/>
                <w:szCs w:val="24"/>
                <w:lang w:eastAsia="en-GB"/>
              </w:rPr>
              <w:t>Current Assets / Current Liabilities</w:t>
            </w:r>
          </w:p>
        </w:tc>
        <w:tc>
          <w:tcPr>
            <w:tcW w:w="0" w:type="auto"/>
            <w:hideMark/>
          </w:tcPr>
          <w:p w14:paraId="69EC0159" w14:textId="77777777" w:rsidR="00F46C6C" w:rsidRPr="001E327D" w:rsidRDefault="00F46C6C" w:rsidP="00967D15">
            <w:pPr>
              <w:rPr>
                <w:rFonts w:ascii="Arial" w:hAnsi="Arial" w:cs="Arial"/>
                <w:color w:val="auto"/>
                <w:szCs w:val="24"/>
                <w:lang w:eastAsia="en-GB"/>
              </w:rPr>
            </w:pPr>
            <w:r w:rsidRPr="001E327D">
              <w:rPr>
                <w:rFonts w:ascii="Arial" w:hAnsi="Arial" w:cs="Arial"/>
                <w:color w:val="auto"/>
                <w:szCs w:val="24"/>
                <w:lang w:eastAsia="en-GB"/>
              </w:rPr>
              <w:t>0.97</w:t>
            </w:r>
          </w:p>
        </w:tc>
        <w:tc>
          <w:tcPr>
            <w:tcW w:w="0" w:type="auto"/>
            <w:hideMark/>
          </w:tcPr>
          <w:p w14:paraId="1DFC97BD" w14:textId="77777777" w:rsidR="00F46C6C" w:rsidRPr="001E327D" w:rsidRDefault="00F46C6C" w:rsidP="00967D15">
            <w:pPr>
              <w:rPr>
                <w:rFonts w:ascii="Arial" w:hAnsi="Arial" w:cs="Arial"/>
                <w:color w:val="auto"/>
                <w:szCs w:val="24"/>
                <w:lang w:eastAsia="en-GB"/>
              </w:rPr>
            </w:pPr>
            <w:r w:rsidRPr="001E327D">
              <w:rPr>
                <w:rFonts w:ascii="Arial" w:hAnsi="Arial" w:cs="Arial"/>
                <w:color w:val="auto"/>
                <w:szCs w:val="24"/>
                <w:lang w:eastAsia="en-GB"/>
              </w:rPr>
              <w:t>0.93</w:t>
            </w:r>
          </w:p>
        </w:tc>
        <w:tc>
          <w:tcPr>
            <w:tcW w:w="1186" w:type="dxa"/>
            <w:hideMark/>
          </w:tcPr>
          <w:p w14:paraId="7E55F06B" w14:textId="77777777" w:rsidR="00F46C6C" w:rsidRPr="001E327D" w:rsidRDefault="00F46C6C" w:rsidP="00967D15">
            <w:pPr>
              <w:rPr>
                <w:rFonts w:ascii="Arial" w:hAnsi="Arial" w:cs="Arial"/>
                <w:color w:val="auto"/>
                <w:szCs w:val="24"/>
                <w:lang w:eastAsia="en-GB"/>
              </w:rPr>
            </w:pPr>
            <w:r w:rsidRPr="001E327D">
              <w:rPr>
                <w:rFonts w:ascii="Arial" w:hAnsi="Arial" w:cs="Arial"/>
                <w:color w:val="auto"/>
                <w:szCs w:val="24"/>
                <w:lang w:eastAsia="en-GB"/>
              </w:rPr>
              <w:t>0.64</w:t>
            </w:r>
          </w:p>
        </w:tc>
      </w:tr>
      <w:tr w:rsidR="00F46C6C" w:rsidRPr="001E327D" w14:paraId="242D0506" w14:textId="77777777" w:rsidTr="00967D15">
        <w:tc>
          <w:tcPr>
            <w:tcW w:w="0" w:type="auto"/>
            <w:vMerge/>
            <w:hideMark/>
          </w:tcPr>
          <w:p w14:paraId="76B28A32" w14:textId="77777777" w:rsidR="00F46C6C" w:rsidRPr="001E327D" w:rsidRDefault="00F46C6C" w:rsidP="00967D15">
            <w:pPr>
              <w:rPr>
                <w:rFonts w:ascii="Arial" w:hAnsi="Arial" w:cs="Arial"/>
                <w:color w:val="auto"/>
                <w:szCs w:val="24"/>
                <w:lang w:eastAsia="en-GB"/>
              </w:rPr>
            </w:pPr>
          </w:p>
        </w:tc>
        <w:tc>
          <w:tcPr>
            <w:tcW w:w="0" w:type="auto"/>
            <w:hideMark/>
          </w:tcPr>
          <w:p w14:paraId="3A6CA264" w14:textId="77777777" w:rsidR="00F46C6C" w:rsidRPr="001E327D" w:rsidRDefault="00F46C6C" w:rsidP="00967D15">
            <w:pPr>
              <w:rPr>
                <w:rFonts w:ascii="Arial" w:hAnsi="Arial" w:cs="Arial"/>
                <w:color w:val="auto"/>
                <w:szCs w:val="24"/>
                <w:lang w:eastAsia="en-GB"/>
              </w:rPr>
            </w:pPr>
            <w:r w:rsidRPr="001E327D">
              <w:rPr>
                <w:rFonts w:ascii="Arial" w:hAnsi="Arial" w:cs="Arial"/>
                <w:color w:val="auto"/>
                <w:szCs w:val="24"/>
                <w:lang w:eastAsia="en-GB"/>
              </w:rPr>
              <w:t>Quick Ratio</w:t>
            </w:r>
          </w:p>
        </w:tc>
        <w:tc>
          <w:tcPr>
            <w:tcW w:w="0" w:type="auto"/>
            <w:hideMark/>
          </w:tcPr>
          <w:p w14:paraId="749EA47A" w14:textId="77777777" w:rsidR="00F46C6C" w:rsidRPr="001E327D" w:rsidRDefault="00F46C6C" w:rsidP="00967D15">
            <w:pPr>
              <w:rPr>
                <w:rFonts w:ascii="Arial" w:hAnsi="Arial" w:cs="Arial"/>
                <w:color w:val="auto"/>
                <w:szCs w:val="24"/>
                <w:lang w:eastAsia="en-GB"/>
              </w:rPr>
            </w:pPr>
            <w:r w:rsidRPr="001E327D">
              <w:rPr>
                <w:rFonts w:ascii="Arial" w:hAnsi="Arial" w:cs="Arial"/>
                <w:color w:val="auto"/>
                <w:szCs w:val="24"/>
                <w:lang w:eastAsia="en-GB"/>
              </w:rPr>
              <w:t>(Current Assets - Inventory) / Current Liabilities</w:t>
            </w:r>
          </w:p>
        </w:tc>
        <w:tc>
          <w:tcPr>
            <w:tcW w:w="0" w:type="auto"/>
            <w:hideMark/>
          </w:tcPr>
          <w:p w14:paraId="0518C779" w14:textId="77777777" w:rsidR="00F46C6C" w:rsidRPr="001E327D" w:rsidRDefault="00F46C6C" w:rsidP="00967D15">
            <w:pPr>
              <w:rPr>
                <w:rFonts w:ascii="Arial" w:hAnsi="Arial" w:cs="Arial"/>
                <w:color w:val="auto"/>
                <w:szCs w:val="24"/>
                <w:lang w:eastAsia="en-GB"/>
              </w:rPr>
            </w:pPr>
            <w:r w:rsidRPr="001E327D">
              <w:rPr>
                <w:rFonts w:ascii="Arial" w:hAnsi="Arial" w:cs="Arial"/>
                <w:color w:val="auto"/>
                <w:szCs w:val="24"/>
                <w:lang w:eastAsia="en-GB"/>
              </w:rPr>
              <w:t>0.94</w:t>
            </w:r>
          </w:p>
        </w:tc>
        <w:tc>
          <w:tcPr>
            <w:tcW w:w="0" w:type="auto"/>
            <w:hideMark/>
          </w:tcPr>
          <w:p w14:paraId="22A916D8" w14:textId="77777777" w:rsidR="00F46C6C" w:rsidRPr="001E327D" w:rsidRDefault="00F46C6C" w:rsidP="00967D15">
            <w:pPr>
              <w:rPr>
                <w:rFonts w:ascii="Arial" w:hAnsi="Arial" w:cs="Arial"/>
                <w:color w:val="auto"/>
                <w:szCs w:val="24"/>
                <w:lang w:eastAsia="en-GB"/>
              </w:rPr>
            </w:pPr>
            <w:r w:rsidRPr="001E327D">
              <w:rPr>
                <w:rFonts w:ascii="Arial" w:hAnsi="Arial" w:cs="Arial"/>
                <w:color w:val="auto"/>
                <w:szCs w:val="24"/>
                <w:lang w:eastAsia="en-GB"/>
              </w:rPr>
              <w:t>0.91</w:t>
            </w:r>
          </w:p>
        </w:tc>
        <w:tc>
          <w:tcPr>
            <w:tcW w:w="1186" w:type="dxa"/>
            <w:hideMark/>
          </w:tcPr>
          <w:p w14:paraId="4BDE248D" w14:textId="77777777" w:rsidR="00F46C6C" w:rsidRPr="001E327D" w:rsidRDefault="00F46C6C" w:rsidP="00967D15">
            <w:pPr>
              <w:rPr>
                <w:rFonts w:ascii="Arial" w:hAnsi="Arial" w:cs="Arial"/>
                <w:color w:val="auto"/>
                <w:szCs w:val="24"/>
                <w:lang w:eastAsia="en-GB"/>
              </w:rPr>
            </w:pPr>
            <w:r w:rsidRPr="001E327D">
              <w:rPr>
                <w:rFonts w:ascii="Arial" w:hAnsi="Arial" w:cs="Arial"/>
                <w:color w:val="auto"/>
                <w:szCs w:val="24"/>
                <w:lang w:eastAsia="en-GB"/>
              </w:rPr>
              <w:t>0.63</w:t>
            </w:r>
          </w:p>
        </w:tc>
      </w:tr>
      <w:tr w:rsidR="00F46C6C" w:rsidRPr="001E327D" w14:paraId="0DB4AD65" w14:textId="77777777" w:rsidTr="00967D15">
        <w:tc>
          <w:tcPr>
            <w:tcW w:w="0" w:type="auto"/>
            <w:vMerge w:val="restart"/>
            <w:hideMark/>
          </w:tcPr>
          <w:p w14:paraId="6E267BD0" w14:textId="77777777" w:rsidR="00F46C6C" w:rsidRPr="001E327D" w:rsidRDefault="00F46C6C" w:rsidP="00967D15">
            <w:pPr>
              <w:rPr>
                <w:rFonts w:ascii="Arial" w:hAnsi="Arial" w:cs="Arial"/>
                <w:color w:val="auto"/>
                <w:szCs w:val="24"/>
                <w:lang w:eastAsia="en-GB"/>
              </w:rPr>
            </w:pPr>
            <w:r w:rsidRPr="001E327D">
              <w:rPr>
                <w:rFonts w:ascii="Arial" w:hAnsi="Arial" w:cs="Arial"/>
                <w:color w:val="auto"/>
                <w:szCs w:val="24"/>
                <w:lang w:eastAsia="en-GB"/>
              </w:rPr>
              <w:t>Solvency</w:t>
            </w:r>
          </w:p>
        </w:tc>
        <w:tc>
          <w:tcPr>
            <w:tcW w:w="0" w:type="auto"/>
            <w:hideMark/>
          </w:tcPr>
          <w:p w14:paraId="5568C316" w14:textId="77777777" w:rsidR="00F46C6C" w:rsidRPr="001E327D" w:rsidRDefault="00F46C6C" w:rsidP="00967D15">
            <w:pPr>
              <w:rPr>
                <w:rFonts w:ascii="Arial" w:hAnsi="Arial" w:cs="Arial"/>
                <w:color w:val="auto"/>
                <w:szCs w:val="24"/>
                <w:lang w:eastAsia="en-GB"/>
              </w:rPr>
            </w:pPr>
            <w:r w:rsidRPr="001E327D">
              <w:rPr>
                <w:rFonts w:ascii="Arial" w:hAnsi="Arial" w:cs="Arial"/>
                <w:color w:val="auto"/>
                <w:szCs w:val="24"/>
                <w:lang w:eastAsia="en-GB"/>
              </w:rPr>
              <w:t>Debt to Equity Ratio</w:t>
            </w:r>
          </w:p>
        </w:tc>
        <w:tc>
          <w:tcPr>
            <w:tcW w:w="0" w:type="auto"/>
            <w:hideMark/>
          </w:tcPr>
          <w:p w14:paraId="2F110BD1" w14:textId="77777777" w:rsidR="00F46C6C" w:rsidRPr="001E327D" w:rsidRDefault="00F46C6C" w:rsidP="00967D15">
            <w:pPr>
              <w:rPr>
                <w:rFonts w:ascii="Arial" w:hAnsi="Arial" w:cs="Arial"/>
                <w:color w:val="auto"/>
                <w:szCs w:val="24"/>
                <w:lang w:eastAsia="en-GB"/>
              </w:rPr>
            </w:pPr>
            <w:r w:rsidRPr="001E327D">
              <w:rPr>
                <w:rFonts w:ascii="Arial" w:hAnsi="Arial" w:cs="Arial"/>
                <w:color w:val="auto"/>
                <w:szCs w:val="24"/>
                <w:lang w:eastAsia="en-GB"/>
              </w:rPr>
              <w:t>Total Liabilities / Total Equity</w:t>
            </w:r>
          </w:p>
        </w:tc>
        <w:tc>
          <w:tcPr>
            <w:tcW w:w="0" w:type="auto"/>
            <w:hideMark/>
          </w:tcPr>
          <w:p w14:paraId="3BFF2F30" w14:textId="77777777" w:rsidR="00F46C6C" w:rsidRPr="001E327D" w:rsidRDefault="00F46C6C" w:rsidP="00967D15">
            <w:pPr>
              <w:rPr>
                <w:rFonts w:ascii="Arial" w:hAnsi="Arial" w:cs="Arial"/>
                <w:color w:val="auto"/>
                <w:szCs w:val="24"/>
                <w:lang w:eastAsia="en-GB"/>
              </w:rPr>
            </w:pPr>
            <w:r w:rsidRPr="001E327D">
              <w:rPr>
                <w:rFonts w:ascii="Arial" w:hAnsi="Arial" w:cs="Arial"/>
                <w:color w:val="auto"/>
                <w:szCs w:val="24"/>
                <w:lang w:eastAsia="en-GB"/>
              </w:rPr>
              <w:t>4.74</w:t>
            </w:r>
          </w:p>
        </w:tc>
        <w:tc>
          <w:tcPr>
            <w:tcW w:w="0" w:type="auto"/>
            <w:hideMark/>
          </w:tcPr>
          <w:p w14:paraId="47C20B3F" w14:textId="77777777" w:rsidR="00F46C6C" w:rsidRPr="001E327D" w:rsidRDefault="00F46C6C" w:rsidP="00967D15">
            <w:pPr>
              <w:rPr>
                <w:rFonts w:ascii="Arial" w:hAnsi="Arial" w:cs="Arial"/>
                <w:color w:val="auto"/>
                <w:szCs w:val="24"/>
                <w:lang w:eastAsia="en-GB"/>
              </w:rPr>
            </w:pPr>
            <w:r w:rsidRPr="001E327D">
              <w:rPr>
                <w:rFonts w:ascii="Arial" w:hAnsi="Arial" w:cs="Arial"/>
                <w:color w:val="auto"/>
                <w:szCs w:val="24"/>
                <w:lang w:eastAsia="en-GB"/>
              </w:rPr>
              <w:t>5.16</w:t>
            </w:r>
          </w:p>
        </w:tc>
        <w:tc>
          <w:tcPr>
            <w:tcW w:w="1186" w:type="dxa"/>
            <w:hideMark/>
          </w:tcPr>
          <w:p w14:paraId="7A363C4F" w14:textId="77777777" w:rsidR="00F46C6C" w:rsidRPr="001E327D" w:rsidRDefault="00F46C6C" w:rsidP="00967D15">
            <w:pPr>
              <w:rPr>
                <w:rFonts w:ascii="Arial" w:hAnsi="Arial" w:cs="Arial"/>
                <w:color w:val="auto"/>
                <w:szCs w:val="24"/>
                <w:lang w:eastAsia="en-GB"/>
              </w:rPr>
            </w:pPr>
            <w:r w:rsidRPr="001E327D">
              <w:rPr>
                <w:rFonts w:ascii="Arial" w:hAnsi="Arial" w:cs="Arial"/>
                <w:color w:val="auto"/>
                <w:szCs w:val="24"/>
                <w:lang w:eastAsia="en-GB"/>
              </w:rPr>
              <w:t>10.10</w:t>
            </w:r>
          </w:p>
        </w:tc>
      </w:tr>
      <w:tr w:rsidR="00F46C6C" w:rsidRPr="001E327D" w14:paraId="322E24BF" w14:textId="77777777" w:rsidTr="00967D15">
        <w:tc>
          <w:tcPr>
            <w:tcW w:w="0" w:type="auto"/>
            <w:vMerge/>
            <w:hideMark/>
          </w:tcPr>
          <w:p w14:paraId="676CB78F" w14:textId="77777777" w:rsidR="00F46C6C" w:rsidRPr="001E327D" w:rsidRDefault="00F46C6C" w:rsidP="00967D15">
            <w:pPr>
              <w:rPr>
                <w:rFonts w:ascii="Arial" w:hAnsi="Arial" w:cs="Arial"/>
                <w:color w:val="auto"/>
                <w:szCs w:val="24"/>
                <w:lang w:eastAsia="en-GB"/>
              </w:rPr>
            </w:pPr>
          </w:p>
        </w:tc>
        <w:tc>
          <w:tcPr>
            <w:tcW w:w="0" w:type="auto"/>
            <w:hideMark/>
          </w:tcPr>
          <w:p w14:paraId="50CAC7CF" w14:textId="77777777" w:rsidR="00F46C6C" w:rsidRPr="001E327D" w:rsidRDefault="00F46C6C" w:rsidP="00967D15">
            <w:pPr>
              <w:rPr>
                <w:rFonts w:ascii="Arial" w:hAnsi="Arial" w:cs="Arial"/>
                <w:color w:val="auto"/>
                <w:szCs w:val="24"/>
                <w:lang w:eastAsia="en-GB"/>
              </w:rPr>
            </w:pPr>
            <w:r w:rsidRPr="001E327D">
              <w:rPr>
                <w:rFonts w:ascii="Arial" w:hAnsi="Arial" w:cs="Arial"/>
                <w:color w:val="auto"/>
                <w:szCs w:val="24"/>
                <w:lang w:eastAsia="en-GB"/>
              </w:rPr>
              <w:t>Interest Coverage Ratio</w:t>
            </w:r>
          </w:p>
        </w:tc>
        <w:tc>
          <w:tcPr>
            <w:tcW w:w="0" w:type="auto"/>
            <w:hideMark/>
          </w:tcPr>
          <w:p w14:paraId="0E602865" w14:textId="77777777" w:rsidR="00F46C6C" w:rsidRPr="001E327D" w:rsidRDefault="00F46C6C" w:rsidP="00967D15">
            <w:pPr>
              <w:rPr>
                <w:rFonts w:ascii="Arial" w:hAnsi="Arial" w:cs="Arial"/>
                <w:color w:val="auto"/>
                <w:szCs w:val="24"/>
                <w:lang w:eastAsia="en-GB"/>
              </w:rPr>
            </w:pPr>
            <w:r w:rsidRPr="001E327D">
              <w:rPr>
                <w:rFonts w:ascii="Arial" w:hAnsi="Arial" w:cs="Arial"/>
                <w:color w:val="auto"/>
                <w:szCs w:val="24"/>
                <w:lang w:eastAsia="en-GB"/>
              </w:rPr>
              <w:t>Operating Income / Interest Expense</w:t>
            </w:r>
          </w:p>
        </w:tc>
        <w:tc>
          <w:tcPr>
            <w:tcW w:w="0" w:type="auto"/>
            <w:hideMark/>
          </w:tcPr>
          <w:p w14:paraId="19FA5627" w14:textId="77777777" w:rsidR="00F46C6C" w:rsidRPr="001E327D" w:rsidRDefault="00F46C6C" w:rsidP="00967D15">
            <w:pPr>
              <w:rPr>
                <w:rFonts w:ascii="Arial" w:hAnsi="Arial" w:cs="Arial"/>
                <w:color w:val="auto"/>
                <w:szCs w:val="24"/>
                <w:lang w:eastAsia="en-GB"/>
              </w:rPr>
            </w:pPr>
            <w:r w:rsidRPr="001E327D">
              <w:rPr>
                <w:rFonts w:ascii="Arial" w:hAnsi="Arial" w:cs="Arial"/>
                <w:color w:val="auto"/>
                <w:szCs w:val="24"/>
                <w:lang w:eastAsia="en-GB"/>
              </w:rPr>
              <w:t>7.36</w:t>
            </w:r>
          </w:p>
        </w:tc>
        <w:tc>
          <w:tcPr>
            <w:tcW w:w="0" w:type="auto"/>
            <w:hideMark/>
          </w:tcPr>
          <w:p w14:paraId="33C7D722" w14:textId="77777777" w:rsidR="00F46C6C" w:rsidRPr="001E327D" w:rsidRDefault="00F46C6C" w:rsidP="00967D15">
            <w:pPr>
              <w:rPr>
                <w:rFonts w:ascii="Arial" w:hAnsi="Arial" w:cs="Arial"/>
                <w:color w:val="auto"/>
                <w:szCs w:val="24"/>
                <w:lang w:eastAsia="en-GB"/>
              </w:rPr>
            </w:pPr>
            <w:r w:rsidRPr="001E327D">
              <w:rPr>
                <w:rFonts w:ascii="Arial" w:hAnsi="Arial" w:cs="Arial"/>
                <w:color w:val="auto"/>
                <w:szCs w:val="24"/>
                <w:lang w:eastAsia="en-GB"/>
              </w:rPr>
              <w:t>7.48</w:t>
            </w:r>
          </w:p>
        </w:tc>
        <w:tc>
          <w:tcPr>
            <w:tcW w:w="1186" w:type="dxa"/>
            <w:hideMark/>
          </w:tcPr>
          <w:p w14:paraId="1494F956" w14:textId="77777777" w:rsidR="00F46C6C" w:rsidRPr="001E327D" w:rsidRDefault="00F46C6C" w:rsidP="00967D15">
            <w:pPr>
              <w:rPr>
                <w:rFonts w:ascii="Arial" w:hAnsi="Arial" w:cs="Arial"/>
                <w:color w:val="auto"/>
                <w:szCs w:val="24"/>
                <w:lang w:eastAsia="en-GB"/>
              </w:rPr>
            </w:pPr>
            <w:r w:rsidRPr="001E327D">
              <w:rPr>
                <w:rFonts w:ascii="Arial" w:hAnsi="Arial" w:cs="Arial"/>
                <w:color w:val="auto"/>
                <w:szCs w:val="24"/>
                <w:lang w:eastAsia="en-GB"/>
              </w:rPr>
              <w:t>-13.52</w:t>
            </w:r>
          </w:p>
        </w:tc>
      </w:tr>
    </w:tbl>
    <w:p w14:paraId="2F447852" w14:textId="77777777" w:rsidR="00F46C6C" w:rsidRPr="001E327D" w:rsidRDefault="00F46C6C" w:rsidP="00F46C6C">
      <w:pPr>
        <w:rPr>
          <w:rFonts w:ascii="Arial" w:hAnsi="Arial" w:cs="Arial"/>
          <w:color w:val="auto"/>
          <w:szCs w:val="24"/>
        </w:rPr>
      </w:pPr>
    </w:p>
    <w:p w14:paraId="70C8BFD2" w14:textId="77777777" w:rsidR="00F46C6C" w:rsidRPr="001E327D" w:rsidRDefault="00F46C6C" w:rsidP="00F46C6C">
      <w:pPr>
        <w:rPr>
          <w:rFonts w:ascii="Arial" w:hAnsi="Arial" w:cs="Arial"/>
          <w:color w:val="auto"/>
          <w:szCs w:val="24"/>
          <w:lang w:eastAsia="en-GB" w:bidi="hi-IN"/>
        </w:rPr>
      </w:pPr>
      <w:r w:rsidRPr="001E327D">
        <w:rPr>
          <w:rFonts w:ascii="Arial" w:hAnsi="Arial" w:cs="Arial"/>
          <w:color w:val="auto"/>
          <w:szCs w:val="24"/>
          <w:lang w:eastAsia="en-GB" w:bidi="hi-IN"/>
        </w:rPr>
        <w:t xml:space="preserve">Key financial ratios for The City Hotel are analysed to discuss its liquidity solvency and profitability challenges. </w:t>
      </w:r>
      <w:r w:rsidRPr="001E327D">
        <w:rPr>
          <w:rFonts w:ascii="Arial" w:hAnsi="Arial" w:cs="Arial"/>
          <w:color w:val="auto"/>
          <w:szCs w:val="24"/>
        </w:rPr>
        <w:t>The ratios reveal significant trends affecting The City Hotel's financial health. Despite a consistent Gross Profit Margin (92%), the Net Profit Margin and ROA show a sharp decline, particularly in 2023, where a large negative Net Profit Margin (-48.79%) and ROA (-7.25%) indicate substantial profitability issues. Liquidity ratios (Current and Quick) have dropped from near 1.0 in 2021 to below 0.65 in 2023, which highlights the increased difficulty in meeting short-term obligations. The Solvency analysis reveals a troubling Debt-to-Equity Ratio, which doubled to 10.10 in 2023, this suggests reduced equity (Asuga, 2024). Additionally, the Interest Coverage Ratio plunged to -13.52 in 2023, that indicates the inability to cover interest expenses from operating income (Saepudin and Rinandiyana, 2024). These metrics indicate urgent financial distress and signal the need for immediate restructuring.</w:t>
      </w:r>
      <w:r w:rsidRPr="001E327D">
        <w:rPr>
          <w:rFonts w:ascii="Arial" w:hAnsi="Arial" w:cs="Arial"/>
          <w:color w:val="auto"/>
          <w:szCs w:val="24"/>
          <w:lang w:val="en-US" w:eastAsia="en-GB" w:bidi="hi-IN"/>
        </w:rPr>
        <w:t xml:space="preserve"> T</w:t>
      </w:r>
      <w:r w:rsidRPr="001E327D">
        <w:rPr>
          <w:rFonts w:ascii="Arial" w:hAnsi="Arial" w:cs="Arial"/>
          <w:color w:val="auto"/>
          <w:szCs w:val="24"/>
          <w:lang w:eastAsia="en-GB" w:bidi="hi-IN"/>
        </w:rPr>
        <w:t>hese ratios point to substantial financial stress coupled with the need for strategic force changes to achieve liquidity, reduce debt dependency and restore profitability toward a long-term stable future.</w:t>
      </w:r>
    </w:p>
    <w:p w14:paraId="6073D9EB" w14:textId="77777777" w:rsidR="00F46C6C" w:rsidRPr="001E327D" w:rsidRDefault="00F46C6C" w:rsidP="00F46C6C">
      <w:pPr>
        <w:rPr>
          <w:rFonts w:ascii="Arial" w:hAnsi="Arial" w:cs="Arial"/>
          <w:color w:val="auto"/>
          <w:szCs w:val="24"/>
          <w:lang w:eastAsia="en-GB" w:bidi="hi-IN"/>
        </w:rPr>
      </w:pPr>
    </w:p>
    <w:p w14:paraId="577BE54F" w14:textId="77777777" w:rsidR="00F46C6C" w:rsidRPr="001E327D" w:rsidRDefault="00F46C6C" w:rsidP="00F46C6C">
      <w:pPr>
        <w:pStyle w:val="Heading1"/>
        <w:rPr>
          <w:rFonts w:ascii="Arial" w:eastAsia="Times New Roman" w:hAnsi="Arial" w:cs="Arial"/>
          <w:color w:val="auto"/>
          <w:kern w:val="0"/>
          <w:sz w:val="24"/>
          <w:szCs w:val="24"/>
          <w:lang w:eastAsia="en-GB" w:bidi="hi-IN"/>
          <w14:ligatures w14:val="none"/>
        </w:rPr>
      </w:pPr>
      <w:bookmarkStart w:id="8" w:name="_Toc182335489"/>
      <w:r w:rsidRPr="001E327D">
        <w:rPr>
          <w:rFonts w:ascii="Arial" w:eastAsia="Times New Roman" w:hAnsi="Arial" w:cs="Arial"/>
          <w:bCs/>
          <w:color w:val="auto"/>
          <w:kern w:val="0"/>
          <w:sz w:val="24"/>
          <w:szCs w:val="24"/>
          <w:lang w:eastAsia="en-GB" w:bidi="hi-IN"/>
          <w14:ligatures w14:val="none"/>
        </w:rPr>
        <w:t>Current Operational Analysis</w:t>
      </w:r>
      <w:bookmarkEnd w:id="8"/>
      <w:r w:rsidRPr="001E327D">
        <w:rPr>
          <w:rFonts w:ascii="Arial" w:eastAsia="Times New Roman" w:hAnsi="Arial" w:cs="Arial"/>
          <w:color w:val="auto"/>
          <w:kern w:val="0"/>
          <w:sz w:val="24"/>
          <w:szCs w:val="24"/>
          <w:lang w:eastAsia="en-GB" w:bidi="hi-IN"/>
          <w14:ligatures w14:val="none"/>
        </w:rPr>
        <w:t> </w:t>
      </w:r>
    </w:p>
    <w:p w14:paraId="4718F8D7" w14:textId="77777777" w:rsidR="00F46C6C" w:rsidRPr="001E327D" w:rsidRDefault="00F46C6C" w:rsidP="00F46C6C">
      <w:pPr>
        <w:rPr>
          <w:rFonts w:ascii="Arial" w:hAnsi="Arial" w:cs="Arial"/>
          <w:szCs w:val="24"/>
          <w:lang w:eastAsia="en-GB" w:bidi="hi-IN"/>
        </w:rPr>
      </w:pPr>
      <w:r w:rsidRPr="001E327D">
        <w:rPr>
          <w:rFonts w:ascii="Arial" w:hAnsi="Arial" w:cs="Arial"/>
          <w:szCs w:val="24"/>
          <w:lang w:val="en-US" w:eastAsia="en-GB" w:bidi="hi-IN"/>
        </w:rPr>
        <w:t>T</w:t>
      </w:r>
      <w:r w:rsidRPr="001E327D">
        <w:rPr>
          <w:rFonts w:ascii="Arial" w:hAnsi="Arial" w:cs="Arial"/>
          <w:szCs w:val="24"/>
          <w:lang w:eastAsia="en-GB" w:bidi="hi-IN"/>
        </w:rPr>
        <w:t>he financial decline of the City Hotel has been influenced with it operational inefficiencies. Some of the key internal issues that always come up are poor cost control, as continued high employee expenses dip only marginally from £1,724,760 in 2021 to £1,233,160 in 2023 despite big revenue decimation (Chen</w:t>
      </w:r>
      <w:r w:rsidRPr="001E327D">
        <w:rPr>
          <w:rFonts w:ascii="Arial" w:hAnsi="Arial" w:cs="Arial"/>
          <w:szCs w:val="24"/>
          <w:lang w:val="en-US" w:eastAsia="en-GB" w:bidi="hi-IN"/>
        </w:rPr>
        <w:t xml:space="preserve"> </w:t>
      </w:r>
      <w:r w:rsidRPr="001E327D">
        <w:rPr>
          <w:rFonts w:ascii="Arial" w:hAnsi="Arial" w:cs="Arial"/>
          <w:i/>
          <w:iCs/>
          <w:szCs w:val="24"/>
          <w:lang w:val="en-US" w:eastAsia="en-GB" w:bidi="hi-IN"/>
        </w:rPr>
        <w:t>et al</w:t>
      </w:r>
      <w:r w:rsidRPr="001E327D">
        <w:rPr>
          <w:rFonts w:ascii="Arial" w:hAnsi="Arial" w:cs="Arial"/>
          <w:i/>
          <w:iCs/>
          <w:szCs w:val="24"/>
          <w:lang w:eastAsia="en-GB" w:bidi="hi-IN"/>
        </w:rPr>
        <w:t>,</w:t>
      </w:r>
      <w:r w:rsidRPr="001E327D">
        <w:rPr>
          <w:rFonts w:ascii="Arial" w:hAnsi="Arial" w:cs="Arial"/>
          <w:szCs w:val="24"/>
          <w:lang w:eastAsia="en-GB" w:bidi="hi-IN"/>
        </w:rPr>
        <w:t xml:space="preserve"> 2023). Finally, as external expenses have fallen from £1,894,720 in 2021 to £1,071,030 in 2023, this too illustrates the current disproportionate relation of costs to shrinking income (Barber</w:t>
      </w:r>
      <w:r w:rsidRPr="001E327D">
        <w:rPr>
          <w:rFonts w:ascii="Arial" w:hAnsi="Arial" w:cs="Arial"/>
          <w:szCs w:val="24"/>
          <w:lang w:val="en-US" w:eastAsia="en-GB" w:bidi="hi-IN"/>
        </w:rPr>
        <w:t xml:space="preserve"> </w:t>
      </w:r>
      <w:r w:rsidRPr="001E327D">
        <w:rPr>
          <w:rFonts w:ascii="Arial" w:hAnsi="Arial" w:cs="Arial"/>
          <w:i/>
          <w:iCs/>
          <w:szCs w:val="24"/>
          <w:lang w:val="en-US" w:eastAsia="en-GB" w:bidi="hi-IN"/>
        </w:rPr>
        <w:t>et al</w:t>
      </w:r>
      <w:r w:rsidRPr="001E327D">
        <w:rPr>
          <w:rFonts w:ascii="Arial" w:hAnsi="Arial" w:cs="Arial"/>
          <w:szCs w:val="24"/>
          <w:lang w:eastAsia="en-GB" w:bidi="hi-IN"/>
        </w:rPr>
        <w:t xml:space="preserve">, 2023). Poor management of fixed cost, as well as poor provision on resources, </w:t>
      </w:r>
      <w:r w:rsidRPr="001E327D">
        <w:rPr>
          <w:rFonts w:ascii="Arial" w:hAnsi="Arial" w:cs="Arial"/>
          <w:szCs w:val="24"/>
          <w:lang w:eastAsia="en-GB" w:bidi="hi-IN"/>
        </w:rPr>
        <w:lastRenderedPageBreak/>
        <w:t>exacerbate operational inefficiencies which then lead to poor profit margins. The increased depreciation and amortisation cost over 61% showed asset intensive operations that stress the cash flow</w:t>
      </w:r>
      <w:r w:rsidRPr="001E327D">
        <w:rPr>
          <w:rFonts w:ascii="Arial" w:hAnsi="Arial" w:cs="Arial"/>
          <w:szCs w:val="24"/>
          <w:lang w:val="en-US" w:eastAsia="en-GB" w:bidi="hi-IN"/>
        </w:rPr>
        <w:t xml:space="preserve"> </w:t>
      </w:r>
      <w:r w:rsidRPr="001E327D">
        <w:rPr>
          <w:rFonts w:ascii="Arial" w:hAnsi="Arial" w:cs="Arial"/>
          <w:color w:val="000000"/>
          <w:szCs w:val="24"/>
        </w:rPr>
        <w:t>(Shanshool and Al-Mashhadani, 2024)</w:t>
      </w:r>
      <w:r w:rsidRPr="001E327D">
        <w:rPr>
          <w:rFonts w:ascii="Arial" w:hAnsi="Arial" w:cs="Arial"/>
          <w:szCs w:val="24"/>
          <w:lang w:eastAsia="en-GB" w:bidi="hi-IN"/>
        </w:rPr>
        <w:t>. Collectively, these factors show that strategic cost management has its own weaknesses, which have created instability of the hotel's financial positions as well as reduced its operational efficiency.</w:t>
      </w:r>
    </w:p>
    <w:p w14:paraId="240F3496" w14:textId="77777777" w:rsidR="00F46C6C" w:rsidRPr="001E327D" w:rsidRDefault="00F46C6C" w:rsidP="00F46C6C">
      <w:pPr>
        <w:pStyle w:val="Heading1"/>
        <w:rPr>
          <w:rFonts w:ascii="Arial" w:eastAsia="Times New Roman" w:hAnsi="Arial" w:cs="Arial"/>
          <w:color w:val="auto"/>
          <w:kern w:val="0"/>
          <w:sz w:val="24"/>
          <w:szCs w:val="24"/>
          <w:lang w:eastAsia="en-GB" w:bidi="hi-IN"/>
          <w14:ligatures w14:val="none"/>
        </w:rPr>
      </w:pPr>
      <w:bookmarkStart w:id="9" w:name="_Toc182335490"/>
      <w:r w:rsidRPr="001E327D">
        <w:rPr>
          <w:rFonts w:ascii="Arial" w:eastAsia="Times New Roman" w:hAnsi="Arial" w:cs="Arial"/>
          <w:bCs/>
          <w:color w:val="auto"/>
          <w:kern w:val="0"/>
          <w:sz w:val="24"/>
          <w:szCs w:val="24"/>
          <w:lang w:eastAsia="en-GB" w:bidi="hi-IN"/>
          <w14:ligatures w14:val="none"/>
        </w:rPr>
        <w:t>Market and Competitive Position Analysis</w:t>
      </w:r>
      <w:bookmarkEnd w:id="9"/>
      <w:r w:rsidRPr="001E327D">
        <w:rPr>
          <w:rFonts w:ascii="Arial" w:eastAsia="Times New Roman" w:hAnsi="Arial" w:cs="Arial"/>
          <w:color w:val="auto"/>
          <w:kern w:val="0"/>
          <w:sz w:val="24"/>
          <w:szCs w:val="24"/>
          <w:lang w:eastAsia="en-GB" w:bidi="hi-IN"/>
          <w14:ligatures w14:val="none"/>
        </w:rPr>
        <w:t> </w:t>
      </w:r>
    </w:p>
    <w:p w14:paraId="76612838" w14:textId="77777777" w:rsidR="00F46C6C" w:rsidRPr="001E327D" w:rsidRDefault="00F46C6C" w:rsidP="00F46C6C">
      <w:pPr>
        <w:rPr>
          <w:rFonts w:ascii="Arial" w:hAnsi="Arial" w:cs="Arial"/>
          <w:szCs w:val="24"/>
          <w:lang w:eastAsia="en-GB" w:bidi="hi-IN"/>
        </w:rPr>
      </w:pPr>
      <w:r w:rsidRPr="001E327D">
        <w:rPr>
          <w:rFonts w:ascii="Arial" w:hAnsi="Arial" w:cs="Arial"/>
          <w:szCs w:val="24"/>
          <w:lang w:eastAsia="en-GB" w:bidi="hi-IN"/>
        </w:rPr>
        <w:t>The relative standing of the City Hotel on the market has deteriorated from its previous competition because of changes in customer preferences and a rise in competition in the hospitality industry. Lack of digital innovations and personalised services on the other hand have made competitors such as The City Hotel lag behind, since competitors have exploited the adoption of digital innovations and personalised services to adapt more easily to changing consumer expectations. An urban setting which was previously an advantage, is now competing against both implied and boutique hotels with unique experiences and flexible pricing structures (Santos</w:t>
      </w:r>
      <w:r w:rsidRPr="001E327D">
        <w:rPr>
          <w:rFonts w:ascii="Arial" w:hAnsi="Arial" w:cs="Arial"/>
          <w:szCs w:val="24"/>
          <w:lang w:val="en-US" w:eastAsia="en-GB" w:bidi="hi-IN"/>
        </w:rPr>
        <w:t xml:space="preserve"> </w:t>
      </w:r>
      <w:r w:rsidRPr="001E327D">
        <w:rPr>
          <w:rFonts w:ascii="Arial" w:hAnsi="Arial" w:cs="Arial"/>
          <w:i/>
          <w:iCs/>
          <w:szCs w:val="24"/>
          <w:lang w:val="en-US" w:eastAsia="en-GB" w:bidi="hi-IN"/>
        </w:rPr>
        <w:t>et al</w:t>
      </w:r>
      <w:r w:rsidRPr="001E327D">
        <w:rPr>
          <w:rFonts w:ascii="Arial" w:hAnsi="Arial" w:cs="Arial"/>
          <w:i/>
          <w:iCs/>
          <w:szCs w:val="24"/>
          <w:lang w:eastAsia="en-GB" w:bidi="hi-IN"/>
        </w:rPr>
        <w:t>,</w:t>
      </w:r>
      <w:r w:rsidRPr="001E327D">
        <w:rPr>
          <w:rFonts w:ascii="Arial" w:hAnsi="Arial" w:cs="Arial"/>
          <w:szCs w:val="24"/>
          <w:lang w:eastAsia="en-GB" w:bidi="hi-IN"/>
        </w:rPr>
        <w:t xml:space="preserve"> 2023).</w:t>
      </w:r>
    </w:p>
    <w:p w14:paraId="0850E25C" w14:textId="77777777" w:rsidR="00F46C6C" w:rsidRPr="001E327D" w:rsidRDefault="00F46C6C" w:rsidP="00F46C6C">
      <w:pPr>
        <w:rPr>
          <w:rFonts w:ascii="Arial" w:hAnsi="Arial" w:cs="Arial"/>
          <w:szCs w:val="24"/>
          <w:lang w:eastAsia="en-GB" w:bidi="hi-IN"/>
        </w:rPr>
      </w:pPr>
      <w:r w:rsidRPr="001E327D">
        <w:rPr>
          <w:rFonts w:ascii="Arial" w:hAnsi="Arial" w:cs="Arial"/>
          <w:szCs w:val="24"/>
          <w:lang w:eastAsia="en-GB" w:bidi="hi-IN"/>
        </w:rPr>
        <w:t>These challenges have been worse hit by recent economic conditions. It is a result of economic disruptions stemming from the COVID-19 pandemic and incresed inflation which has kept consumers from spending on non essential services such as travel and leisure</w:t>
      </w:r>
      <w:r w:rsidRPr="001E327D">
        <w:rPr>
          <w:rFonts w:ascii="Arial" w:hAnsi="Arial" w:cs="Arial"/>
          <w:szCs w:val="24"/>
          <w:lang w:val="en-US" w:eastAsia="en-GB" w:bidi="hi-IN"/>
        </w:rPr>
        <w:t xml:space="preserve"> (</w:t>
      </w:r>
      <w:r w:rsidRPr="001E327D">
        <w:rPr>
          <w:rFonts w:ascii="Arial" w:eastAsia="Times New Roman" w:hAnsi="Arial" w:cs="Arial"/>
          <w:color w:val="000000"/>
          <w:kern w:val="0"/>
          <w:szCs w:val="24"/>
          <w:lang w:eastAsia="en-GB" w:bidi="hi-IN"/>
          <w14:ligatures w14:val="none"/>
        </w:rPr>
        <w:t>Lee</w:t>
      </w:r>
      <w:r w:rsidRPr="001E327D">
        <w:rPr>
          <w:rFonts w:ascii="Arial" w:eastAsia="Times New Roman" w:hAnsi="Arial" w:cs="Arial"/>
          <w:color w:val="000000"/>
          <w:kern w:val="0"/>
          <w:szCs w:val="24"/>
          <w:lang w:val="en-US" w:eastAsia="en-GB" w:bidi="hi-IN"/>
          <w14:ligatures w14:val="none"/>
        </w:rPr>
        <w:t xml:space="preserve"> et al, 2024)</w:t>
      </w:r>
      <w:r w:rsidRPr="001E327D">
        <w:rPr>
          <w:rFonts w:ascii="Arial" w:hAnsi="Arial" w:cs="Arial"/>
          <w:szCs w:val="24"/>
          <w:lang w:eastAsia="en-GB" w:bidi="hi-IN"/>
        </w:rPr>
        <w:t>. Inflation has driven rising operational costs further, eroding profit margin, although occupancy rates come under pressure as customers become keener on price (Seal, 201</w:t>
      </w:r>
      <w:r w:rsidRPr="001E327D">
        <w:rPr>
          <w:rFonts w:ascii="Arial" w:hAnsi="Arial" w:cs="Arial"/>
          <w:szCs w:val="24"/>
          <w:lang w:val="en-US" w:eastAsia="en-GB" w:bidi="hi-IN"/>
        </w:rPr>
        <w:t>8</w:t>
      </w:r>
      <w:r w:rsidRPr="001E327D">
        <w:rPr>
          <w:rFonts w:ascii="Arial" w:hAnsi="Arial" w:cs="Arial"/>
          <w:szCs w:val="24"/>
          <w:lang w:eastAsia="en-GB" w:bidi="hi-IN"/>
        </w:rPr>
        <w:t>).</w:t>
      </w:r>
    </w:p>
    <w:p w14:paraId="22089A32" w14:textId="77777777" w:rsidR="00F46C6C" w:rsidRPr="001E327D" w:rsidRDefault="00F46C6C" w:rsidP="00F46C6C">
      <w:pPr>
        <w:rPr>
          <w:rFonts w:ascii="Arial" w:hAnsi="Arial" w:cs="Arial"/>
          <w:szCs w:val="24"/>
          <w:lang w:val="en-US" w:eastAsia="en-GB" w:bidi="hi-IN"/>
        </w:rPr>
      </w:pPr>
      <w:r w:rsidRPr="001E327D">
        <w:rPr>
          <w:rFonts w:ascii="Arial" w:hAnsi="Arial" w:cs="Arial"/>
          <w:szCs w:val="24"/>
          <w:lang w:eastAsia="en-GB" w:bidi="hi-IN"/>
        </w:rPr>
        <w:t xml:space="preserve">It appears that the industry is moving towards sustainable and technology integrated hospitality services, areas where The City Hotel has not made much progress. This creates a gap that does not appeal to environmentally conscious travellers and tech savvy consumer </w:t>
      </w:r>
      <w:r w:rsidRPr="001E327D">
        <w:rPr>
          <w:rFonts w:ascii="Arial" w:hAnsi="Arial" w:cs="Arial"/>
          <w:color w:val="000000"/>
          <w:szCs w:val="24"/>
        </w:rPr>
        <w:t>(Jerez and Foroudi, 2024)</w:t>
      </w:r>
      <w:r w:rsidRPr="001E327D">
        <w:rPr>
          <w:rFonts w:ascii="Arial" w:hAnsi="Arial" w:cs="Arial"/>
          <w:szCs w:val="24"/>
          <w:lang w:eastAsia="en-GB" w:bidi="hi-IN"/>
        </w:rPr>
        <w:t xml:space="preserve">. Furthermore, such external factors as labour shortages negatively affect service delivery, operational efficiency and improve customer satisfaction, while decreasing repeat business (Atrill </w:t>
      </w:r>
      <w:r w:rsidRPr="001E327D">
        <w:rPr>
          <w:rFonts w:ascii="Arial" w:hAnsi="Arial" w:cs="Arial"/>
          <w:szCs w:val="24"/>
          <w:lang w:val="en-US" w:eastAsia="en-GB" w:bidi="hi-IN"/>
        </w:rPr>
        <w:t>and</w:t>
      </w:r>
      <w:r w:rsidRPr="001E327D">
        <w:rPr>
          <w:rFonts w:ascii="Arial" w:hAnsi="Arial" w:cs="Arial"/>
          <w:szCs w:val="24"/>
          <w:lang w:eastAsia="en-GB" w:bidi="hi-IN"/>
        </w:rPr>
        <w:t xml:space="preserve"> McLaney, 2021). For these reasons strategic adjustments are needed to reposition the hotel competitively in these combined market pressures.</w:t>
      </w:r>
      <w:r w:rsidRPr="001E327D">
        <w:rPr>
          <w:rFonts w:ascii="Arial" w:hAnsi="Arial" w:cs="Arial"/>
          <w:szCs w:val="24"/>
          <w:lang w:val="en-US" w:eastAsia="en-GB" w:bidi="hi-IN"/>
        </w:rPr>
        <w:t xml:space="preserve"> </w:t>
      </w:r>
    </w:p>
    <w:p w14:paraId="3F104189" w14:textId="77777777" w:rsidR="00F46C6C" w:rsidRPr="001E327D" w:rsidRDefault="00F46C6C" w:rsidP="00F46C6C">
      <w:pPr>
        <w:rPr>
          <w:rFonts w:ascii="Arial" w:hAnsi="Arial" w:cs="Arial"/>
          <w:szCs w:val="24"/>
          <w:lang w:val="en-US" w:eastAsia="en-GB" w:bidi="hi-IN"/>
        </w:rPr>
      </w:pPr>
    </w:p>
    <w:p w14:paraId="6DAF08A5" w14:textId="77777777" w:rsidR="00F46C6C" w:rsidRPr="001E327D" w:rsidRDefault="00F46C6C" w:rsidP="00F46C6C">
      <w:pPr>
        <w:pStyle w:val="Heading1"/>
        <w:rPr>
          <w:rFonts w:ascii="Arial" w:eastAsia="Times New Roman" w:hAnsi="Arial" w:cs="Arial"/>
          <w:color w:val="auto"/>
          <w:kern w:val="0"/>
          <w:sz w:val="24"/>
          <w:szCs w:val="24"/>
          <w:lang w:eastAsia="en-GB" w:bidi="hi-IN"/>
          <w14:ligatures w14:val="none"/>
        </w:rPr>
      </w:pPr>
      <w:bookmarkStart w:id="10" w:name="_Toc182335491"/>
      <w:r w:rsidRPr="001E327D">
        <w:rPr>
          <w:rFonts w:ascii="Arial" w:eastAsia="Times New Roman" w:hAnsi="Arial" w:cs="Arial"/>
          <w:bCs/>
          <w:color w:val="auto"/>
          <w:kern w:val="0"/>
          <w:sz w:val="24"/>
          <w:szCs w:val="24"/>
          <w:lang w:eastAsia="en-GB" w:bidi="hi-IN"/>
          <w14:ligatures w14:val="none"/>
        </w:rPr>
        <w:t>Strategic Recommendations for Turnaround</w:t>
      </w:r>
      <w:bookmarkEnd w:id="10"/>
      <w:r w:rsidRPr="001E327D">
        <w:rPr>
          <w:rFonts w:ascii="Arial" w:eastAsia="Times New Roman" w:hAnsi="Arial" w:cs="Arial"/>
          <w:color w:val="auto"/>
          <w:kern w:val="0"/>
          <w:sz w:val="24"/>
          <w:szCs w:val="24"/>
          <w:lang w:eastAsia="en-GB" w:bidi="hi-IN"/>
          <w14:ligatures w14:val="none"/>
        </w:rPr>
        <w:t> </w:t>
      </w:r>
    </w:p>
    <w:p w14:paraId="6EEBA703" w14:textId="77777777" w:rsidR="00F46C6C" w:rsidRPr="001E327D" w:rsidRDefault="00F46C6C" w:rsidP="00F46C6C">
      <w:pPr>
        <w:rPr>
          <w:rFonts w:ascii="Arial" w:hAnsi="Arial" w:cs="Arial"/>
          <w:szCs w:val="24"/>
          <w:lang w:eastAsia="en-GB" w:bidi="hi-IN"/>
        </w:rPr>
      </w:pPr>
      <w:r w:rsidRPr="001E327D">
        <w:rPr>
          <w:rFonts w:ascii="Arial" w:hAnsi="Arial" w:cs="Arial"/>
          <w:szCs w:val="24"/>
          <w:lang w:eastAsia="en-GB" w:bidi="hi-IN"/>
        </w:rPr>
        <w:t xml:space="preserve">To turn a financial and operational turnaround, The City Hotel needs to implement a strategic approach. The first step is to put in place revised pricing structures to grab </w:t>
      </w:r>
      <w:r w:rsidRPr="001E327D">
        <w:rPr>
          <w:rFonts w:ascii="Arial" w:hAnsi="Arial" w:cs="Arial"/>
          <w:szCs w:val="24"/>
          <w:lang w:eastAsia="en-GB" w:bidi="hi-IN"/>
        </w:rPr>
        <w:lastRenderedPageBreak/>
        <w:t>customers from different customer segments. Robust flexible, multi tiered pricing models can be used to attract guests on the budget and premium rates for peak periods. What this approach can do is increase revenue streams and occupancy rates.</w:t>
      </w:r>
    </w:p>
    <w:p w14:paraId="61730EB5" w14:textId="77777777" w:rsidR="00F46C6C" w:rsidRPr="001E327D" w:rsidRDefault="00F46C6C" w:rsidP="00F46C6C">
      <w:pPr>
        <w:rPr>
          <w:rFonts w:ascii="Arial" w:hAnsi="Arial" w:cs="Arial"/>
          <w:szCs w:val="24"/>
          <w:lang w:eastAsia="en-GB" w:bidi="hi-IN"/>
        </w:rPr>
      </w:pPr>
      <w:r w:rsidRPr="001E327D">
        <w:rPr>
          <w:rFonts w:ascii="Arial" w:hAnsi="Arial" w:cs="Arial"/>
          <w:szCs w:val="24"/>
          <w:lang w:eastAsia="en-GB" w:bidi="hi-IN"/>
        </w:rPr>
        <w:t>Digital platforms need to become marketing priorities. Visibility and appeal to younger, tech oriented audiences is boosted with targeted online adverting as well as through social media campaigns partnered with travel influencers (Johnson et al</w:t>
      </w:r>
      <w:r w:rsidRPr="001E327D">
        <w:rPr>
          <w:rFonts w:ascii="Arial" w:hAnsi="Arial" w:cs="Arial"/>
          <w:szCs w:val="24"/>
          <w:lang w:val="en-US" w:eastAsia="en-GB" w:bidi="hi-IN"/>
        </w:rPr>
        <w:t xml:space="preserve">, </w:t>
      </w:r>
      <w:r w:rsidRPr="001E327D">
        <w:rPr>
          <w:rFonts w:ascii="Arial" w:hAnsi="Arial" w:cs="Arial"/>
          <w:szCs w:val="24"/>
          <w:lang w:eastAsia="en-GB" w:bidi="hi-IN"/>
        </w:rPr>
        <w:t>2021). By improving the hotel’s website and improving the book and formalise function by adding promotions, it forces direct bookings and reduces reliance on commission heavy 3rd party platforms (Deloitte, 2022).</w:t>
      </w:r>
    </w:p>
    <w:p w14:paraId="16080FE5" w14:textId="77777777" w:rsidR="00F46C6C" w:rsidRPr="001E327D" w:rsidRDefault="00F46C6C" w:rsidP="00F46C6C">
      <w:pPr>
        <w:rPr>
          <w:rFonts w:ascii="Arial" w:hAnsi="Arial" w:cs="Arial"/>
          <w:szCs w:val="24"/>
          <w:lang w:eastAsia="en-GB" w:bidi="hi-IN"/>
        </w:rPr>
      </w:pPr>
      <w:r w:rsidRPr="001E327D">
        <w:rPr>
          <w:rFonts w:ascii="Arial" w:hAnsi="Arial" w:cs="Arial"/>
          <w:szCs w:val="24"/>
          <w:lang w:eastAsia="en-GB" w:bidi="hi-IN"/>
        </w:rPr>
        <w:t xml:space="preserve">Streamlining operational expenses in the form of streamlining occupancy forecasts based on occupancy forecast and energy saving strategies to minimise utility costs (Khan et al, 2024). Technology based solutions such as automated cheque ins and mobile key entry can increase efficiency and reduce dependency on labour </w:t>
      </w:r>
      <w:r w:rsidRPr="001E327D">
        <w:rPr>
          <w:rFonts w:ascii="Arial" w:hAnsi="Arial" w:cs="Arial"/>
          <w:color w:val="000000"/>
          <w:szCs w:val="24"/>
        </w:rPr>
        <w:t xml:space="preserve">(Sujood </w:t>
      </w:r>
      <w:r w:rsidRPr="001E327D">
        <w:rPr>
          <w:rFonts w:ascii="Arial" w:hAnsi="Arial" w:cs="Arial"/>
          <w:i/>
          <w:iCs/>
          <w:color w:val="000000"/>
          <w:szCs w:val="24"/>
        </w:rPr>
        <w:t>et al</w:t>
      </w:r>
      <w:r w:rsidRPr="001E327D">
        <w:rPr>
          <w:rFonts w:ascii="Arial" w:hAnsi="Arial" w:cs="Arial"/>
          <w:color w:val="000000"/>
          <w:szCs w:val="24"/>
        </w:rPr>
        <w:t>, 2023)</w:t>
      </w:r>
      <w:r w:rsidRPr="001E327D">
        <w:rPr>
          <w:rFonts w:ascii="Arial" w:hAnsi="Arial" w:cs="Arial"/>
          <w:szCs w:val="24"/>
          <w:lang w:eastAsia="en-GB" w:bidi="hi-IN"/>
        </w:rPr>
        <w:t>.</w:t>
      </w:r>
    </w:p>
    <w:p w14:paraId="4E568B5F" w14:textId="77777777" w:rsidR="00F46C6C" w:rsidRPr="001E327D" w:rsidRDefault="00F46C6C" w:rsidP="00F46C6C">
      <w:pPr>
        <w:rPr>
          <w:rFonts w:ascii="Arial" w:hAnsi="Arial" w:cs="Arial"/>
          <w:szCs w:val="24"/>
          <w:lang w:eastAsia="en-GB" w:bidi="hi-IN"/>
        </w:rPr>
      </w:pPr>
      <w:r w:rsidRPr="001E327D">
        <w:rPr>
          <w:rFonts w:ascii="Arial" w:hAnsi="Arial" w:cs="Arial"/>
          <w:szCs w:val="24"/>
          <w:lang w:eastAsia="en-GB" w:bidi="hi-IN"/>
        </w:rPr>
        <w:t>In improving customer engagement, the hotel may consider taking up personalised experiences, such as loyalty schemes and curated packages that would help them to sustain repeat business and enhance customer satisfaction. (Drury, 2021). Feedback mechanisms integration can drive service customisation based on guest preferences that improves the customer experience. With this multi pronged strategy The City Hotel will rebound to financial stability and operational efficiency.</w:t>
      </w:r>
    </w:p>
    <w:p w14:paraId="692DAAC7" w14:textId="77777777" w:rsidR="00F46C6C" w:rsidRPr="001E327D" w:rsidRDefault="00F46C6C" w:rsidP="00F46C6C">
      <w:pPr>
        <w:rPr>
          <w:rFonts w:ascii="Arial" w:hAnsi="Arial" w:cs="Arial"/>
          <w:szCs w:val="24"/>
          <w:lang w:eastAsia="en-GB" w:bidi="hi-IN"/>
        </w:rPr>
      </w:pPr>
    </w:p>
    <w:p w14:paraId="17FD8A62" w14:textId="77777777" w:rsidR="00F46C6C" w:rsidRPr="001E327D" w:rsidRDefault="00F46C6C" w:rsidP="00F46C6C">
      <w:pPr>
        <w:pStyle w:val="Heading1"/>
        <w:rPr>
          <w:rFonts w:ascii="Arial" w:eastAsia="Times New Roman" w:hAnsi="Arial" w:cs="Arial"/>
          <w:color w:val="auto"/>
          <w:kern w:val="0"/>
          <w:sz w:val="24"/>
          <w:szCs w:val="24"/>
          <w:lang w:eastAsia="en-GB" w:bidi="hi-IN"/>
          <w14:ligatures w14:val="none"/>
        </w:rPr>
      </w:pPr>
      <w:bookmarkStart w:id="11" w:name="_Toc182335492"/>
      <w:r w:rsidRPr="001E327D">
        <w:rPr>
          <w:rFonts w:ascii="Arial" w:eastAsia="Times New Roman" w:hAnsi="Arial" w:cs="Arial"/>
          <w:bCs/>
          <w:color w:val="auto"/>
          <w:kern w:val="0"/>
          <w:sz w:val="24"/>
          <w:szCs w:val="24"/>
          <w:lang w:eastAsia="en-GB" w:bidi="hi-IN"/>
          <w14:ligatures w14:val="none"/>
        </w:rPr>
        <w:t>Financial Forecast and Expected Outcomes</w:t>
      </w:r>
      <w:bookmarkEnd w:id="11"/>
      <w:r w:rsidRPr="001E327D">
        <w:rPr>
          <w:rFonts w:ascii="Arial" w:eastAsia="Times New Roman" w:hAnsi="Arial" w:cs="Arial"/>
          <w:color w:val="auto"/>
          <w:kern w:val="0"/>
          <w:sz w:val="24"/>
          <w:szCs w:val="24"/>
          <w:lang w:eastAsia="en-GB" w:bidi="hi-IN"/>
          <w14:ligatures w14:val="none"/>
        </w:rPr>
        <w:t> </w:t>
      </w:r>
    </w:p>
    <w:p w14:paraId="74B28F44" w14:textId="77777777" w:rsidR="00F46C6C" w:rsidRPr="001E327D" w:rsidRDefault="00F46C6C" w:rsidP="00F46C6C">
      <w:pPr>
        <w:rPr>
          <w:rFonts w:ascii="Arial" w:hAnsi="Arial" w:cs="Arial"/>
          <w:szCs w:val="24"/>
          <w:lang w:eastAsia="en-GB" w:bidi="hi-IN"/>
        </w:rPr>
      </w:pPr>
      <w:r w:rsidRPr="001E327D">
        <w:rPr>
          <w:rFonts w:ascii="Arial" w:hAnsi="Arial" w:cs="Arial"/>
          <w:szCs w:val="24"/>
          <w:lang w:eastAsia="en-GB" w:bidi="hi-IN"/>
        </w:rPr>
        <w:t xml:space="preserve">The proposed strategy is expected to have a large financial impact on The City Hotel. Flexible pricing and targeted marketing are introduced, which is expected to grow revenue by 15 percent in the first year, reversing the trend downward from 2023 (Johnson et al, 2021). Total revenue could amount to in excess of £2.67 million. Predicted measures to enhance cost management through energy efficiency and optimised staffing are anticipated to reduce operational cost by 10% whilst reducing total costs to about £2.2 million (Atrill </w:t>
      </w:r>
      <w:r w:rsidRPr="001E327D">
        <w:rPr>
          <w:rFonts w:ascii="Arial" w:hAnsi="Arial" w:cs="Arial"/>
          <w:szCs w:val="24"/>
          <w:lang w:val="en-US" w:eastAsia="en-GB" w:bidi="hi-IN"/>
        </w:rPr>
        <w:t>and</w:t>
      </w:r>
      <w:r w:rsidRPr="001E327D">
        <w:rPr>
          <w:rFonts w:ascii="Arial" w:hAnsi="Arial" w:cs="Arial"/>
          <w:szCs w:val="24"/>
          <w:lang w:eastAsia="en-GB" w:bidi="hi-IN"/>
        </w:rPr>
        <w:t xml:space="preserve"> McLaney, 2021).</w:t>
      </w:r>
    </w:p>
    <w:p w14:paraId="012F105A" w14:textId="77777777" w:rsidR="00F46C6C" w:rsidRPr="001E327D" w:rsidRDefault="00F46C6C" w:rsidP="00F46C6C">
      <w:pPr>
        <w:rPr>
          <w:rFonts w:ascii="Arial" w:hAnsi="Arial" w:cs="Arial"/>
          <w:szCs w:val="24"/>
          <w:lang w:eastAsia="en-GB" w:bidi="hi-IN"/>
        </w:rPr>
      </w:pPr>
      <w:r w:rsidRPr="001E327D">
        <w:rPr>
          <w:rFonts w:ascii="Arial" w:hAnsi="Arial" w:cs="Arial"/>
          <w:szCs w:val="24"/>
          <w:lang w:eastAsia="en-GB" w:bidi="hi-IN"/>
        </w:rPr>
        <w:t>Net profit margins are expected to shift from their current negative of -52.3% and move into a range of positive 5–10% for profitability over next two years. The turnaround will come through balanced cost reductions and increased occupancy rates, generated by modernised service offer and targeted customer engagement (Deloitte, 2022). This forecast highlights the potential of the financial stability through a strategic execution.</w:t>
      </w:r>
    </w:p>
    <w:p w14:paraId="05930EDC" w14:textId="77777777" w:rsidR="00F46C6C" w:rsidRPr="001E327D" w:rsidRDefault="00F46C6C" w:rsidP="00F46C6C">
      <w:pPr>
        <w:rPr>
          <w:rFonts w:ascii="Arial" w:hAnsi="Arial" w:cs="Arial"/>
          <w:szCs w:val="24"/>
          <w:lang w:eastAsia="en-GB" w:bidi="hi-IN"/>
        </w:rPr>
      </w:pPr>
    </w:p>
    <w:p w14:paraId="75ADD04E" w14:textId="77777777" w:rsidR="00F46C6C" w:rsidRPr="001E327D" w:rsidRDefault="00F46C6C" w:rsidP="00F46C6C">
      <w:pPr>
        <w:pStyle w:val="Heading1"/>
        <w:rPr>
          <w:rFonts w:ascii="Arial" w:eastAsia="Times New Roman" w:hAnsi="Arial" w:cs="Arial"/>
          <w:color w:val="auto"/>
          <w:kern w:val="0"/>
          <w:sz w:val="24"/>
          <w:szCs w:val="24"/>
          <w:lang w:eastAsia="en-GB" w:bidi="hi-IN"/>
          <w14:ligatures w14:val="none"/>
        </w:rPr>
      </w:pPr>
      <w:bookmarkStart w:id="12" w:name="_Toc182335493"/>
      <w:r w:rsidRPr="001E327D">
        <w:rPr>
          <w:rFonts w:ascii="Arial" w:eastAsia="Times New Roman" w:hAnsi="Arial" w:cs="Arial"/>
          <w:bCs/>
          <w:color w:val="auto"/>
          <w:kern w:val="0"/>
          <w:sz w:val="24"/>
          <w:szCs w:val="24"/>
          <w:lang w:eastAsia="en-GB" w:bidi="hi-IN"/>
          <w14:ligatures w14:val="none"/>
        </w:rPr>
        <w:t>Risk Assessment and Mitigation Measures</w:t>
      </w:r>
      <w:bookmarkEnd w:id="12"/>
      <w:r w:rsidRPr="001E327D">
        <w:rPr>
          <w:rFonts w:ascii="Arial" w:eastAsia="Times New Roman" w:hAnsi="Arial" w:cs="Arial"/>
          <w:color w:val="auto"/>
          <w:kern w:val="0"/>
          <w:sz w:val="24"/>
          <w:szCs w:val="24"/>
          <w:lang w:eastAsia="en-GB" w:bidi="hi-IN"/>
          <w14:ligatures w14:val="none"/>
        </w:rPr>
        <w:t> </w:t>
      </w:r>
    </w:p>
    <w:p w14:paraId="281D497D" w14:textId="77777777" w:rsidR="00F46C6C" w:rsidRPr="001E327D" w:rsidRDefault="00F46C6C" w:rsidP="00F46C6C">
      <w:pPr>
        <w:rPr>
          <w:rFonts w:ascii="Arial" w:hAnsi="Arial" w:cs="Arial"/>
          <w:szCs w:val="24"/>
          <w:lang w:eastAsia="en-GB" w:bidi="hi-IN"/>
        </w:rPr>
      </w:pPr>
      <w:r w:rsidRPr="001E327D">
        <w:rPr>
          <w:rFonts w:ascii="Arial" w:hAnsi="Arial" w:cs="Arial"/>
          <w:szCs w:val="24"/>
          <w:lang w:eastAsia="en-GB" w:bidi="hi-IN"/>
        </w:rPr>
        <w:t xml:space="preserve">The City Hotel is exposed to the major risks in its turnaround strategy including market volatility which influences in fluctuating demand, according to the economic conditions and competitive pressures (Porter, 2008). In order to counterweigh this, the hotel should use the dynamic pricing and flexible service models to adapt instantly to changing market shifts (Sujood </w:t>
      </w:r>
      <w:r w:rsidRPr="001E327D">
        <w:rPr>
          <w:rFonts w:ascii="Arial" w:hAnsi="Arial" w:cs="Arial"/>
          <w:i/>
          <w:iCs/>
          <w:szCs w:val="24"/>
          <w:lang w:eastAsia="en-GB" w:bidi="hi-IN"/>
        </w:rPr>
        <w:t>et al,</w:t>
      </w:r>
      <w:r w:rsidRPr="001E327D">
        <w:rPr>
          <w:rFonts w:ascii="Arial" w:hAnsi="Arial" w:cs="Arial"/>
          <w:szCs w:val="24"/>
          <w:lang w:eastAsia="en-GB" w:bidi="hi-IN"/>
        </w:rPr>
        <w:t xml:space="preserve"> 2023). However, such things as personnel gaps and project delays can become operational challenges that disrupt progress. Mitigation measures are to provide investment in cross training employees and phased roll out of technology to ease the task workloads with employees </w:t>
      </w:r>
      <w:r w:rsidRPr="001E327D">
        <w:rPr>
          <w:rFonts w:ascii="Arial" w:hAnsi="Arial" w:cs="Arial"/>
          <w:color w:val="000000"/>
          <w:szCs w:val="24"/>
        </w:rPr>
        <w:t xml:space="preserve">(Suyono </w:t>
      </w:r>
      <w:r w:rsidRPr="001E327D">
        <w:rPr>
          <w:rFonts w:ascii="Arial" w:hAnsi="Arial" w:cs="Arial"/>
          <w:i/>
          <w:iCs/>
          <w:color w:val="000000"/>
          <w:szCs w:val="24"/>
        </w:rPr>
        <w:t>et al,</w:t>
      </w:r>
      <w:r w:rsidRPr="001E327D">
        <w:rPr>
          <w:rFonts w:ascii="Arial" w:hAnsi="Arial" w:cs="Arial"/>
          <w:color w:val="000000"/>
          <w:szCs w:val="24"/>
        </w:rPr>
        <w:t xml:space="preserve"> 2024)</w:t>
      </w:r>
      <w:r w:rsidRPr="001E327D">
        <w:rPr>
          <w:rFonts w:ascii="Arial" w:hAnsi="Arial" w:cs="Arial"/>
          <w:szCs w:val="24"/>
          <w:lang w:eastAsia="en-GB" w:bidi="hi-IN"/>
        </w:rPr>
        <w:t>. The strategy can be adjusted quickly with regular performance monitoring which will enable alignment with current trends (Deloitte, 2022).</w:t>
      </w:r>
    </w:p>
    <w:p w14:paraId="06991276" w14:textId="77777777" w:rsidR="00F46C6C" w:rsidRPr="001E327D" w:rsidRDefault="00F46C6C" w:rsidP="00F46C6C">
      <w:pPr>
        <w:rPr>
          <w:rFonts w:ascii="Arial" w:hAnsi="Arial" w:cs="Arial"/>
          <w:szCs w:val="24"/>
          <w:lang w:eastAsia="en-GB" w:bidi="hi-IN"/>
        </w:rPr>
      </w:pPr>
    </w:p>
    <w:p w14:paraId="3965E85F" w14:textId="77777777" w:rsidR="00F46C6C" w:rsidRPr="001E327D" w:rsidRDefault="00F46C6C" w:rsidP="00F46C6C">
      <w:pPr>
        <w:rPr>
          <w:rFonts w:ascii="Arial" w:hAnsi="Arial" w:cs="Arial"/>
          <w:szCs w:val="24"/>
          <w:lang w:eastAsia="en-GB" w:bidi="hi-IN"/>
        </w:rPr>
      </w:pPr>
    </w:p>
    <w:p w14:paraId="1590647F" w14:textId="77777777" w:rsidR="00F46C6C" w:rsidRPr="001E327D" w:rsidRDefault="00F46C6C" w:rsidP="00F46C6C">
      <w:pPr>
        <w:rPr>
          <w:rFonts w:ascii="Arial" w:hAnsi="Arial" w:cs="Arial"/>
          <w:szCs w:val="24"/>
          <w:lang w:eastAsia="en-GB" w:bidi="hi-IN"/>
        </w:rPr>
      </w:pPr>
    </w:p>
    <w:p w14:paraId="5F6C29C3" w14:textId="77777777" w:rsidR="00F46C6C" w:rsidRPr="001E327D" w:rsidRDefault="00F46C6C" w:rsidP="00F46C6C">
      <w:pPr>
        <w:rPr>
          <w:rFonts w:ascii="Arial" w:hAnsi="Arial" w:cs="Arial"/>
          <w:szCs w:val="24"/>
          <w:lang w:eastAsia="en-GB" w:bidi="hi-IN"/>
        </w:rPr>
      </w:pPr>
    </w:p>
    <w:p w14:paraId="538AFE92" w14:textId="77777777" w:rsidR="00F46C6C" w:rsidRPr="001E327D" w:rsidRDefault="00F46C6C" w:rsidP="00F46C6C">
      <w:pPr>
        <w:pStyle w:val="Heading1"/>
        <w:rPr>
          <w:rFonts w:ascii="Arial" w:hAnsi="Arial" w:cs="Arial"/>
          <w:sz w:val="24"/>
          <w:szCs w:val="24"/>
        </w:rPr>
      </w:pPr>
      <w:bookmarkStart w:id="13" w:name="_Toc182335494"/>
      <w:r w:rsidRPr="001E327D">
        <w:rPr>
          <w:rFonts w:ascii="Arial" w:eastAsia="Times New Roman" w:hAnsi="Arial" w:cs="Arial"/>
          <w:bCs/>
          <w:color w:val="auto"/>
          <w:kern w:val="0"/>
          <w:sz w:val="24"/>
          <w:szCs w:val="24"/>
          <w:lang w:eastAsia="en-GB" w:bidi="hi-IN"/>
          <w14:ligatures w14:val="none"/>
        </w:rPr>
        <w:t>Conclusion</w:t>
      </w:r>
      <w:r w:rsidRPr="001E327D">
        <w:rPr>
          <w:rFonts w:ascii="Arial" w:hAnsi="Arial" w:cs="Arial"/>
          <w:sz w:val="24"/>
          <w:szCs w:val="24"/>
        </w:rPr>
        <w:t xml:space="preserve"> and </w:t>
      </w:r>
      <w:r w:rsidRPr="001E327D">
        <w:rPr>
          <w:rFonts w:ascii="Arial" w:eastAsia="Times New Roman" w:hAnsi="Arial" w:cs="Arial"/>
          <w:bCs/>
          <w:color w:val="auto"/>
          <w:kern w:val="0"/>
          <w:sz w:val="24"/>
          <w:szCs w:val="24"/>
          <w:lang w:eastAsia="en-GB" w:bidi="hi-IN"/>
          <w14:ligatures w14:val="none"/>
        </w:rPr>
        <w:t>Recommendations</w:t>
      </w:r>
      <w:bookmarkEnd w:id="13"/>
    </w:p>
    <w:p w14:paraId="165513FD" w14:textId="77777777" w:rsidR="00F46C6C" w:rsidRPr="001E327D" w:rsidRDefault="00F46C6C" w:rsidP="00F46C6C">
      <w:pPr>
        <w:rPr>
          <w:rFonts w:ascii="Arial" w:hAnsi="Arial" w:cs="Arial"/>
          <w:szCs w:val="24"/>
          <w:lang w:eastAsia="en-GB" w:bidi="hi-IN"/>
        </w:rPr>
      </w:pPr>
      <w:r w:rsidRPr="001E327D">
        <w:rPr>
          <w:rFonts w:ascii="Arial" w:hAnsi="Arial" w:cs="Arial"/>
          <w:szCs w:val="24"/>
          <w:lang w:eastAsia="en-GB" w:bidi="hi-IN"/>
        </w:rPr>
        <w:t>The analysis shows that The City Hotel needs an improvement in overall strategy to revitalise itself from the decline. Finding dynamic pricing, digital marketing, and efficient cost management to address issues like high costs, poor liquidity, and weakened market position are found to be key findings. These recommendations should lead to revenue boosts of 15% a year in the first year, reduce costs by 10% and put net profit margins into the black, providing a secure platform for growth.</w:t>
      </w:r>
    </w:p>
    <w:p w14:paraId="58EC886E" w14:textId="77777777" w:rsidR="00F46C6C" w:rsidRPr="001E327D" w:rsidRDefault="00F46C6C" w:rsidP="00F46C6C">
      <w:pPr>
        <w:rPr>
          <w:rFonts w:ascii="Arial" w:hAnsi="Arial" w:cs="Arial"/>
          <w:szCs w:val="24"/>
          <w:lang w:val="en-US" w:eastAsia="en-GB" w:bidi="hi-IN"/>
        </w:rPr>
      </w:pPr>
      <w:r w:rsidRPr="001E327D">
        <w:rPr>
          <w:rFonts w:ascii="Arial" w:hAnsi="Arial" w:cs="Arial"/>
          <w:szCs w:val="24"/>
          <w:lang w:eastAsia="en-GB" w:bidi="hi-IN"/>
        </w:rPr>
        <w:t>For the support of implementation, the hotel owner should invest first in technology that helps with operational efficiency and data driven marketing. Keeping labour challenges at bay can be done through staff training programmes and cross training. Financial reviews at regular intervals and flexible adjustments to strategy will help market changes and keep profitability</w:t>
      </w:r>
      <w:r w:rsidRPr="001E327D">
        <w:rPr>
          <w:rFonts w:ascii="Arial" w:hAnsi="Arial" w:cs="Arial"/>
          <w:szCs w:val="24"/>
          <w:lang w:val="en-US" w:eastAsia="en-GB" w:bidi="hi-IN"/>
        </w:rPr>
        <w:t>.</w:t>
      </w:r>
    </w:p>
    <w:p w14:paraId="053AD4A8" w14:textId="77777777" w:rsidR="00F46C6C" w:rsidRDefault="00F46C6C" w:rsidP="00F46C6C">
      <w:pPr>
        <w:spacing w:line="240" w:lineRule="auto"/>
        <w:jc w:val="left"/>
      </w:pPr>
      <w:r>
        <w:br w:type="page"/>
      </w:r>
    </w:p>
    <w:p w14:paraId="3CFCEBB3" w14:textId="77777777" w:rsidR="00F46C6C" w:rsidRPr="004F2CCE" w:rsidRDefault="00F46C6C" w:rsidP="00F46C6C">
      <w:pPr>
        <w:pStyle w:val="Heading1"/>
      </w:pPr>
      <w:bookmarkStart w:id="14" w:name="_Toc182335495"/>
      <w:r>
        <w:lastRenderedPageBreak/>
        <w:t>References</w:t>
      </w:r>
      <w:bookmarkEnd w:id="14"/>
    </w:p>
    <w:p w14:paraId="4DEB147C" w14:textId="77777777" w:rsidR="00F46C6C" w:rsidRPr="00A724F1" w:rsidRDefault="00F46C6C" w:rsidP="00F46C6C">
      <w:pPr>
        <w:pStyle w:val="Heading1"/>
      </w:pPr>
    </w:p>
    <w:p w14:paraId="4E7DA672" w14:textId="77777777" w:rsidR="00F46C6C" w:rsidRPr="004F2CCE" w:rsidRDefault="00F46C6C" w:rsidP="00F46C6C">
      <w:pPr>
        <w:spacing w:after="240" w:line="360" w:lineRule="atLeast"/>
        <w:ind w:left="720" w:hanging="720"/>
        <w:rPr>
          <w:rFonts w:eastAsia="Times New Roman" w:cs="Times New Roman"/>
          <w:color w:val="000000"/>
          <w:kern w:val="0"/>
          <w:szCs w:val="24"/>
          <w:lang w:eastAsia="en-GB" w:bidi="hi-IN"/>
          <w14:ligatures w14:val="none"/>
        </w:rPr>
      </w:pPr>
      <w:r w:rsidRPr="004F2CCE">
        <w:rPr>
          <w:rFonts w:eastAsia="Times New Roman" w:cs="Times New Roman"/>
          <w:color w:val="000000"/>
          <w:kern w:val="0"/>
          <w:szCs w:val="24"/>
          <w:lang w:eastAsia="en-GB" w:bidi="hi-IN"/>
          <w14:ligatures w14:val="none"/>
        </w:rPr>
        <w:t>Abubakar, H., Ruslan, M. and Suriani, S. (2024). The Role of Competitor Analysis, Market Orientation, and Service Quality in Working Capital Management and Operational Leverage as Links to Financial Stability of Manufacturing Companies Listed on the IDX: A Qualitative Approach. </w:t>
      </w:r>
      <w:r w:rsidRPr="004F2CCE">
        <w:rPr>
          <w:rFonts w:eastAsia="Times New Roman" w:cs="Times New Roman"/>
          <w:i/>
          <w:iCs/>
          <w:color w:val="000000"/>
          <w:kern w:val="0"/>
          <w:szCs w:val="24"/>
          <w:lang w:eastAsia="en-GB" w:bidi="hi-IN"/>
          <w14:ligatures w14:val="none"/>
        </w:rPr>
        <w:t>Atestasi : Jurnal Ilmiah Akuntansi</w:t>
      </w:r>
      <w:r w:rsidRPr="004F2CCE">
        <w:rPr>
          <w:rFonts w:eastAsia="Times New Roman" w:cs="Times New Roman"/>
          <w:color w:val="000000"/>
          <w:kern w:val="0"/>
          <w:szCs w:val="24"/>
          <w:lang w:eastAsia="en-GB" w:bidi="hi-IN"/>
          <w14:ligatures w14:val="none"/>
        </w:rPr>
        <w:t>, 7(1), pp.459–495. doi:https://doi.org/10.57178/atestasi.v7i1.807.</w:t>
      </w:r>
    </w:p>
    <w:p w14:paraId="4567559B" w14:textId="77777777" w:rsidR="00F46C6C" w:rsidRPr="004F2CCE" w:rsidRDefault="00F46C6C" w:rsidP="00F46C6C">
      <w:pPr>
        <w:spacing w:after="240" w:line="360" w:lineRule="atLeast"/>
        <w:ind w:left="720" w:hanging="720"/>
        <w:rPr>
          <w:rFonts w:eastAsia="Times New Roman" w:cs="Times New Roman"/>
          <w:color w:val="000000"/>
          <w:kern w:val="0"/>
          <w:szCs w:val="24"/>
          <w:lang w:eastAsia="en-GB" w:bidi="hi-IN"/>
          <w14:ligatures w14:val="none"/>
        </w:rPr>
      </w:pPr>
      <w:r w:rsidRPr="004F2CCE">
        <w:rPr>
          <w:rFonts w:eastAsia="Times New Roman" w:cs="Times New Roman"/>
          <w:color w:val="000000"/>
          <w:kern w:val="0"/>
          <w:szCs w:val="24"/>
          <w:lang w:eastAsia="en-GB" w:bidi="hi-IN"/>
          <w14:ligatures w14:val="none"/>
        </w:rPr>
        <w:t>Anand, D. and Munjal, A. (2024). Effect of sustainable competitive advantage on business excellence in the hotel industry. </w:t>
      </w:r>
      <w:r w:rsidRPr="004F2CCE">
        <w:rPr>
          <w:rFonts w:eastAsia="Times New Roman" w:cs="Times New Roman"/>
          <w:i/>
          <w:iCs/>
          <w:color w:val="000000"/>
          <w:kern w:val="0"/>
          <w:szCs w:val="24"/>
          <w:lang w:eastAsia="en-GB" w:bidi="hi-IN"/>
          <w14:ligatures w14:val="none"/>
        </w:rPr>
        <w:t>International journal of business excellence (Print)</w:t>
      </w:r>
      <w:r w:rsidRPr="004F2CCE">
        <w:rPr>
          <w:rFonts w:eastAsia="Times New Roman" w:cs="Times New Roman"/>
          <w:color w:val="000000"/>
          <w:kern w:val="0"/>
          <w:szCs w:val="24"/>
          <w:lang w:eastAsia="en-GB" w:bidi="hi-IN"/>
          <w14:ligatures w14:val="none"/>
        </w:rPr>
        <w:t>, 32(4), pp.545–560. doi:https://doi.org/10.1504/ijbex.2024.137569.</w:t>
      </w:r>
    </w:p>
    <w:p w14:paraId="284BEE42" w14:textId="77777777" w:rsidR="00F46C6C" w:rsidRPr="004F2CCE" w:rsidRDefault="00F46C6C" w:rsidP="00F46C6C">
      <w:pPr>
        <w:spacing w:after="240" w:line="360" w:lineRule="atLeast"/>
        <w:ind w:left="720" w:hanging="720"/>
        <w:rPr>
          <w:rFonts w:eastAsia="Times New Roman" w:cs="Times New Roman"/>
          <w:color w:val="000000"/>
          <w:kern w:val="0"/>
          <w:szCs w:val="24"/>
          <w:lang w:eastAsia="en-GB" w:bidi="hi-IN"/>
          <w14:ligatures w14:val="none"/>
        </w:rPr>
      </w:pPr>
      <w:r w:rsidRPr="004F2CCE">
        <w:rPr>
          <w:rFonts w:eastAsia="Times New Roman" w:cs="Times New Roman"/>
          <w:color w:val="000000"/>
          <w:kern w:val="0"/>
          <w:szCs w:val="24"/>
          <w:lang w:eastAsia="en-GB" w:bidi="hi-IN"/>
          <w14:ligatures w14:val="none"/>
        </w:rPr>
        <w:t>Asuga, H.K. (2024). Credit Cost Management and Financial Performance of Hotel Businesses in Kenya. </w:t>
      </w:r>
      <w:r w:rsidRPr="004F2CCE">
        <w:rPr>
          <w:rFonts w:eastAsia="Times New Roman" w:cs="Times New Roman"/>
          <w:i/>
          <w:iCs/>
          <w:color w:val="000000"/>
          <w:kern w:val="0"/>
          <w:szCs w:val="24"/>
          <w:lang w:eastAsia="en-GB" w:bidi="hi-IN"/>
          <w14:ligatures w14:val="none"/>
        </w:rPr>
        <w:t>African Journal of Commercial Studies</w:t>
      </w:r>
      <w:r w:rsidRPr="004F2CCE">
        <w:rPr>
          <w:rFonts w:eastAsia="Times New Roman" w:cs="Times New Roman"/>
          <w:color w:val="000000"/>
          <w:kern w:val="0"/>
          <w:szCs w:val="24"/>
          <w:lang w:eastAsia="en-GB" w:bidi="hi-IN"/>
          <w14:ligatures w14:val="none"/>
        </w:rPr>
        <w:t>, 5(4), pp.248–256. doi:https://doi.org/10.59413/ajocs/v5.i.4.6.</w:t>
      </w:r>
    </w:p>
    <w:p w14:paraId="04001061" w14:textId="77777777" w:rsidR="00F46C6C" w:rsidRPr="004F2CCE" w:rsidRDefault="00F46C6C" w:rsidP="00F46C6C">
      <w:pPr>
        <w:spacing w:after="240" w:line="360" w:lineRule="atLeast"/>
        <w:ind w:left="720" w:hanging="720"/>
        <w:rPr>
          <w:rFonts w:eastAsia="Times New Roman" w:cs="Times New Roman"/>
          <w:color w:val="000000"/>
          <w:kern w:val="0"/>
          <w:szCs w:val="24"/>
          <w:lang w:eastAsia="en-GB" w:bidi="hi-IN"/>
          <w14:ligatures w14:val="none"/>
        </w:rPr>
      </w:pPr>
      <w:r w:rsidRPr="004F2CCE">
        <w:rPr>
          <w:rFonts w:eastAsia="Times New Roman" w:cs="Times New Roman"/>
          <w:color w:val="000000"/>
          <w:kern w:val="0"/>
          <w:szCs w:val="24"/>
          <w:lang w:eastAsia="en-GB" w:bidi="hi-IN"/>
          <w14:ligatures w14:val="none"/>
        </w:rPr>
        <w:t>Atrill, P. and Mclaney, E.J. (2021). </w:t>
      </w:r>
      <w:r w:rsidRPr="004F2CCE">
        <w:rPr>
          <w:rFonts w:eastAsia="Times New Roman" w:cs="Times New Roman"/>
          <w:i/>
          <w:iCs/>
          <w:color w:val="000000"/>
          <w:kern w:val="0"/>
          <w:szCs w:val="24"/>
          <w:lang w:eastAsia="en-GB" w:bidi="hi-IN"/>
          <w14:ligatures w14:val="none"/>
        </w:rPr>
        <w:t>Management accounting for decision makers</w:t>
      </w:r>
      <w:r w:rsidRPr="004F2CCE">
        <w:rPr>
          <w:rFonts w:eastAsia="Times New Roman" w:cs="Times New Roman"/>
          <w:color w:val="000000"/>
          <w:kern w:val="0"/>
          <w:szCs w:val="24"/>
          <w:lang w:eastAsia="en-GB" w:bidi="hi-IN"/>
          <w14:ligatures w14:val="none"/>
        </w:rPr>
        <w:t>. Harlow, England ; New York: Pearson.</w:t>
      </w:r>
    </w:p>
    <w:p w14:paraId="118107C6" w14:textId="77777777" w:rsidR="00F46C6C" w:rsidRPr="004F2CCE" w:rsidRDefault="00F46C6C" w:rsidP="00F46C6C">
      <w:pPr>
        <w:spacing w:after="240" w:line="360" w:lineRule="atLeast"/>
        <w:ind w:left="720" w:hanging="720"/>
        <w:rPr>
          <w:rFonts w:eastAsia="Times New Roman" w:cs="Times New Roman"/>
          <w:color w:val="000000"/>
          <w:kern w:val="0"/>
          <w:szCs w:val="24"/>
          <w:lang w:eastAsia="en-GB" w:bidi="hi-IN"/>
          <w14:ligatures w14:val="none"/>
        </w:rPr>
      </w:pPr>
      <w:r w:rsidRPr="004F2CCE">
        <w:rPr>
          <w:rFonts w:eastAsia="Times New Roman" w:cs="Times New Roman"/>
          <w:color w:val="000000"/>
          <w:kern w:val="0"/>
          <w:szCs w:val="24"/>
          <w:lang w:eastAsia="en-GB" w:bidi="hi-IN"/>
          <w14:ligatures w14:val="none"/>
        </w:rPr>
        <w:t>Barber, R., Hartt, M. and Collins, P. (2023). Excessive rightsizing? The interdependence of hotel closures and population shrinkage. </w:t>
      </w:r>
      <w:r w:rsidRPr="004F2CCE">
        <w:rPr>
          <w:rFonts w:eastAsia="Times New Roman" w:cs="Times New Roman"/>
          <w:i/>
          <w:iCs/>
          <w:color w:val="000000"/>
          <w:kern w:val="0"/>
          <w:szCs w:val="24"/>
          <w:lang w:eastAsia="en-GB" w:bidi="hi-IN"/>
          <w14:ligatures w14:val="none"/>
        </w:rPr>
        <w:t>Canadian Geographer</w:t>
      </w:r>
      <w:r w:rsidRPr="004F2CCE">
        <w:rPr>
          <w:rFonts w:eastAsia="Times New Roman" w:cs="Times New Roman"/>
          <w:color w:val="000000"/>
          <w:kern w:val="0"/>
          <w:szCs w:val="24"/>
          <w:lang w:eastAsia="en-GB" w:bidi="hi-IN"/>
          <w14:ligatures w14:val="none"/>
        </w:rPr>
        <w:t>, 76(54). doi:https://doi.org/10.1111/cag.12870.</w:t>
      </w:r>
    </w:p>
    <w:p w14:paraId="1E13E2B1" w14:textId="77777777" w:rsidR="00F46C6C" w:rsidRPr="004F2CCE" w:rsidRDefault="00F46C6C" w:rsidP="00F46C6C">
      <w:pPr>
        <w:spacing w:after="240" w:line="360" w:lineRule="atLeast"/>
        <w:ind w:left="720" w:hanging="720"/>
        <w:rPr>
          <w:rFonts w:eastAsia="Times New Roman" w:cs="Times New Roman"/>
          <w:color w:val="000000"/>
          <w:kern w:val="0"/>
          <w:szCs w:val="24"/>
          <w:lang w:eastAsia="en-GB" w:bidi="hi-IN"/>
          <w14:ligatures w14:val="none"/>
        </w:rPr>
      </w:pPr>
      <w:r w:rsidRPr="004F2CCE">
        <w:rPr>
          <w:rFonts w:eastAsia="Times New Roman" w:cs="Times New Roman"/>
          <w:color w:val="000000"/>
          <w:kern w:val="0"/>
          <w:szCs w:val="24"/>
          <w:lang w:eastAsia="en-GB" w:bidi="hi-IN"/>
          <w14:ligatures w14:val="none"/>
        </w:rPr>
        <w:t>Chen, Y., Valenzuela, E. and Capener, D. (2023). How hotel firm value fluctuates with alternative leveraging strategies. </w:t>
      </w:r>
      <w:r w:rsidRPr="004F2CCE">
        <w:rPr>
          <w:rFonts w:eastAsia="Times New Roman" w:cs="Times New Roman"/>
          <w:i/>
          <w:iCs/>
          <w:color w:val="000000"/>
          <w:kern w:val="0"/>
          <w:szCs w:val="24"/>
          <w:lang w:eastAsia="en-GB" w:bidi="hi-IN"/>
          <w14:ligatures w14:val="none"/>
        </w:rPr>
        <w:t>The American Journal of Economics and Sociology</w:t>
      </w:r>
      <w:r w:rsidRPr="004F2CCE">
        <w:rPr>
          <w:rFonts w:eastAsia="Times New Roman" w:cs="Times New Roman"/>
          <w:color w:val="000000"/>
          <w:kern w:val="0"/>
          <w:szCs w:val="24"/>
          <w:lang w:eastAsia="en-GB" w:bidi="hi-IN"/>
          <w14:ligatures w14:val="none"/>
        </w:rPr>
        <w:t>, 46(34). doi:https://doi.org/10.1111/ajes.12528.</w:t>
      </w:r>
    </w:p>
    <w:p w14:paraId="7BEC56C5" w14:textId="77777777" w:rsidR="00F46C6C" w:rsidRPr="004F2CCE" w:rsidRDefault="00F46C6C" w:rsidP="00F46C6C">
      <w:pPr>
        <w:spacing w:after="240" w:line="360" w:lineRule="atLeast"/>
        <w:ind w:left="720" w:hanging="720"/>
        <w:rPr>
          <w:rFonts w:eastAsia="Times New Roman" w:cs="Times New Roman"/>
          <w:color w:val="000000"/>
          <w:kern w:val="0"/>
          <w:szCs w:val="24"/>
          <w:lang w:eastAsia="en-GB" w:bidi="hi-IN"/>
          <w14:ligatures w14:val="none"/>
        </w:rPr>
      </w:pPr>
      <w:r w:rsidRPr="004F2CCE">
        <w:rPr>
          <w:rFonts w:eastAsia="Times New Roman" w:cs="Times New Roman"/>
          <w:color w:val="000000"/>
          <w:kern w:val="0"/>
          <w:szCs w:val="24"/>
          <w:lang w:eastAsia="en-GB" w:bidi="hi-IN"/>
          <w14:ligatures w14:val="none"/>
        </w:rPr>
        <w:t>Deloitte (2022). </w:t>
      </w:r>
      <w:r w:rsidRPr="004F2CCE">
        <w:rPr>
          <w:rFonts w:eastAsia="Times New Roman" w:cs="Times New Roman"/>
          <w:i/>
          <w:iCs/>
          <w:color w:val="000000"/>
          <w:kern w:val="0"/>
          <w:szCs w:val="24"/>
          <w:lang w:eastAsia="en-GB" w:bidi="hi-IN"/>
          <w14:ligatures w14:val="none"/>
        </w:rPr>
        <w:t>2022 travel industry outlook | Deloitte</w:t>
      </w:r>
      <w:r w:rsidRPr="004F2CCE">
        <w:rPr>
          <w:rFonts w:eastAsia="Times New Roman" w:cs="Times New Roman"/>
          <w:color w:val="000000"/>
          <w:kern w:val="0"/>
          <w:szCs w:val="24"/>
          <w:lang w:eastAsia="en-GB" w:bidi="hi-IN"/>
          <w14:ligatures w14:val="none"/>
        </w:rPr>
        <w:t>. [online] Deloitte . Available at: https://www.deloitte.com/za/en/Industries/consumer/analysis/gx-travel-hospitality-industry-outlook.html.</w:t>
      </w:r>
    </w:p>
    <w:p w14:paraId="34C9C5CB" w14:textId="77777777" w:rsidR="00F46C6C" w:rsidRPr="004F2CCE" w:rsidRDefault="00F46C6C" w:rsidP="00F46C6C">
      <w:pPr>
        <w:spacing w:after="240" w:line="360" w:lineRule="atLeast"/>
        <w:ind w:left="720" w:hanging="720"/>
        <w:rPr>
          <w:rFonts w:eastAsia="Times New Roman" w:cs="Times New Roman"/>
          <w:color w:val="000000"/>
          <w:kern w:val="0"/>
          <w:szCs w:val="24"/>
          <w:lang w:eastAsia="en-GB" w:bidi="hi-IN"/>
          <w14:ligatures w14:val="none"/>
        </w:rPr>
      </w:pPr>
      <w:r w:rsidRPr="004F2CCE">
        <w:rPr>
          <w:rFonts w:eastAsia="Times New Roman" w:cs="Times New Roman"/>
          <w:color w:val="000000"/>
          <w:kern w:val="0"/>
          <w:szCs w:val="24"/>
          <w:lang w:eastAsia="en-GB" w:bidi="hi-IN"/>
          <w14:ligatures w14:val="none"/>
        </w:rPr>
        <w:t>Drury, C. (2021). </w:t>
      </w:r>
      <w:r w:rsidRPr="004F2CCE">
        <w:rPr>
          <w:rFonts w:eastAsia="Times New Roman" w:cs="Times New Roman"/>
          <w:i/>
          <w:iCs/>
          <w:color w:val="000000"/>
          <w:kern w:val="0"/>
          <w:szCs w:val="24"/>
          <w:lang w:eastAsia="en-GB" w:bidi="hi-IN"/>
          <w14:ligatures w14:val="none"/>
        </w:rPr>
        <w:t>Management And Cost Accounting </w:t>
      </w:r>
      <w:r w:rsidRPr="004F2CCE">
        <w:rPr>
          <w:rFonts w:eastAsia="Times New Roman" w:cs="Times New Roman"/>
          <w:color w:val="000000"/>
          <w:kern w:val="0"/>
          <w:szCs w:val="24"/>
          <w:lang w:eastAsia="en-GB" w:bidi="hi-IN"/>
          <w14:ligatures w14:val="none"/>
        </w:rPr>
        <w:t>. 11th ed. S.L.: Cengage Learning Emea.</w:t>
      </w:r>
    </w:p>
    <w:p w14:paraId="3BB5CAE6" w14:textId="77777777" w:rsidR="00F46C6C" w:rsidRPr="004F2CCE" w:rsidRDefault="00F46C6C" w:rsidP="00F46C6C">
      <w:pPr>
        <w:spacing w:after="240" w:line="360" w:lineRule="atLeast"/>
        <w:ind w:left="720" w:hanging="720"/>
        <w:rPr>
          <w:rFonts w:eastAsia="Times New Roman" w:cs="Times New Roman"/>
          <w:color w:val="000000"/>
          <w:kern w:val="0"/>
          <w:szCs w:val="24"/>
          <w:lang w:eastAsia="en-GB" w:bidi="hi-IN"/>
          <w14:ligatures w14:val="none"/>
        </w:rPr>
      </w:pPr>
      <w:r w:rsidRPr="004F2CCE">
        <w:rPr>
          <w:rFonts w:eastAsia="Times New Roman" w:cs="Times New Roman"/>
          <w:color w:val="000000"/>
          <w:kern w:val="0"/>
          <w:szCs w:val="24"/>
          <w:lang w:eastAsia="en-GB" w:bidi="hi-IN"/>
          <w14:ligatures w14:val="none"/>
        </w:rPr>
        <w:t>Jerez, M.J. and Foroudi, P. (2024). </w:t>
      </w:r>
      <w:r w:rsidRPr="004F2CCE">
        <w:rPr>
          <w:rFonts w:eastAsia="Times New Roman" w:cs="Times New Roman"/>
          <w:i/>
          <w:iCs/>
          <w:color w:val="000000"/>
          <w:kern w:val="0"/>
          <w:szCs w:val="24"/>
          <w:lang w:eastAsia="en-GB" w:bidi="hi-IN"/>
          <w14:ligatures w14:val="none"/>
        </w:rPr>
        <w:t>Entrepreneurial Innovation in the International Business of Tourism</w:t>
      </w:r>
      <w:r w:rsidRPr="004F2CCE">
        <w:rPr>
          <w:rFonts w:eastAsia="Times New Roman" w:cs="Times New Roman"/>
          <w:color w:val="000000"/>
          <w:kern w:val="0"/>
          <w:szCs w:val="24"/>
          <w:lang w:eastAsia="en-GB" w:bidi="hi-IN"/>
          <w14:ligatures w14:val="none"/>
        </w:rPr>
        <w:t>. Taylor &amp; Francis.</w:t>
      </w:r>
    </w:p>
    <w:p w14:paraId="48359E57" w14:textId="77777777" w:rsidR="00F46C6C" w:rsidRPr="004F2CCE" w:rsidRDefault="00F46C6C" w:rsidP="00F46C6C">
      <w:pPr>
        <w:spacing w:after="240" w:line="360" w:lineRule="atLeast"/>
        <w:ind w:left="720" w:hanging="720"/>
        <w:rPr>
          <w:rFonts w:eastAsia="Times New Roman" w:cs="Times New Roman"/>
          <w:color w:val="000000"/>
          <w:kern w:val="0"/>
          <w:szCs w:val="24"/>
          <w:lang w:eastAsia="en-GB" w:bidi="hi-IN"/>
          <w14:ligatures w14:val="none"/>
        </w:rPr>
      </w:pPr>
      <w:r w:rsidRPr="004F2CCE">
        <w:rPr>
          <w:rFonts w:eastAsia="Times New Roman" w:cs="Times New Roman"/>
          <w:color w:val="000000"/>
          <w:kern w:val="0"/>
          <w:szCs w:val="24"/>
          <w:lang w:eastAsia="en-GB" w:bidi="hi-IN"/>
          <w14:ligatures w14:val="none"/>
        </w:rPr>
        <w:t>Johnson, G., Scholes, K. and Whittington, R. (2021). </w:t>
      </w:r>
      <w:r w:rsidRPr="004F2CCE">
        <w:rPr>
          <w:rFonts w:eastAsia="Times New Roman" w:cs="Times New Roman"/>
          <w:i/>
          <w:iCs/>
          <w:color w:val="000000"/>
          <w:kern w:val="0"/>
          <w:szCs w:val="24"/>
          <w:lang w:eastAsia="en-GB" w:bidi="hi-IN"/>
          <w14:ligatures w14:val="none"/>
        </w:rPr>
        <w:t>Exploring corporate strategy text &amp; cases.</w:t>
      </w:r>
      <w:r w:rsidRPr="004F2CCE">
        <w:rPr>
          <w:rFonts w:eastAsia="Times New Roman" w:cs="Times New Roman"/>
          <w:color w:val="000000"/>
          <w:kern w:val="0"/>
          <w:szCs w:val="24"/>
          <w:lang w:eastAsia="en-GB" w:bidi="hi-IN"/>
          <w14:ligatures w14:val="none"/>
        </w:rPr>
        <w:t> Harlow [Etc.] Pearson Education.</w:t>
      </w:r>
    </w:p>
    <w:p w14:paraId="4C083FB4" w14:textId="77777777" w:rsidR="00F46C6C" w:rsidRPr="004F2CCE" w:rsidRDefault="00F46C6C" w:rsidP="00F46C6C">
      <w:pPr>
        <w:spacing w:after="240" w:line="360" w:lineRule="atLeast"/>
        <w:ind w:left="720" w:hanging="720"/>
        <w:rPr>
          <w:rFonts w:eastAsia="Times New Roman" w:cs="Times New Roman"/>
          <w:color w:val="000000"/>
          <w:kern w:val="0"/>
          <w:szCs w:val="24"/>
          <w:lang w:eastAsia="en-GB" w:bidi="hi-IN"/>
          <w14:ligatures w14:val="none"/>
        </w:rPr>
      </w:pPr>
      <w:r w:rsidRPr="004F2CCE">
        <w:rPr>
          <w:rFonts w:eastAsia="Times New Roman" w:cs="Times New Roman"/>
          <w:color w:val="000000"/>
          <w:kern w:val="0"/>
          <w:szCs w:val="24"/>
          <w:lang w:eastAsia="en-GB" w:bidi="hi-IN"/>
          <w14:ligatures w14:val="none"/>
        </w:rPr>
        <w:lastRenderedPageBreak/>
        <w:t>Khan, I., Zedadra, O., Guerrieri, A. and Spezzano, G. (2024). Occupancy Prediction in IoT-Enabled Smart Buildings: Technologies, Methods, and Future Directions. </w:t>
      </w:r>
      <w:r w:rsidRPr="004F2CCE">
        <w:rPr>
          <w:rFonts w:eastAsia="Times New Roman" w:cs="Times New Roman"/>
          <w:i/>
          <w:iCs/>
          <w:color w:val="000000"/>
          <w:kern w:val="0"/>
          <w:szCs w:val="24"/>
          <w:lang w:eastAsia="en-GB" w:bidi="hi-IN"/>
          <w14:ligatures w14:val="none"/>
        </w:rPr>
        <w:t>Sensors</w:t>
      </w:r>
      <w:r w:rsidRPr="004F2CCE">
        <w:rPr>
          <w:rFonts w:eastAsia="Times New Roman" w:cs="Times New Roman"/>
          <w:color w:val="000000"/>
          <w:kern w:val="0"/>
          <w:szCs w:val="24"/>
          <w:lang w:eastAsia="en-GB" w:bidi="hi-IN"/>
          <w14:ligatures w14:val="none"/>
        </w:rPr>
        <w:t>, 24(11), pp.3276–3276. doi:https://doi.org/10.3390/s24113276.</w:t>
      </w:r>
    </w:p>
    <w:p w14:paraId="7380BCE5" w14:textId="77777777" w:rsidR="00F46C6C" w:rsidRPr="004F2CCE" w:rsidRDefault="00F46C6C" w:rsidP="00F46C6C">
      <w:pPr>
        <w:spacing w:after="240" w:line="360" w:lineRule="atLeast"/>
        <w:ind w:left="720" w:hanging="720"/>
        <w:rPr>
          <w:rFonts w:eastAsia="Times New Roman" w:cs="Times New Roman"/>
          <w:color w:val="000000"/>
          <w:kern w:val="0"/>
          <w:szCs w:val="24"/>
          <w:lang w:eastAsia="en-GB" w:bidi="hi-IN"/>
          <w14:ligatures w14:val="none"/>
        </w:rPr>
      </w:pPr>
      <w:r w:rsidRPr="004F2CCE">
        <w:rPr>
          <w:rFonts w:eastAsia="Times New Roman" w:cs="Times New Roman"/>
          <w:color w:val="000000"/>
          <w:kern w:val="0"/>
          <w:szCs w:val="24"/>
          <w:lang w:eastAsia="en-GB" w:bidi="hi-IN"/>
          <w14:ligatures w14:val="none"/>
        </w:rPr>
        <w:t>Lee, S., Song, H.J., Yoon, H., Kim, C.-S. and Ham, S. (2024). Resilience of the hospitality industry during crises: A comparison between the 2008 financial crisis and COVID-19. </w:t>
      </w:r>
      <w:r w:rsidRPr="004F2CCE">
        <w:rPr>
          <w:rFonts w:eastAsia="Times New Roman" w:cs="Times New Roman"/>
          <w:i/>
          <w:iCs/>
          <w:color w:val="000000"/>
          <w:kern w:val="0"/>
          <w:szCs w:val="24"/>
          <w:lang w:eastAsia="en-GB" w:bidi="hi-IN"/>
          <w14:ligatures w14:val="none"/>
        </w:rPr>
        <w:t>International Journal of Hospitality Management</w:t>
      </w:r>
      <w:r w:rsidRPr="004F2CCE">
        <w:rPr>
          <w:rFonts w:eastAsia="Times New Roman" w:cs="Times New Roman"/>
          <w:color w:val="000000"/>
          <w:kern w:val="0"/>
          <w:szCs w:val="24"/>
          <w:lang w:eastAsia="en-GB" w:bidi="hi-IN"/>
          <w14:ligatures w14:val="none"/>
        </w:rPr>
        <w:t>, 116(6), p.103622. doi:https://doi.org/10.1016/j.ijhm.2023.103622.</w:t>
      </w:r>
    </w:p>
    <w:p w14:paraId="2CDB9B99" w14:textId="77777777" w:rsidR="00F46C6C" w:rsidRPr="004F2CCE" w:rsidRDefault="00F46C6C" w:rsidP="00F46C6C">
      <w:pPr>
        <w:spacing w:after="240" w:line="360" w:lineRule="atLeast"/>
        <w:ind w:left="720" w:hanging="720"/>
        <w:rPr>
          <w:rFonts w:eastAsia="Times New Roman" w:cs="Times New Roman"/>
          <w:color w:val="000000"/>
          <w:kern w:val="0"/>
          <w:szCs w:val="24"/>
          <w:lang w:eastAsia="en-GB" w:bidi="hi-IN"/>
          <w14:ligatures w14:val="none"/>
        </w:rPr>
      </w:pPr>
      <w:r w:rsidRPr="004F2CCE">
        <w:rPr>
          <w:rFonts w:eastAsia="Times New Roman" w:cs="Times New Roman"/>
          <w:color w:val="000000"/>
          <w:kern w:val="0"/>
          <w:szCs w:val="24"/>
          <w:lang w:eastAsia="en-GB" w:bidi="hi-IN"/>
          <w14:ligatures w14:val="none"/>
        </w:rPr>
        <w:t>Rady, A., Abdelaziz, M. and Touni, R. (2023). The Impact of Price Fairness on the Perceived Value and Customer Satisfaction Under the Exchange Rate Change in Hotels in Egypt. </w:t>
      </w:r>
      <w:r w:rsidRPr="004F2CCE">
        <w:rPr>
          <w:rFonts w:eastAsia="Times New Roman" w:cs="Times New Roman"/>
          <w:i/>
          <w:iCs/>
          <w:color w:val="000000"/>
          <w:kern w:val="0"/>
          <w:szCs w:val="24"/>
          <w:lang w:eastAsia="en-GB" w:bidi="hi-IN"/>
          <w14:ligatures w14:val="none"/>
        </w:rPr>
        <w:t>Journal of Association of Arab Universities for Tourism and Hospitality (JAAUTH) (Print)</w:t>
      </w:r>
      <w:r w:rsidRPr="004F2CCE">
        <w:rPr>
          <w:rFonts w:eastAsia="Times New Roman" w:cs="Times New Roman"/>
          <w:color w:val="000000"/>
          <w:kern w:val="0"/>
          <w:szCs w:val="24"/>
          <w:lang w:eastAsia="en-GB" w:bidi="hi-IN"/>
          <w14:ligatures w14:val="none"/>
        </w:rPr>
        <w:t>, 25(2), pp.68–104. doi:https://doi.org/10.21608/jaauth.2024.254341.1534.</w:t>
      </w:r>
    </w:p>
    <w:p w14:paraId="7FED008A" w14:textId="77777777" w:rsidR="00F46C6C" w:rsidRPr="004F2CCE" w:rsidRDefault="00F46C6C" w:rsidP="00F46C6C">
      <w:pPr>
        <w:spacing w:after="240" w:line="360" w:lineRule="atLeast"/>
        <w:ind w:left="720" w:hanging="720"/>
        <w:rPr>
          <w:rFonts w:eastAsia="Times New Roman" w:cs="Times New Roman"/>
          <w:color w:val="000000"/>
          <w:kern w:val="0"/>
          <w:szCs w:val="24"/>
          <w:lang w:eastAsia="en-GB" w:bidi="hi-IN"/>
          <w14:ligatures w14:val="none"/>
        </w:rPr>
      </w:pPr>
      <w:r w:rsidRPr="004F2CCE">
        <w:rPr>
          <w:rFonts w:eastAsia="Times New Roman" w:cs="Times New Roman"/>
          <w:color w:val="000000"/>
          <w:kern w:val="0"/>
          <w:szCs w:val="24"/>
          <w:lang w:eastAsia="en-GB" w:bidi="hi-IN"/>
          <w14:ligatures w14:val="none"/>
        </w:rPr>
        <w:t>Romanopoulos, A. and Metaxas, T. (2024). Financial Determinants of Hotel Bankruptcy in Greece: A Multi-Period Logit Estimation. </w:t>
      </w:r>
      <w:r w:rsidRPr="004F2CCE">
        <w:rPr>
          <w:rFonts w:eastAsia="Times New Roman" w:cs="Times New Roman"/>
          <w:i/>
          <w:iCs/>
          <w:color w:val="000000"/>
          <w:kern w:val="0"/>
          <w:szCs w:val="24"/>
          <w:lang w:eastAsia="en-GB" w:bidi="hi-IN"/>
          <w14:ligatures w14:val="none"/>
        </w:rPr>
        <w:t>The Journal of developing areas</w:t>
      </w:r>
      <w:r w:rsidRPr="004F2CCE">
        <w:rPr>
          <w:rFonts w:eastAsia="Times New Roman" w:cs="Times New Roman"/>
          <w:color w:val="000000"/>
          <w:kern w:val="0"/>
          <w:szCs w:val="24"/>
          <w:lang w:eastAsia="en-GB" w:bidi="hi-IN"/>
          <w14:ligatures w14:val="none"/>
        </w:rPr>
        <w:t>, 58(3), pp.91–111. doi:https://doi.org/10.1353/jda.2024.a929942.</w:t>
      </w:r>
    </w:p>
    <w:p w14:paraId="423AA4AB" w14:textId="77777777" w:rsidR="00F46C6C" w:rsidRPr="004F2CCE" w:rsidRDefault="00F46C6C" w:rsidP="00F46C6C">
      <w:pPr>
        <w:spacing w:after="240" w:line="360" w:lineRule="atLeast"/>
        <w:ind w:left="720" w:hanging="720"/>
        <w:rPr>
          <w:rFonts w:eastAsia="Times New Roman" w:cs="Times New Roman"/>
          <w:color w:val="000000"/>
          <w:kern w:val="0"/>
          <w:szCs w:val="24"/>
          <w:lang w:eastAsia="en-GB" w:bidi="hi-IN"/>
          <w14:ligatures w14:val="none"/>
        </w:rPr>
      </w:pPr>
      <w:r w:rsidRPr="004F2CCE">
        <w:rPr>
          <w:rFonts w:eastAsia="Times New Roman" w:cs="Times New Roman"/>
          <w:color w:val="000000"/>
          <w:kern w:val="0"/>
          <w:szCs w:val="24"/>
          <w:lang w:eastAsia="en-GB" w:bidi="hi-IN"/>
          <w14:ligatures w14:val="none"/>
        </w:rPr>
        <w:t>Saepudin, A. and Rinandiyana, L.R. (2024). The Influence of Net Profit Margin and Debt to Equity Ratio on Company Value in the Cement Sub-Sector on the Indonesian Stock Exchange. </w:t>
      </w:r>
      <w:r w:rsidRPr="004F2CCE">
        <w:rPr>
          <w:rFonts w:eastAsia="Times New Roman" w:cs="Times New Roman"/>
          <w:i/>
          <w:iCs/>
          <w:color w:val="000000"/>
          <w:kern w:val="0"/>
          <w:szCs w:val="24"/>
          <w:lang w:eastAsia="en-GB" w:bidi="hi-IN"/>
          <w14:ligatures w14:val="none"/>
        </w:rPr>
        <w:t>Almana/Almana : jurnal manajemen dan bisnis</w:t>
      </w:r>
      <w:r w:rsidRPr="004F2CCE">
        <w:rPr>
          <w:rFonts w:eastAsia="Times New Roman" w:cs="Times New Roman"/>
          <w:color w:val="000000"/>
          <w:kern w:val="0"/>
          <w:szCs w:val="24"/>
          <w:lang w:eastAsia="en-GB" w:bidi="hi-IN"/>
          <w14:ligatures w14:val="none"/>
        </w:rPr>
        <w:t>, 8(1), pp.137–147. doi:https://doi.org/10.36555/almana.v8i1.2470.</w:t>
      </w:r>
    </w:p>
    <w:p w14:paraId="5ECC1BBF" w14:textId="77777777" w:rsidR="00F46C6C" w:rsidRPr="004F2CCE" w:rsidRDefault="00F46C6C" w:rsidP="00F46C6C">
      <w:pPr>
        <w:spacing w:after="240" w:line="360" w:lineRule="atLeast"/>
        <w:ind w:left="720" w:hanging="720"/>
        <w:rPr>
          <w:rFonts w:eastAsia="Times New Roman" w:cs="Times New Roman"/>
          <w:color w:val="000000"/>
          <w:kern w:val="0"/>
          <w:szCs w:val="24"/>
          <w:lang w:eastAsia="en-GB" w:bidi="hi-IN"/>
          <w14:ligatures w14:val="none"/>
        </w:rPr>
      </w:pPr>
      <w:r w:rsidRPr="004F2CCE">
        <w:rPr>
          <w:rFonts w:eastAsia="Times New Roman" w:cs="Times New Roman"/>
          <w:color w:val="000000"/>
          <w:kern w:val="0"/>
          <w:szCs w:val="24"/>
          <w:lang w:eastAsia="en-GB" w:bidi="hi-IN"/>
          <w14:ligatures w14:val="none"/>
        </w:rPr>
        <w:t>Santos, M.J.C., Romero, A.P. and Navarro, D.G. (2023). A Luxury Tourist Destination in Housing for Tourist Purposes: A Study of the New Airbnb Luxe Platform in the Case of Marbella. </w:t>
      </w:r>
      <w:r w:rsidRPr="004F2CCE">
        <w:rPr>
          <w:rFonts w:eastAsia="Times New Roman" w:cs="Times New Roman"/>
          <w:i/>
          <w:iCs/>
          <w:color w:val="000000"/>
          <w:kern w:val="0"/>
          <w:szCs w:val="24"/>
          <w:lang w:eastAsia="en-GB" w:bidi="hi-IN"/>
          <w14:ligatures w14:val="none"/>
        </w:rPr>
        <w:t>Journal of Theoretical and Applied Electronic Commerce Research</w:t>
      </w:r>
      <w:r w:rsidRPr="004F2CCE">
        <w:rPr>
          <w:rFonts w:eastAsia="Times New Roman" w:cs="Times New Roman"/>
          <w:color w:val="000000"/>
          <w:kern w:val="0"/>
          <w:szCs w:val="24"/>
          <w:lang w:eastAsia="en-GB" w:bidi="hi-IN"/>
          <w14:ligatures w14:val="none"/>
        </w:rPr>
        <w:t>, 18(2), pp.1020–1040. doi:https://doi.org/10.3390/jtaer18020052.</w:t>
      </w:r>
    </w:p>
    <w:p w14:paraId="5751503E" w14:textId="77777777" w:rsidR="00F46C6C" w:rsidRPr="004F2CCE" w:rsidRDefault="00F46C6C" w:rsidP="00F46C6C">
      <w:pPr>
        <w:spacing w:after="240" w:line="360" w:lineRule="atLeast"/>
        <w:ind w:left="720" w:hanging="720"/>
        <w:rPr>
          <w:rFonts w:eastAsia="Times New Roman" w:cs="Times New Roman"/>
          <w:color w:val="000000"/>
          <w:kern w:val="0"/>
          <w:szCs w:val="24"/>
          <w:lang w:eastAsia="en-GB" w:bidi="hi-IN"/>
          <w14:ligatures w14:val="none"/>
        </w:rPr>
      </w:pPr>
      <w:r w:rsidRPr="004F2CCE">
        <w:rPr>
          <w:rFonts w:eastAsia="Times New Roman" w:cs="Times New Roman"/>
          <w:color w:val="000000"/>
          <w:kern w:val="0"/>
          <w:szCs w:val="24"/>
          <w:lang w:eastAsia="en-GB" w:bidi="hi-IN"/>
          <w14:ligatures w14:val="none"/>
        </w:rPr>
        <w:t>Seal, W., Rohde, C., Garrison, R. and Noreen, E. (2018). </w:t>
      </w:r>
      <w:r w:rsidRPr="004F2CCE">
        <w:rPr>
          <w:rFonts w:eastAsia="Times New Roman" w:cs="Times New Roman"/>
          <w:i/>
          <w:iCs/>
          <w:color w:val="000000"/>
          <w:kern w:val="0"/>
          <w:szCs w:val="24"/>
          <w:lang w:eastAsia="en-GB" w:bidi="hi-IN"/>
          <w14:ligatures w14:val="none"/>
        </w:rPr>
        <w:t>EBOOK: Management Accounting</w:t>
      </w:r>
      <w:r w:rsidRPr="004F2CCE">
        <w:rPr>
          <w:rFonts w:eastAsia="Times New Roman" w:cs="Times New Roman"/>
          <w:color w:val="000000"/>
          <w:kern w:val="0"/>
          <w:szCs w:val="24"/>
          <w:lang w:eastAsia="en-GB" w:bidi="hi-IN"/>
          <w14:ligatures w14:val="none"/>
        </w:rPr>
        <w:t>. 6th ed. McGraw-Hill Education (UK).</w:t>
      </w:r>
    </w:p>
    <w:p w14:paraId="65803CE7" w14:textId="77777777" w:rsidR="00F46C6C" w:rsidRPr="004F2CCE" w:rsidRDefault="00F46C6C" w:rsidP="00F46C6C">
      <w:pPr>
        <w:spacing w:after="240" w:line="360" w:lineRule="atLeast"/>
        <w:ind w:left="720" w:hanging="720"/>
        <w:rPr>
          <w:rFonts w:eastAsia="Times New Roman" w:cs="Times New Roman"/>
          <w:color w:val="000000"/>
          <w:kern w:val="0"/>
          <w:szCs w:val="24"/>
          <w:lang w:eastAsia="en-GB" w:bidi="hi-IN"/>
          <w14:ligatures w14:val="none"/>
        </w:rPr>
      </w:pPr>
      <w:r w:rsidRPr="004F2CCE">
        <w:rPr>
          <w:rFonts w:eastAsia="Times New Roman" w:cs="Times New Roman"/>
          <w:color w:val="000000"/>
          <w:kern w:val="0"/>
          <w:szCs w:val="24"/>
          <w:lang w:eastAsia="en-GB" w:bidi="hi-IN"/>
          <w14:ligatures w14:val="none"/>
        </w:rPr>
        <w:t>Shanshool, H.M. and Al-Mashhadani, N.A. (2024). Bridging theory and practice: International valuation standards and asset valuation in the telecommunications sector. </w:t>
      </w:r>
      <w:r w:rsidRPr="004F2CCE">
        <w:rPr>
          <w:rFonts w:eastAsia="Times New Roman" w:cs="Times New Roman"/>
          <w:i/>
          <w:iCs/>
          <w:color w:val="000000"/>
          <w:kern w:val="0"/>
          <w:szCs w:val="24"/>
          <w:lang w:eastAsia="en-GB" w:bidi="hi-IN"/>
          <w14:ligatures w14:val="none"/>
        </w:rPr>
        <w:t>Investment Management and Financial Innovations</w:t>
      </w:r>
      <w:r w:rsidRPr="004F2CCE">
        <w:rPr>
          <w:rFonts w:eastAsia="Times New Roman" w:cs="Times New Roman"/>
          <w:color w:val="000000"/>
          <w:kern w:val="0"/>
          <w:szCs w:val="24"/>
          <w:lang w:eastAsia="en-GB" w:bidi="hi-IN"/>
          <w14:ligatures w14:val="none"/>
        </w:rPr>
        <w:t>, 21(2), pp.300–309. doi:https://doi.org/10.21511/imfi.21(2).2024.24.</w:t>
      </w:r>
    </w:p>
    <w:p w14:paraId="03AD56B8" w14:textId="77777777" w:rsidR="00F46C6C" w:rsidRPr="004F2CCE" w:rsidRDefault="00F46C6C" w:rsidP="00F46C6C">
      <w:pPr>
        <w:spacing w:after="240" w:line="360" w:lineRule="atLeast"/>
        <w:ind w:left="720" w:hanging="720"/>
        <w:rPr>
          <w:rFonts w:eastAsia="Times New Roman" w:cs="Times New Roman"/>
          <w:color w:val="000000"/>
          <w:kern w:val="0"/>
          <w:szCs w:val="24"/>
          <w:lang w:eastAsia="en-GB" w:bidi="hi-IN"/>
          <w14:ligatures w14:val="none"/>
        </w:rPr>
      </w:pPr>
      <w:r w:rsidRPr="004F2CCE">
        <w:rPr>
          <w:rFonts w:eastAsia="Times New Roman" w:cs="Times New Roman"/>
          <w:color w:val="000000"/>
          <w:kern w:val="0"/>
          <w:szCs w:val="24"/>
          <w:lang w:eastAsia="en-GB" w:bidi="hi-IN"/>
          <w14:ligatures w14:val="none"/>
        </w:rPr>
        <w:t>Sujood, S., Ali, R.R., Mohd Arwab and Hamid, S. (2023). Post-pandemic intention of the tourism and hospitality (t&amp;h) industry employees towards the use of information technology. </w:t>
      </w:r>
      <w:r w:rsidRPr="004F2CCE">
        <w:rPr>
          <w:rFonts w:eastAsia="Times New Roman" w:cs="Times New Roman"/>
          <w:i/>
          <w:iCs/>
          <w:color w:val="000000"/>
          <w:kern w:val="0"/>
          <w:szCs w:val="24"/>
          <w:lang w:eastAsia="en-GB" w:bidi="hi-IN"/>
          <w14:ligatures w14:val="none"/>
        </w:rPr>
        <w:t>Tourism hospitality management</w:t>
      </w:r>
      <w:r w:rsidRPr="004F2CCE">
        <w:rPr>
          <w:rFonts w:eastAsia="Times New Roman" w:cs="Times New Roman"/>
          <w:color w:val="000000"/>
          <w:kern w:val="0"/>
          <w:szCs w:val="24"/>
          <w:lang w:eastAsia="en-GB" w:bidi="hi-IN"/>
          <w14:ligatures w14:val="none"/>
        </w:rPr>
        <w:t>, 29(2), pp.279–295. doi:https://doi.org/10.20867/thm.29.2.12.</w:t>
      </w:r>
    </w:p>
    <w:p w14:paraId="2BE47A6E" w14:textId="77777777" w:rsidR="00F46C6C" w:rsidRPr="004F2CCE" w:rsidRDefault="00F46C6C" w:rsidP="00F46C6C">
      <w:pPr>
        <w:spacing w:after="240" w:line="360" w:lineRule="atLeast"/>
        <w:ind w:left="720" w:hanging="720"/>
        <w:rPr>
          <w:rFonts w:eastAsia="Times New Roman" w:cs="Times New Roman"/>
          <w:color w:val="000000"/>
          <w:kern w:val="0"/>
          <w:szCs w:val="24"/>
          <w:lang w:eastAsia="en-GB" w:bidi="hi-IN"/>
          <w14:ligatures w14:val="none"/>
        </w:rPr>
      </w:pPr>
      <w:r w:rsidRPr="004F2CCE">
        <w:rPr>
          <w:rFonts w:eastAsia="Times New Roman" w:cs="Times New Roman"/>
          <w:color w:val="000000"/>
          <w:kern w:val="0"/>
          <w:szCs w:val="24"/>
          <w:lang w:eastAsia="en-GB" w:bidi="hi-IN"/>
          <w14:ligatures w14:val="none"/>
        </w:rPr>
        <w:lastRenderedPageBreak/>
        <w:t>Suyono, J., Alimudin, A., Elisabeth, D.R., Sukaris, S. and Darmayanti, N. (2024). Increasing Financial Efficiency and Employee Performance through Work From Home - Work From Office Work Method Implementation Strategies: A Conceptual Framework for Future Research Agenda. </w:t>
      </w:r>
      <w:r w:rsidRPr="004F2CCE">
        <w:rPr>
          <w:rFonts w:eastAsia="Times New Roman" w:cs="Times New Roman"/>
          <w:i/>
          <w:iCs/>
          <w:color w:val="000000"/>
          <w:kern w:val="0"/>
          <w:szCs w:val="24"/>
          <w:lang w:eastAsia="en-GB" w:bidi="hi-IN"/>
          <w14:ligatures w14:val="none"/>
        </w:rPr>
        <w:t>Atestasi : Jurnal Ilmiah Akuntansi</w:t>
      </w:r>
      <w:r w:rsidRPr="004F2CCE">
        <w:rPr>
          <w:rFonts w:eastAsia="Times New Roman" w:cs="Times New Roman"/>
          <w:color w:val="000000"/>
          <w:kern w:val="0"/>
          <w:szCs w:val="24"/>
          <w:lang w:eastAsia="en-GB" w:bidi="hi-IN"/>
          <w14:ligatures w14:val="none"/>
        </w:rPr>
        <w:t>, [online] 7(1), pp.369–402. doi:https://doi.org/10.57178/atestasi.v7i1.795.</w:t>
      </w:r>
    </w:p>
    <w:p w14:paraId="07187F34" w14:textId="77777777" w:rsidR="00A724F1" w:rsidRPr="00A724F1" w:rsidRDefault="00A724F1" w:rsidP="00027BF3"/>
    <w:sectPr w:rsidR="00A724F1" w:rsidRPr="00A724F1">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2AF963C" w14:textId="77777777" w:rsidR="00AC4DEE" w:rsidRDefault="00AC4DEE" w:rsidP="0085164F">
      <w:pPr>
        <w:spacing w:line="240" w:lineRule="auto"/>
      </w:pPr>
      <w:r>
        <w:separator/>
      </w:r>
    </w:p>
  </w:endnote>
  <w:endnote w:type="continuationSeparator" w:id="0">
    <w:p w14:paraId="3759E2BC" w14:textId="77777777" w:rsidR="00AC4DEE" w:rsidRDefault="00AC4DEE" w:rsidP="0085164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946454799"/>
      <w:docPartObj>
        <w:docPartGallery w:val="Page Numbers (Bottom of Page)"/>
        <w:docPartUnique/>
      </w:docPartObj>
    </w:sdtPr>
    <w:sdtEndPr>
      <w:rPr>
        <w:rStyle w:val="PageNumber"/>
      </w:rPr>
    </w:sdtEndPr>
    <w:sdtContent>
      <w:p w14:paraId="04657C4B" w14:textId="77777777" w:rsidR="0085164F" w:rsidRDefault="0085164F" w:rsidP="00F974B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45DEEB6" w14:textId="77777777" w:rsidR="0085164F" w:rsidRDefault="0085164F" w:rsidP="008516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245103765"/>
      <w:docPartObj>
        <w:docPartGallery w:val="Page Numbers (Bottom of Page)"/>
        <w:docPartUnique/>
      </w:docPartObj>
    </w:sdtPr>
    <w:sdtEndPr>
      <w:rPr>
        <w:rStyle w:val="PageNumber"/>
      </w:rPr>
    </w:sdtEndPr>
    <w:sdtContent>
      <w:p w14:paraId="04CC3594" w14:textId="264F59D9" w:rsidR="0085164F" w:rsidRDefault="0085164F" w:rsidP="00F974B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DC7450">
          <w:rPr>
            <w:rStyle w:val="PageNumber"/>
            <w:noProof/>
          </w:rPr>
          <w:t>1</w:t>
        </w:r>
        <w:r>
          <w:rPr>
            <w:rStyle w:val="PageNumber"/>
          </w:rPr>
          <w:fldChar w:fldCharType="end"/>
        </w:r>
      </w:p>
    </w:sdtContent>
  </w:sdt>
  <w:p w14:paraId="29301D4C" w14:textId="77777777" w:rsidR="0085164F" w:rsidRDefault="0085164F" w:rsidP="0085164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9C17DA5" w14:textId="77777777" w:rsidR="00AC4DEE" w:rsidRDefault="00AC4DEE" w:rsidP="0085164F">
      <w:pPr>
        <w:spacing w:line="240" w:lineRule="auto"/>
      </w:pPr>
      <w:r>
        <w:separator/>
      </w:r>
    </w:p>
  </w:footnote>
  <w:footnote w:type="continuationSeparator" w:id="0">
    <w:p w14:paraId="2338BAEA" w14:textId="77777777" w:rsidR="00AC4DEE" w:rsidRDefault="00AC4DEE" w:rsidP="0085164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2D75788"/>
    <w:multiLevelType w:val="multilevel"/>
    <w:tmpl w:val="6F5CA4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F7D1766"/>
    <w:multiLevelType w:val="hybridMultilevel"/>
    <w:tmpl w:val="A71C68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EE301D2"/>
    <w:multiLevelType w:val="hybridMultilevel"/>
    <w:tmpl w:val="FCA4B1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1493E23"/>
    <w:multiLevelType w:val="multilevel"/>
    <w:tmpl w:val="FCC6E3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378244F"/>
    <w:multiLevelType w:val="multilevel"/>
    <w:tmpl w:val="5F0A96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7874A80"/>
    <w:multiLevelType w:val="multilevel"/>
    <w:tmpl w:val="87B6E0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F483A65"/>
    <w:multiLevelType w:val="hybridMultilevel"/>
    <w:tmpl w:val="E08ABC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4"/>
  </w:num>
  <w:num w:numId="4">
    <w:abstractNumId w:val="1"/>
  </w:num>
  <w:num w:numId="5">
    <w:abstractNumId w:val="6"/>
  </w:num>
  <w:num w:numId="6">
    <w:abstractNumId w:val="2"/>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724F1"/>
    <w:rsid w:val="00027BF3"/>
    <w:rsid w:val="00056A8E"/>
    <w:rsid w:val="001E327D"/>
    <w:rsid w:val="00253B60"/>
    <w:rsid w:val="00262D16"/>
    <w:rsid w:val="002D02CC"/>
    <w:rsid w:val="00306B74"/>
    <w:rsid w:val="003F4573"/>
    <w:rsid w:val="005B2A3D"/>
    <w:rsid w:val="00631669"/>
    <w:rsid w:val="006A7441"/>
    <w:rsid w:val="00776C68"/>
    <w:rsid w:val="00797CC3"/>
    <w:rsid w:val="007C788F"/>
    <w:rsid w:val="008166FF"/>
    <w:rsid w:val="0085164F"/>
    <w:rsid w:val="00861969"/>
    <w:rsid w:val="008B78A6"/>
    <w:rsid w:val="009355BB"/>
    <w:rsid w:val="00A70E51"/>
    <w:rsid w:val="00A724F1"/>
    <w:rsid w:val="00AC4DEE"/>
    <w:rsid w:val="00B56029"/>
    <w:rsid w:val="00BD25F6"/>
    <w:rsid w:val="00C842CD"/>
    <w:rsid w:val="00D71887"/>
    <w:rsid w:val="00DC7450"/>
    <w:rsid w:val="00E912C6"/>
    <w:rsid w:val="00EA0178"/>
    <w:rsid w:val="00EA6C9A"/>
    <w:rsid w:val="00F46C6C"/>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AFAEF7"/>
  <w15:chartTrackingRefBased/>
  <w15:docId w15:val="{189381A7-A72C-E341-BF67-94AFD97E5F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30"/>
        <w:lang w:val="en-GB" w:eastAsia="en-US" w:bidi="bn-IN"/>
        <w14:ligatures w14:val="standardContextual"/>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71887"/>
    <w:pPr>
      <w:spacing w:line="360" w:lineRule="auto"/>
      <w:jc w:val="both"/>
    </w:pPr>
    <w:rPr>
      <w:rFonts w:ascii="Times New Roman" w:hAnsi="Times New Roman" w:cs="Vrinda"/>
      <w:color w:val="000000" w:themeColor="text1"/>
    </w:rPr>
  </w:style>
  <w:style w:type="paragraph" w:styleId="Heading1">
    <w:name w:val="heading 1"/>
    <w:basedOn w:val="Normal"/>
    <w:next w:val="Normal"/>
    <w:link w:val="Heading1Char"/>
    <w:uiPriority w:val="9"/>
    <w:qFormat/>
    <w:rsid w:val="00A724F1"/>
    <w:pPr>
      <w:outlineLvl w:val="0"/>
    </w:pPr>
    <w:rPr>
      <w:b/>
      <w:sz w:val="28"/>
    </w:rPr>
  </w:style>
  <w:style w:type="paragraph" w:styleId="Heading2">
    <w:name w:val="heading 2"/>
    <w:basedOn w:val="Normal"/>
    <w:next w:val="Normal"/>
    <w:link w:val="Heading2Char"/>
    <w:uiPriority w:val="9"/>
    <w:unhideWhenUsed/>
    <w:qFormat/>
    <w:rsid w:val="00A724F1"/>
    <w:pPr>
      <w:keepNext/>
      <w:keepLines/>
      <w:spacing w:before="40"/>
      <w:outlineLvl w:val="1"/>
    </w:pPr>
    <w:rPr>
      <w:rFonts w:eastAsiaTheme="majorEastAsia" w:cstheme="majorBidi"/>
      <w:b/>
      <w:szCs w:val="33"/>
    </w:rPr>
  </w:style>
  <w:style w:type="paragraph" w:styleId="Heading3">
    <w:name w:val="heading 3"/>
    <w:basedOn w:val="Normal"/>
    <w:next w:val="Normal"/>
    <w:link w:val="Heading3Char"/>
    <w:uiPriority w:val="9"/>
    <w:semiHidden/>
    <w:unhideWhenUsed/>
    <w:qFormat/>
    <w:rsid w:val="00A70E51"/>
    <w:pPr>
      <w:keepNext/>
      <w:keepLines/>
      <w:spacing w:before="40"/>
      <w:outlineLvl w:val="2"/>
    </w:pPr>
    <w:rPr>
      <w:rFonts w:eastAsiaTheme="majorEastAsia" w:cstheme="majorBidi"/>
      <w:b/>
    </w:rPr>
  </w:style>
  <w:style w:type="paragraph" w:styleId="Heading4">
    <w:name w:val="heading 4"/>
    <w:basedOn w:val="Normal"/>
    <w:next w:val="Normal"/>
    <w:link w:val="Heading4Char"/>
    <w:uiPriority w:val="9"/>
    <w:unhideWhenUsed/>
    <w:qFormat/>
    <w:rsid w:val="003F4573"/>
    <w:pPr>
      <w:keepNext/>
      <w:keepLines/>
      <w:spacing w:before="40"/>
      <w:outlineLvl w:val="3"/>
    </w:pPr>
    <w:rPr>
      <w:rFonts w:eastAsiaTheme="majorEastAsia"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631669"/>
    <w:pPr>
      <w:contextualSpacing/>
      <w:jc w:val="center"/>
    </w:pPr>
    <w:rPr>
      <w:rFonts w:eastAsiaTheme="majorEastAsia" w:cstheme="majorBidi"/>
      <w:b/>
      <w:spacing w:val="-10"/>
      <w:kern w:val="28"/>
      <w:sz w:val="40"/>
      <w:szCs w:val="71"/>
    </w:rPr>
  </w:style>
  <w:style w:type="character" w:customStyle="1" w:styleId="TitleChar">
    <w:name w:val="Title Char"/>
    <w:basedOn w:val="DefaultParagraphFont"/>
    <w:link w:val="Title"/>
    <w:uiPriority w:val="10"/>
    <w:rsid w:val="00631669"/>
    <w:rPr>
      <w:rFonts w:ascii="Times New Roman" w:eastAsiaTheme="majorEastAsia" w:hAnsi="Times New Roman" w:cstheme="majorBidi"/>
      <w:b/>
      <w:color w:val="404040" w:themeColor="text1" w:themeTint="BF"/>
      <w:spacing w:val="-10"/>
      <w:kern w:val="28"/>
      <w:sz w:val="40"/>
      <w:szCs w:val="71"/>
      <w:lang w:val="en-GB"/>
    </w:rPr>
  </w:style>
  <w:style w:type="character" w:customStyle="1" w:styleId="Heading1Char">
    <w:name w:val="Heading 1 Char"/>
    <w:basedOn w:val="DefaultParagraphFont"/>
    <w:link w:val="Heading1"/>
    <w:uiPriority w:val="9"/>
    <w:rsid w:val="00A724F1"/>
    <w:rPr>
      <w:rFonts w:ascii="Times New Roman" w:hAnsi="Times New Roman" w:cs="Vrinda"/>
      <w:b/>
      <w:color w:val="000000" w:themeColor="text1"/>
      <w:sz w:val="28"/>
      <w:lang w:val="en-GB"/>
    </w:rPr>
  </w:style>
  <w:style w:type="character" w:customStyle="1" w:styleId="Heading3Char">
    <w:name w:val="Heading 3 Char"/>
    <w:basedOn w:val="DefaultParagraphFont"/>
    <w:link w:val="Heading3"/>
    <w:uiPriority w:val="9"/>
    <w:semiHidden/>
    <w:rsid w:val="00A70E51"/>
    <w:rPr>
      <w:rFonts w:ascii="Times New Roman" w:eastAsiaTheme="majorEastAsia" w:hAnsi="Times New Roman" w:cstheme="majorBidi"/>
      <w:b/>
      <w:color w:val="000000" w:themeColor="text1"/>
      <w:lang w:val="en-GB"/>
    </w:rPr>
  </w:style>
  <w:style w:type="character" w:customStyle="1" w:styleId="Heading2Char">
    <w:name w:val="Heading 2 Char"/>
    <w:basedOn w:val="DefaultParagraphFont"/>
    <w:link w:val="Heading2"/>
    <w:uiPriority w:val="9"/>
    <w:rsid w:val="00A724F1"/>
    <w:rPr>
      <w:rFonts w:ascii="Times New Roman" w:eastAsiaTheme="majorEastAsia" w:hAnsi="Times New Roman" w:cstheme="majorBidi"/>
      <w:b/>
      <w:color w:val="000000" w:themeColor="text1"/>
      <w:szCs w:val="33"/>
      <w:lang w:val="en-GB"/>
    </w:rPr>
  </w:style>
  <w:style w:type="paragraph" w:styleId="TOC1">
    <w:name w:val="toc 1"/>
    <w:basedOn w:val="Normal"/>
    <w:next w:val="Normal"/>
    <w:autoRedefine/>
    <w:uiPriority w:val="39"/>
    <w:unhideWhenUsed/>
    <w:rsid w:val="00EA6C9A"/>
    <w:pPr>
      <w:spacing w:before="120" w:after="120"/>
      <w:jc w:val="left"/>
    </w:pPr>
    <w:rPr>
      <w:rFonts w:asciiTheme="minorHAnsi" w:hAnsiTheme="minorHAnsi"/>
      <w:b/>
      <w:bCs/>
      <w:caps/>
      <w:sz w:val="20"/>
      <w:szCs w:val="20"/>
    </w:rPr>
  </w:style>
  <w:style w:type="paragraph" w:styleId="TOC2">
    <w:name w:val="toc 2"/>
    <w:basedOn w:val="Normal"/>
    <w:next w:val="Normal"/>
    <w:autoRedefine/>
    <w:uiPriority w:val="39"/>
    <w:unhideWhenUsed/>
    <w:rsid w:val="00EA6C9A"/>
    <w:pPr>
      <w:ind w:left="240"/>
      <w:jc w:val="left"/>
    </w:pPr>
    <w:rPr>
      <w:rFonts w:asciiTheme="minorHAnsi" w:hAnsiTheme="minorHAnsi"/>
      <w:smallCaps/>
      <w:sz w:val="20"/>
      <w:szCs w:val="20"/>
    </w:rPr>
  </w:style>
  <w:style w:type="paragraph" w:styleId="TOC3">
    <w:name w:val="toc 3"/>
    <w:basedOn w:val="Normal"/>
    <w:next w:val="Normal"/>
    <w:autoRedefine/>
    <w:uiPriority w:val="39"/>
    <w:unhideWhenUsed/>
    <w:rsid w:val="00EA6C9A"/>
    <w:pPr>
      <w:ind w:left="480"/>
      <w:jc w:val="left"/>
    </w:pPr>
    <w:rPr>
      <w:rFonts w:asciiTheme="minorHAnsi" w:hAnsiTheme="minorHAnsi"/>
      <w:i/>
      <w:iCs/>
      <w:sz w:val="20"/>
      <w:szCs w:val="20"/>
    </w:rPr>
  </w:style>
  <w:style w:type="paragraph" w:styleId="Caption">
    <w:name w:val="caption"/>
    <w:basedOn w:val="Normal"/>
    <w:next w:val="Normal"/>
    <w:uiPriority w:val="35"/>
    <w:unhideWhenUsed/>
    <w:qFormat/>
    <w:rsid w:val="00E912C6"/>
    <w:pPr>
      <w:spacing w:after="200" w:line="240" w:lineRule="auto"/>
      <w:jc w:val="center"/>
    </w:pPr>
    <w:rPr>
      <w:i/>
      <w:iCs/>
      <w:color w:val="3B3838" w:themeColor="background2" w:themeShade="40"/>
      <w:sz w:val="18"/>
      <w:szCs w:val="22"/>
    </w:rPr>
  </w:style>
  <w:style w:type="paragraph" w:styleId="Subtitle">
    <w:name w:val="Subtitle"/>
    <w:basedOn w:val="Normal"/>
    <w:next w:val="Normal"/>
    <w:link w:val="SubtitleChar"/>
    <w:uiPriority w:val="11"/>
    <w:qFormat/>
    <w:rsid w:val="006A7441"/>
    <w:pPr>
      <w:numPr>
        <w:ilvl w:val="1"/>
      </w:numPr>
      <w:pBdr>
        <w:top w:val="single" w:sz="4" w:space="1" w:color="auto"/>
        <w:left w:val="single" w:sz="4" w:space="4" w:color="auto"/>
        <w:bottom w:val="single" w:sz="4" w:space="1" w:color="auto"/>
        <w:right w:val="single" w:sz="4" w:space="4" w:color="auto"/>
      </w:pBdr>
      <w:spacing w:after="40"/>
      <w:ind w:left="737" w:right="737"/>
      <w:jc w:val="center"/>
    </w:pPr>
    <w:rPr>
      <w:rFonts w:eastAsiaTheme="minorEastAsia" w:cstheme="minorBidi"/>
      <w:spacing w:val="15"/>
      <w:szCs w:val="28"/>
    </w:rPr>
  </w:style>
  <w:style w:type="character" w:customStyle="1" w:styleId="SubtitleChar">
    <w:name w:val="Subtitle Char"/>
    <w:basedOn w:val="DefaultParagraphFont"/>
    <w:link w:val="Subtitle"/>
    <w:uiPriority w:val="11"/>
    <w:rsid w:val="006A7441"/>
    <w:rPr>
      <w:rFonts w:ascii="Times New Roman" w:eastAsiaTheme="minorEastAsia" w:hAnsi="Times New Roman"/>
      <w:color w:val="000000" w:themeColor="text1"/>
      <w:spacing w:val="15"/>
      <w:szCs w:val="28"/>
      <w:lang w:val="en-GB"/>
    </w:rPr>
  </w:style>
  <w:style w:type="character" w:customStyle="1" w:styleId="Heading4Char">
    <w:name w:val="Heading 4 Char"/>
    <w:basedOn w:val="DefaultParagraphFont"/>
    <w:link w:val="Heading4"/>
    <w:uiPriority w:val="9"/>
    <w:rsid w:val="003F4573"/>
    <w:rPr>
      <w:rFonts w:ascii="Times New Roman" w:eastAsiaTheme="majorEastAsia" w:hAnsi="Times New Roman" w:cstheme="majorBidi"/>
      <w:i/>
      <w:iCs/>
      <w:color w:val="2F5496" w:themeColor="accent1" w:themeShade="BF"/>
      <w:lang w:val="en-GB"/>
    </w:rPr>
  </w:style>
  <w:style w:type="paragraph" w:styleId="NormalWeb">
    <w:name w:val="Normal (Web)"/>
    <w:aliases w:val="APA style"/>
    <w:basedOn w:val="Normal"/>
    <w:uiPriority w:val="99"/>
    <w:unhideWhenUsed/>
    <w:rsid w:val="00EA0178"/>
    <w:pPr>
      <w:spacing w:before="100" w:beforeAutospacing="1" w:after="100" w:afterAutospacing="1" w:line="240" w:lineRule="auto"/>
      <w:ind w:left="720" w:hanging="720"/>
    </w:pPr>
    <w:rPr>
      <w:rFonts w:eastAsia="Times New Roman" w:cs="Times New Roman"/>
      <w:color w:val="auto"/>
      <w:sz w:val="22"/>
      <w:szCs w:val="24"/>
      <w:lang w:val="en-US" w:bidi="ar-SA"/>
    </w:rPr>
  </w:style>
  <w:style w:type="character" w:styleId="Strong">
    <w:name w:val="Strong"/>
    <w:basedOn w:val="DefaultParagraphFont"/>
    <w:uiPriority w:val="22"/>
    <w:qFormat/>
    <w:rsid w:val="00A724F1"/>
    <w:rPr>
      <w:b/>
      <w:bCs/>
    </w:rPr>
  </w:style>
  <w:style w:type="character" w:customStyle="1" w:styleId="katex-mathml">
    <w:name w:val="katex-mathml"/>
    <w:basedOn w:val="DefaultParagraphFont"/>
    <w:rsid w:val="00A724F1"/>
  </w:style>
  <w:style w:type="character" w:customStyle="1" w:styleId="mord">
    <w:name w:val="mord"/>
    <w:basedOn w:val="DefaultParagraphFont"/>
    <w:rsid w:val="00A724F1"/>
  </w:style>
  <w:style w:type="character" w:customStyle="1" w:styleId="mrel">
    <w:name w:val="mrel"/>
    <w:basedOn w:val="DefaultParagraphFont"/>
    <w:rsid w:val="00A724F1"/>
  </w:style>
  <w:style w:type="character" w:customStyle="1" w:styleId="vlist-s">
    <w:name w:val="vlist-s"/>
    <w:basedOn w:val="DefaultParagraphFont"/>
    <w:rsid w:val="00A724F1"/>
  </w:style>
  <w:style w:type="character" w:customStyle="1" w:styleId="mpunct">
    <w:name w:val="mpunct"/>
    <w:basedOn w:val="DefaultParagraphFont"/>
    <w:rsid w:val="00A724F1"/>
  </w:style>
  <w:style w:type="character" w:customStyle="1" w:styleId="mbin">
    <w:name w:val="mbin"/>
    <w:basedOn w:val="DefaultParagraphFont"/>
    <w:rsid w:val="00A724F1"/>
  </w:style>
  <w:style w:type="character" w:customStyle="1" w:styleId="apple-converted-space">
    <w:name w:val="apple-converted-space"/>
    <w:basedOn w:val="DefaultParagraphFont"/>
    <w:rsid w:val="00A724F1"/>
  </w:style>
  <w:style w:type="paragraph" w:styleId="ListParagraph">
    <w:name w:val="List Paragraph"/>
    <w:basedOn w:val="Normal"/>
    <w:uiPriority w:val="34"/>
    <w:qFormat/>
    <w:rsid w:val="00027BF3"/>
    <w:pPr>
      <w:ind w:left="720"/>
      <w:contextualSpacing/>
    </w:pPr>
  </w:style>
  <w:style w:type="paragraph" w:styleId="TOCHeading">
    <w:name w:val="TOC Heading"/>
    <w:basedOn w:val="Heading1"/>
    <w:next w:val="Normal"/>
    <w:uiPriority w:val="39"/>
    <w:unhideWhenUsed/>
    <w:qFormat/>
    <w:rsid w:val="00027BF3"/>
    <w:pPr>
      <w:keepNext/>
      <w:keepLines/>
      <w:spacing w:before="480" w:line="276" w:lineRule="auto"/>
      <w:jc w:val="left"/>
      <w:outlineLvl w:val="9"/>
    </w:pPr>
    <w:rPr>
      <w:rFonts w:asciiTheme="majorHAnsi" w:eastAsiaTheme="majorEastAsia" w:hAnsiTheme="majorHAnsi" w:cstheme="majorBidi"/>
      <w:bCs/>
      <w:color w:val="2F5496" w:themeColor="accent1" w:themeShade="BF"/>
      <w:kern w:val="0"/>
      <w:szCs w:val="28"/>
      <w:lang w:val="en-US" w:bidi="ar-SA"/>
      <w14:ligatures w14:val="none"/>
    </w:rPr>
  </w:style>
  <w:style w:type="character" w:styleId="Hyperlink">
    <w:name w:val="Hyperlink"/>
    <w:basedOn w:val="DefaultParagraphFont"/>
    <w:uiPriority w:val="99"/>
    <w:unhideWhenUsed/>
    <w:rsid w:val="00027BF3"/>
    <w:rPr>
      <w:color w:val="0563C1" w:themeColor="hyperlink"/>
      <w:u w:val="single"/>
    </w:rPr>
  </w:style>
  <w:style w:type="paragraph" w:styleId="TOC4">
    <w:name w:val="toc 4"/>
    <w:basedOn w:val="Normal"/>
    <w:next w:val="Normal"/>
    <w:autoRedefine/>
    <w:uiPriority w:val="39"/>
    <w:semiHidden/>
    <w:unhideWhenUsed/>
    <w:rsid w:val="00027BF3"/>
    <w:pPr>
      <w:ind w:left="720"/>
      <w:jc w:val="left"/>
    </w:pPr>
    <w:rPr>
      <w:rFonts w:asciiTheme="minorHAnsi" w:hAnsiTheme="minorHAnsi"/>
      <w:sz w:val="18"/>
      <w:szCs w:val="18"/>
    </w:rPr>
  </w:style>
  <w:style w:type="paragraph" w:styleId="TOC5">
    <w:name w:val="toc 5"/>
    <w:basedOn w:val="Normal"/>
    <w:next w:val="Normal"/>
    <w:autoRedefine/>
    <w:uiPriority w:val="39"/>
    <w:semiHidden/>
    <w:unhideWhenUsed/>
    <w:rsid w:val="00027BF3"/>
    <w:pPr>
      <w:ind w:left="960"/>
      <w:jc w:val="left"/>
    </w:pPr>
    <w:rPr>
      <w:rFonts w:asciiTheme="minorHAnsi" w:hAnsiTheme="minorHAnsi"/>
      <w:sz w:val="18"/>
      <w:szCs w:val="18"/>
    </w:rPr>
  </w:style>
  <w:style w:type="paragraph" w:styleId="TOC6">
    <w:name w:val="toc 6"/>
    <w:basedOn w:val="Normal"/>
    <w:next w:val="Normal"/>
    <w:autoRedefine/>
    <w:uiPriority w:val="39"/>
    <w:semiHidden/>
    <w:unhideWhenUsed/>
    <w:rsid w:val="00027BF3"/>
    <w:pPr>
      <w:ind w:left="1200"/>
      <w:jc w:val="left"/>
    </w:pPr>
    <w:rPr>
      <w:rFonts w:asciiTheme="minorHAnsi" w:hAnsiTheme="minorHAnsi"/>
      <w:sz w:val="18"/>
      <w:szCs w:val="18"/>
    </w:rPr>
  </w:style>
  <w:style w:type="paragraph" w:styleId="TOC7">
    <w:name w:val="toc 7"/>
    <w:basedOn w:val="Normal"/>
    <w:next w:val="Normal"/>
    <w:autoRedefine/>
    <w:uiPriority w:val="39"/>
    <w:semiHidden/>
    <w:unhideWhenUsed/>
    <w:rsid w:val="00027BF3"/>
    <w:pPr>
      <w:ind w:left="1440"/>
      <w:jc w:val="left"/>
    </w:pPr>
    <w:rPr>
      <w:rFonts w:asciiTheme="minorHAnsi" w:hAnsiTheme="minorHAnsi"/>
      <w:sz w:val="18"/>
      <w:szCs w:val="18"/>
    </w:rPr>
  </w:style>
  <w:style w:type="paragraph" w:styleId="TOC8">
    <w:name w:val="toc 8"/>
    <w:basedOn w:val="Normal"/>
    <w:next w:val="Normal"/>
    <w:autoRedefine/>
    <w:uiPriority w:val="39"/>
    <w:semiHidden/>
    <w:unhideWhenUsed/>
    <w:rsid w:val="00027BF3"/>
    <w:pPr>
      <w:ind w:left="1680"/>
      <w:jc w:val="left"/>
    </w:pPr>
    <w:rPr>
      <w:rFonts w:asciiTheme="minorHAnsi" w:hAnsiTheme="minorHAnsi"/>
      <w:sz w:val="18"/>
      <w:szCs w:val="18"/>
    </w:rPr>
  </w:style>
  <w:style w:type="paragraph" w:styleId="TOC9">
    <w:name w:val="toc 9"/>
    <w:basedOn w:val="Normal"/>
    <w:next w:val="Normal"/>
    <w:autoRedefine/>
    <w:uiPriority w:val="39"/>
    <w:semiHidden/>
    <w:unhideWhenUsed/>
    <w:rsid w:val="00027BF3"/>
    <w:pPr>
      <w:ind w:left="1920"/>
      <w:jc w:val="left"/>
    </w:pPr>
    <w:rPr>
      <w:rFonts w:asciiTheme="minorHAnsi" w:hAnsiTheme="minorHAnsi"/>
      <w:sz w:val="18"/>
      <w:szCs w:val="18"/>
    </w:rPr>
  </w:style>
  <w:style w:type="paragraph" w:styleId="Footer">
    <w:name w:val="footer"/>
    <w:basedOn w:val="Normal"/>
    <w:link w:val="FooterChar"/>
    <w:uiPriority w:val="99"/>
    <w:unhideWhenUsed/>
    <w:rsid w:val="0085164F"/>
    <w:pPr>
      <w:tabs>
        <w:tab w:val="center" w:pos="4513"/>
        <w:tab w:val="right" w:pos="9026"/>
      </w:tabs>
      <w:spacing w:line="240" w:lineRule="auto"/>
    </w:pPr>
  </w:style>
  <w:style w:type="character" w:customStyle="1" w:styleId="FooterChar">
    <w:name w:val="Footer Char"/>
    <w:basedOn w:val="DefaultParagraphFont"/>
    <w:link w:val="Footer"/>
    <w:uiPriority w:val="99"/>
    <w:rsid w:val="0085164F"/>
    <w:rPr>
      <w:rFonts w:ascii="Times New Roman" w:hAnsi="Times New Roman" w:cs="Vrinda"/>
      <w:color w:val="000000" w:themeColor="text1"/>
      <w:lang w:val="en-GB"/>
    </w:rPr>
  </w:style>
  <w:style w:type="character" w:styleId="PageNumber">
    <w:name w:val="page number"/>
    <w:basedOn w:val="DefaultParagraphFont"/>
    <w:uiPriority w:val="99"/>
    <w:semiHidden/>
    <w:unhideWhenUsed/>
    <w:rsid w:val="0085164F"/>
  </w:style>
  <w:style w:type="table" w:styleId="TableGrid">
    <w:name w:val="Table Grid"/>
    <w:aliases w:val="Course handbook table"/>
    <w:basedOn w:val="TableNormal"/>
    <w:uiPriority w:val="39"/>
    <w:rsid w:val="00F46C6C"/>
    <w:rPr>
      <w:kern w:val="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9762730">
      <w:bodyDiv w:val="1"/>
      <w:marLeft w:val="0"/>
      <w:marRight w:val="0"/>
      <w:marTop w:val="0"/>
      <w:marBottom w:val="0"/>
      <w:divBdr>
        <w:top w:val="none" w:sz="0" w:space="0" w:color="auto"/>
        <w:left w:val="none" w:sz="0" w:space="0" w:color="auto"/>
        <w:bottom w:val="none" w:sz="0" w:space="0" w:color="auto"/>
        <w:right w:val="none" w:sz="0" w:space="0" w:color="auto"/>
      </w:divBdr>
    </w:div>
    <w:div w:id="215163875">
      <w:bodyDiv w:val="1"/>
      <w:marLeft w:val="0"/>
      <w:marRight w:val="0"/>
      <w:marTop w:val="0"/>
      <w:marBottom w:val="0"/>
      <w:divBdr>
        <w:top w:val="none" w:sz="0" w:space="0" w:color="auto"/>
        <w:left w:val="none" w:sz="0" w:space="0" w:color="auto"/>
        <w:bottom w:val="none" w:sz="0" w:space="0" w:color="auto"/>
        <w:right w:val="none" w:sz="0" w:space="0" w:color="auto"/>
      </w:divBdr>
    </w:div>
    <w:div w:id="497497478">
      <w:bodyDiv w:val="1"/>
      <w:marLeft w:val="0"/>
      <w:marRight w:val="0"/>
      <w:marTop w:val="0"/>
      <w:marBottom w:val="0"/>
      <w:divBdr>
        <w:top w:val="none" w:sz="0" w:space="0" w:color="auto"/>
        <w:left w:val="none" w:sz="0" w:space="0" w:color="auto"/>
        <w:bottom w:val="none" w:sz="0" w:space="0" w:color="auto"/>
        <w:right w:val="none" w:sz="0" w:space="0" w:color="auto"/>
      </w:divBdr>
    </w:div>
    <w:div w:id="784933296">
      <w:bodyDiv w:val="1"/>
      <w:marLeft w:val="0"/>
      <w:marRight w:val="0"/>
      <w:marTop w:val="0"/>
      <w:marBottom w:val="0"/>
      <w:divBdr>
        <w:top w:val="none" w:sz="0" w:space="0" w:color="auto"/>
        <w:left w:val="none" w:sz="0" w:space="0" w:color="auto"/>
        <w:bottom w:val="none" w:sz="0" w:space="0" w:color="auto"/>
        <w:right w:val="none" w:sz="0" w:space="0" w:color="auto"/>
      </w:divBdr>
    </w:div>
    <w:div w:id="1161044647">
      <w:bodyDiv w:val="1"/>
      <w:marLeft w:val="0"/>
      <w:marRight w:val="0"/>
      <w:marTop w:val="0"/>
      <w:marBottom w:val="0"/>
      <w:divBdr>
        <w:top w:val="none" w:sz="0" w:space="0" w:color="auto"/>
        <w:left w:val="none" w:sz="0" w:space="0" w:color="auto"/>
        <w:bottom w:val="none" w:sz="0" w:space="0" w:color="auto"/>
        <w:right w:val="none" w:sz="0" w:space="0" w:color="auto"/>
      </w:divBdr>
    </w:div>
    <w:div w:id="2070881062">
      <w:bodyDiv w:val="1"/>
      <w:marLeft w:val="0"/>
      <w:marRight w:val="0"/>
      <w:marTop w:val="0"/>
      <w:marBottom w:val="0"/>
      <w:divBdr>
        <w:top w:val="none" w:sz="0" w:space="0" w:color="auto"/>
        <w:left w:val="none" w:sz="0" w:space="0" w:color="auto"/>
        <w:bottom w:val="none" w:sz="0" w:space="0" w:color="auto"/>
        <w:right w:val="none" w:sz="0" w:space="0" w:color="auto"/>
      </w:divBdr>
      <w:divsChild>
        <w:div w:id="947546903">
          <w:marLeft w:val="0"/>
          <w:marRight w:val="0"/>
          <w:marTop w:val="0"/>
          <w:marBottom w:val="0"/>
          <w:divBdr>
            <w:top w:val="none" w:sz="0" w:space="0" w:color="auto"/>
            <w:left w:val="none" w:sz="0" w:space="0" w:color="auto"/>
            <w:bottom w:val="none" w:sz="0" w:space="0" w:color="auto"/>
            <w:right w:val="none" w:sz="0" w:space="0" w:color="auto"/>
          </w:divBdr>
        </w:div>
      </w:divsChild>
    </w:div>
    <w:div w:id="20751997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72DC68-C2E0-4EBB-AA28-D3AD9A6E68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2924</Words>
  <Characters>16671</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Rowshan</dc:creator>
  <cp:keywords/>
  <dc:description/>
  <cp:lastModifiedBy>jesse</cp:lastModifiedBy>
  <cp:revision>3</cp:revision>
  <dcterms:created xsi:type="dcterms:W3CDTF">2024-11-14T18:49:00Z</dcterms:created>
  <dcterms:modified xsi:type="dcterms:W3CDTF">2024-11-14T18:59:00Z</dcterms:modified>
</cp:coreProperties>
</file>