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99DFE4" w14:paraId="70582D14" wp14:textId="54BCB5C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48"/>
          <w:szCs w:val="48"/>
          <w:lang w:val="en-GB"/>
        </w:rPr>
        <w:t>How can applied drama raise awareness and empower young women?</w:t>
      </w:r>
    </w:p>
    <w:p xmlns:wp14="http://schemas.microsoft.com/office/word/2010/wordml" w:rsidP="7099DFE4" w14:paraId="619242ED" wp14:textId="0A84C9C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5DA6FD2E" wp14:textId="09F01FE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09980290" w14:paraId="10F7ECA2" wp14:textId="7412C2F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purpose of this independent project is to qualitatively explore the representation of women in the twenty first century in the context of how applied drama can raise awareness of the negative influences of women’s representation today. </w:t>
      </w:r>
      <w:proofErr w:type="gramStart"/>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In order to</w:t>
      </w:r>
      <w:proofErr w:type="gramEnd"/>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create precise research, I will use a combination of methodologies. The first one, is the community-based research, which is politically charged since it examines the influence of the social circumstances and inevitably defines the approach of the research which is no other than bringing to light negative aspects that contributes to how women are represented. (O’Connor, P. &amp; Anderson, M.2015) C</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ommunity-based participatory research takes community-based research a step further because it does not only value the importance of the community and in this case women’s representation, but it also targets social change which links to applied drama practice and thrives to raise awareness for the topic.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third research method that I am using is the action research and here is the definite role of applied drama, to explores the potential of the chosen theme, on how it can be improved and how it can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benefit</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group who is being researched. (Denscombe, M. 2010) I find essential the investigation of the past since it explains reality and it can plant seeds for tomorrow’s change. </w:t>
      </w:r>
    </w:p>
    <w:p xmlns:wp14="http://schemas.microsoft.com/office/word/2010/wordml" w:rsidP="7099DFE4" w14:paraId="387F44B5" wp14:textId="368ABCE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12F31D32" wp14:textId="5D219EA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 practise-based portfolio can reflect best my intentions, since in the following months, I am aspiring to work with young women’s group to create awareness and challenge stereotypes. I will contact Carmarthen campus university students by sending them a flyer, </w:t>
      </w:r>
      <w:proofErr w:type="gramStart"/>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in order to</w:t>
      </w:r>
      <w:proofErr w:type="gramEnd"/>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create a group and hold at least four-hour workshops in person. In case that this cannot happen because of COVID or If I do not find five or six people to create a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group,</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 am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remarkably familiar</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with online facilitation where I can get more people and easily adopt.</w:t>
      </w:r>
    </w:p>
    <w:p xmlns:wp14="http://schemas.microsoft.com/office/word/2010/wordml" w:rsidP="7099DFE4" w14:paraId="4DB806C6" wp14:textId="6E7F677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During the workshops I would like to investigate the gradual impact of applied drama to the group in this emerging phenomenon of women’s representation and specifically what is the process of emotions that can be experienced through a series of workshops to reach empowerment and awareness. Another topic for exploration is how to raise questions, whilst keep having fun.</w:t>
      </w:r>
    </w:p>
    <w:p xmlns:wp14="http://schemas.microsoft.com/office/word/2010/wordml" w:rsidP="7099DFE4" w14:paraId="24DD074E" wp14:textId="603ABD6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09F9C087" wp14:textId="1A3D088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prepare myself for the practical part of the practice-based portfolio I have undertaken an extensive research based on the research methodologies. Particularly, I will give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various examples</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of women’s misrepresentation in the last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century mainly, and</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what are the factors that are still producing female stereotypes.</w:t>
      </w:r>
    </w:p>
    <w:p xmlns:wp14="http://schemas.microsoft.com/office/word/2010/wordml" w:rsidP="7099DFE4" w14:paraId="777FF16A" wp14:textId="64F675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Firstly, I would like to specify that I am using the feminist approach, since I am aware and concerned with the position of women in society and my research stance in a way that promotes an intended interest for women. My approach is inspired by the writer, broadcaster and award-winning feminist campaigner Caroline Criado Perez and her book ‘Invisible women: exposing data bias in a world designed for men</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published in 2020.</w:t>
      </w:r>
    </w:p>
    <w:p xmlns:wp14="http://schemas.microsoft.com/office/word/2010/wordml" w:rsidP="7099DFE4" w14:paraId="36D61383" wp14:textId="4F5A944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Furthermore, it should be noted that by referring to women I am speaking from the viewpoint of gender and not sex. Sex is used based on the biological characteristics of an individual to be described as male or female. On the other hand, the word gender comes from the Latin word ‘genus’ which means kind, sort or class and there is no relation to sex category. Society gives a specific meaning to gender based on the biological facts, creating assumptions and stereotypes. (Newton, D. E. 2019) The workshops would be tailored for anyone who identifies as a woman and that means considering non-biologically female, or non cis gendered individuals, since the point of view of my research is on the interpretation of the female gender. The issues that arise for non-biologically female, or non cis gendered individuals differ, although there is some common ground, and the workshops are inclusive. Nevertheless, the research that I have made emphasizes on cis women’s treatment and I believe that a different workshop could be made for non-biologically female, or non cis gendered people so it will have the full focus on them, and this does not reduce the inclusivity that I am aiming, it is due to the respect of their experiences and difficulties.</w:t>
      </w:r>
    </w:p>
    <w:p xmlns:wp14="http://schemas.microsoft.com/office/word/2010/wordml" w:rsidP="7099DFE4" w14:paraId="5E6923D2" wp14:textId="66407F4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0C6EFB60" wp14:textId="0F7AF1C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Characteristically, women’s treatment in society is constructed on the expectation of her to be female and as a result gender is causing damage in women’s lives. These damages can take several forms, one of them is inequality, which is the result of a system of expectations, which was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established</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many centuries ago, designed by social traditions.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Criado-Perez,2020)</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decisions that they are taken through these lenses they are called ‘gender norms’ or ‘social norms</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these norms, leaded to the well-known inequality. Gender inequality is the tendency to offer different opportunities to people according to the gender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perception</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(Dess, N. K. et al.2018)</w:t>
      </w:r>
    </w:p>
    <w:p xmlns:wp14="http://schemas.microsoft.com/office/word/2010/wordml" w:rsidP="7099DFE4" w14:paraId="7326603D" wp14:textId="75367FF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Even human bonds which are thought to be easily identified by sex as male or female based on the DNA, gender assumptions impact even science. For over a hundred of years, a Viking skeleton from tenth century was presumed to be male, because it was buried alongside a set of weapons and horses. The ‘Birka warrior’ skeleton was identified as a warrior and according to society’s stereotypes warrior means male; archaeologists however ignored not only the female pelvis of the skeleton, but also the numerous references to Viking female fighters. In 2017, a DNA testing showed that the ‘Birka warrior’ was a woman. After this evidence, Guardian writes ‘Battle-scarred skeletons of multiple women have been found across the Eurasian steppes from Bulgaria to Mongolia.’ This is not an individual case though, women are victims of the culture of social norms, which wants them to be in the background, establishing in this way inequality between the genders. (Criado-Perez,2019, p.12-13)</w:t>
      </w:r>
    </w:p>
    <w:p xmlns:wp14="http://schemas.microsoft.com/office/word/2010/wordml" w:rsidP="7099DFE4" w14:paraId="763AD19B" wp14:textId="43F2F3E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Women face underestimation to the STEM field since they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possess</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just the 13% of the overall UK workforce and this is not a surprise (Available at: </w:t>
      </w:r>
      <w:hyperlink r:id="Rc62a6f28c4ed43cb">
        <w:r w:rsidRPr="7099DFE4" w:rsidR="7099DFE4">
          <w:rPr>
            <w:rStyle w:val="Hyperlink"/>
            <w:rFonts w:ascii="Calibri" w:hAnsi="Calibri" w:eastAsia="Calibri" w:cs="Calibri"/>
            <w:b w:val="0"/>
            <w:bCs w:val="0"/>
            <w:i w:val="0"/>
            <w:iCs w:val="0"/>
            <w:caps w:val="0"/>
            <w:smallCaps w:val="0"/>
            <w:strike w:val="0"/>
            <w:dstrike w:val="0"/>
            <w:noProof w:val="0"/>
            <w:sz w:val="36"/>
            <w:szCs w:val="36"/>
            <w:lang w:val="en-GB"/>
          </w:rPr>
          <w:t>www.stemgraduates.co.uk/women-in-stem</w:t>
        </w:r>
      </w:hyperlink>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Primarily, Thomas Hunt Morgan is the person who is commonly referred to the textbooks as the one who discovered that sex is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determined</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by the chromosomes and not the environment, whilst there is a correspondence between him and Nettie’s Stevens experiments, her name is nowhere mentioned. Furthermore, Cecilia Payne-</w:t>
      </w:r>
      <w:proofErr w:type="spellStart"/>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Gaposchkin</w:t>
      </w:r>
      <w:proofErr w:type="spellEnd"/>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even though she discovered that the sun is composed with hydrogen her male supervisor usually is credited instead of her. The most famous example though is the discover of the DNA who James Watson and Francis Crick are acclaimed to have discovered it, even though Rosalind Franklin’s experiments and measurements led Watson and Crick to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come up with</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discovery and her contribution is not recognised as well, as the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previous</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examples. (Criado-Perez, C. 2019, p.15-17)</w:t>
      </w:r>
    </w:p>
    <w:p xmlns:wp14="http://schemas.microsoft.com/office/word/2010/wordml" w:rsidP="09980290" w14:paraId="056890BB" wp14:textId="76676B5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In addition, women seem to be excluded from the cultural history. Particularly,</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only two Tudor queens appeared in Key Stage 2 (ages seven to eleven) speaking of all women in history and in Key Stage 3 (ages eleven to fourteen) only four, the rest of the curriculum was about men.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In 2013,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the then British Secretary of State for Education, Michael Gove</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a battle about the definition of ‘history’, claimed that children needed ‘facts’ and ‘foundation of knowledge’ by that he meant an almost extensively absence of women in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history. When</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children are taught about the past exclusively for male’s breakthroughs then that answers a big part of the elimination of women at the positions of power.</w:t>
      </w:r>
    </w:p>
    <w:p xmlns:wp14="http://schemas.microsoft.com/office/word/2010/wordml" w:rsidP="7099DFE4" w14:paraId="377ACDB4" wp14:textId="435CD4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4519305" w14:paraId="1629DB39" wp14:textId="0932B6F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 society that as noted by scholars'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places men in a dominant position of the</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larger societal structures of power</w:t>
      </w:r>
      <w:r w:rsidRPr="14519305" w:rsidR="1451930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oppressing and treating women as inferiors.</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Feminist theories suggest that the hostility women face, comes from the maintenance of a patriarchal culture and its accompanying attitudes of sexism, misogyny, and objectification of women (e.g., Jeffreys 2005) (Felmlee, D., Inara Rodis, P. &amp; Zhang, A, 2020) One to break the cycle must understand what is creating it and perpetuating it, in this case</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 will examine the influences of oppression that young women face today. </w:t>
      </w:r>
    </w:p>
    <w:p xmlns:wp14="http://schemas.microsoft.com/office/word/2010/wordml" w:rsidP="14519305" w14:paraId="6296FCCC" wp14:textId="5D256A5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Young women live in a culture of gender norms, who stereotypes </w:t>
      </w:r>
      <w:proofErr w:type="spellStart"/>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feminity</w:t>
      </w:r>
      <w:proofErr w:type="spellEnd"/>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it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mainly rotates</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around beauty, niceness,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morality</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sexual inexperience. These ideas of ideal feminine beauty remain powerful in many societies and especially to the ones that social media networks thrive (Baker-Sperry and Grauerholz 2003; Mazur 1986; Wolf 2002).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Mostly, for girls who have specific norms to follow in contrast with boys.</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There is a specific presentation of “gendered self” for women to be positive and socially engaged in the online presence and it is an expectation of feminine and sexual appearance (Bailey et al. 2013)</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14519305" w14:paraId="46E99323" wp14:textId="2327A30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Digital technology and social media are regarded not only as an extension of self, but also as a primary means of communication and social engagement for young people. (Goodyear, &amp; Armour, K. M. 2019). It is a whole world with its own possibilities and expectations, where young people are invited to respond to them, and the invitation can feel like a necessity sometimes, to be active and accepted in that world. Being active on social media it is not an option it is a necessity to fit in, since social media possesses a great position of power to young’s people lives and according to numerous international and socio- economic contexts young people have the highest rates of social media use of any age group, and a remarkable amount of their time is spent ‘on’ social media (Royal Society of Public Health [RPSH] 2017; Third et al. 2017). </w:t>
      </w:r>
    </w:p>
    <w:p w:rsidR="7099DFE4" w:rsidP="14519305" w:rsidRDefault="7099DFE4" w14:paraId="5D9873C0" w14:textId="113123B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attempt of digital world to attack women is so tremendous that women tend to base their self-worth on the feedback from social media and that has an impact to put at risk for poor psychological well-being (Sabik et al. 2019). Hannah who is 24, spends six to ten hours a day on social media, since they are the first and the last thing to check on her day, she got comments for her body that made her feel negative about it. 15-year-old Scarlett mentions that she feels insecure, because she has just finished going through puberty and high beauty standards are displayed to her, making her feel that she must follow them. (BBC,2021) Wall Street Journal reports that in 2020, research found that 32% of teenage girls, when they felt bad about their bodies Instagram intensify the feelings of dissatisfaction. Furthermore, a 2019 presentation slide showed that Instagram worse body-image issue for one in three teenage girls. MP Damian Collins, who is chairing the UK parliamentary committee said, "The Wall Street Journal Facebook files investigation has exposed how the company,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time and again</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puts profit before harm," also adds "Its own research is telling it that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a large number of</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teen Instagram users say the service makes them feel worse about themselves - but the company just wants to make sure they keep coming back." Sir Nick Clegg, vice-president of global affairs at Instagram's parent company Meta, has defended the platform, claiming that the "overwhelming majority" of teenage girls enjoy using it. (Wakefield, BBC,2021)</w:t>
      </w:r>
    </w:p>
    <w:p xmlns:wp14="http://schemas.microsoft.com/office/word/2010/wordml" w:rsidP="09980290" w14:paraId="24F68992" wp14:textId="45CDD0AA">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Society and culture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promote a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lethargic role model to young women in every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feasible</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way. </w:t>
      </w: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seeds that grow the misinterpretation of young women situate in their hands and asking a young person not to be part of social media is inevitable. </w:t>
      </w:r>
    </w:p>
    <w:p xmlns:wp14="http://schemas.microsoft.com/office/word/2010/wordml" w:rsidP="09980290" w14:paraId="2A81BD00" wp14:textId="35E0988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14519305" w14:paraId="1BEC185F" wp14:textId="04645CE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roofErr w:type="gramStart"/>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As</w:t>
      </w:r>
      <w:proofErr w:type="gramEnd"/>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 young woman and applied drama practitioner I feel the inner need to challenge these assumptions that the modern digital and non-digital world is promoting. There is a need for provoking and encouraging young women to start questioning what is being exposed to them as ‘normal.’ There is a need to re-evaluate the familiarity of social media and their impact on stereotypes. In other words, there is a need to raise awareness, that I am aiming to build by using participatory theatre techniques.</w:t>
      </w:r>
    </w:p>
    <w:p xmlns:wp14="http://schemas.microsoft.com/office/word/2010/wordml" w:rsidP="7099DFE4" w14:paraId="29C06233" wp14:textId="2B22B80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Radical participatory theatre practices have historically been founded on a cluster of ethical and political principles. These principles have been mainly reflected on my chosen methods of the practitioners Dorothy Heathcote and Augusto Boal, who promoted the Theatre in Education and political theatre movements. The underpinning notions were strongly influenced by contexts of political and social struggle and exploration. Boal points the aesthetic of ‘the oppressed as artist’ and the nature of theatre as creatively and socially transformative. </w:t>
      </w:r>
    </w:p>
    <w:p xmlns:wp14="http://schemas.microsoft.com/office/word/2010/wordml" w:rsidP="14519305" w14:paraId="2161BF36" wp14:textId="3734AB8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As a young woman I have experienced, and I am experiencing forms of inequality fact that creates ‘the oppressed artist’ in me</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My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personal experience has been a crucial factor of the project, although the project it is not about me expressing my thoughts and feelings, but the idea that in similar situations are other young women too and the workshops are the place to reflect, think, express, question and share. </w:t>
      </w:r>
    </w:p>
    <w:p xmlns:wp14="http://schemas.microsoft.com/office/word/2010/wordml" w:rsidP="09980290" w14:paraId="2111E465" wp14:textId="2AD10C7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980290"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According to the ethics of Mantle of the Expert the focus is on moral values and consequently politics, which are implicit to the public agenda. It is also noted that for many practitioners, the politics are deliberately implicit and subversive. I believe my case is one of them, in which politics are the motivation for practice. The practice of Mantle of the Expert and Theatre of the Oppressed emphasizes on good, social-changing theatre and its value in participant’s lives and that is what I am aiming for. (Rifkin,2010, p.14-15) </w:t>
      </w:r>
    </w:p>
    <w:p xmlns:wp14="http://schemas.microsoft.com/office/word/2010/wordml" w:rsidP="7099DFE4" w14:paraId="525F69B0" wp14:textId="51023CD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4C09EA35" wp14:textId="472F906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Applied drama offers a variety of techniques and methodologies, that allows people to express their feelings and thoughts in a safe place as well as reflect upon them. Besides, Freud argues that the role of art is to redirect humans back to the sources of pleasure, to regain the joy of early childhood. This is the role of my practice at this project, to show a different direction to young women and challenge the assumptions that have been planted to them and they might hold them back, with the aim to provoke change.</w:t>
      </w:r>
    </w:p>
    <w:p xmlns:wp14="http://schemas.microsoft.com/office/word/2010/wordml" w:rsidP="7099DFE4" w14:paraId="4276B8D5" wp14:textId="7ADD0A7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In order to achieve the above aims, I will use a combination of methodologies and techniques having as a base the Mantle of the Expert and Theatre of the Oppressed. </w:t>
      </w:r>
    </w:p>
    <w:p xmlns:wp14="http://schemas.microsoft.com/office/word/2010/wordml" w:rsidP="7099DFE4" w14:paraId="2EA85355" wp14:textId="6AC2152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Mantle of the Expert provide a dimensional world of fiction and reality, where symbols and parallels are created, while literal and abstract situations take place, and it includes real thinking and real feeling. (Van der Water, M., McAvoy, M. and Hunt, K.2015) With the same ease that young people have social media alongside their real life, they would be flexible to step into the fictional safe environment of drama and explore various circumstances. Mantle of the expert involves a reflective action that allows ‘inner thinking.’ Specifically, with the use of ‘soliloquy’ reviews drama from within the dramatic context and it functions like a mirror to participants and themselves, confessing their inner thoughts and feelings, giving in this way a better understanding to individuals about themselves and their influences. (Neelands,J. and Goode,T. 2000).</w:t>
      </w:r>
    </w:p>
    <w:p xmlns:wp14="http://schemas.microsoft.com/office/word/2010/wordml" w:rsidP="14519305" w14:paraId="1404B50B" wp14:textId="5E15A83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At this project I am using Mantle of the Expert as the means to explore the problem and Theatre of the Oppressed as the vehicle of exploring options and finding solutions. I find remarkably interesting the techniques of image, newspaper, and forum theatre of the Theatre of the Oppressed. Image theatre explores the dynamics of images, which they incorporate participants lives, feelings, experiences, and oppressions. It takes a step further the belief that ‘a picture paints a thousand words’ because it investigates the feelings of it. The attention is to the meaning of the picture instead of the picture itself, challenging in this way the unfiltered scrolling that young people used to do and invite them to a conversation between the content they are being showed, the intentions behind it and how it affects them.</w:t>
      </w:r>
    </w:p>
    <w:p xmlns:wp14="http://schemas.microsoft.com/office/word/2010/wordml" w:rsidP="7099DFE4" w14:paraId="23065F36" wp14:textId="0C93994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In addition, newspaper theatre it is created by taking a story from a newspaper and re-contextualise or re-frame it. This technique attempts to demystify the media and educate people to question the notion of objectivity and create awareness about the fake news. (Boland, G. and Cameron, D., 2005) Image and newspaper theatre techniques cultivate the critical thinking, which is a key skill to identify the harmful gender stereotypes. They are also setting the base for forum theatre, which is the central to the transformative role of theatre. </w:t>
      </w:r>
    </w:p>
    <w:p xmlns:wp14="http://schemas.microsoft.com/office/word/2010/wordml" w:rsidP="7099DFE4" w14:paraId="11103B9E" wp14:textId="0AD3553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Forum theatre is the main part of the workshops it is a theatrical game, in which a problem is shown as a result of an oppression in its unsolved form. The audience as spect-actors are invited to act and suggest alternative solutions, because they themselves are personally acquainted with the oppression. The term of spect-actor comes in contrast with the conventional audience who just sit and watch a play, at forum theatre spectators are asked and encourage to act and change the plot of the script. Forum theatre aims to stimulate debate in the form of action, not just words, to show alternatives, to enable people ‘to become the protagonists of their own lives’. (Boal, A. 2002) It promotes not only the will for change of oppressive situations, but also proves practically that when there is a will, there is a way and it is only when you do not act, things turn up the same. Forum theatre’s essence links to one of the aims of my project, which is to awake participants from being passive viewers and victims of society’s norms.</w:t>
      </w:r>
    </w:p>
    <w:p xmlns:wp14="http://schemas.microsoft.com/office/word/2010/wordml" w:rsidP="7099DFE4" w14:paraId="1D6E5CE6" wp14:textId="6378F71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4519305" w14:paraId="7B29D915" wp14:textId="63ABDF7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Regarding my research and my personal experience, I am inclined to believe that in a world that wants women to look, behave, think, and live in a fixed way my intention is to hold workshops for young women, aspiring to challenge the gender patterns. After the workshops I am intending for participants to be more aware of their influences and a mechanism of filtering of what is exposed to them to be created. I do not aspire to change a whole generation or break the patterns; I am just hoping to make a step for change and raise awareness of the inequality and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the mistreatment</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that young women face.</w:t>
      </w:r>
      <w:r>
        <w:br/>
      </w:r>
    </w:p>
    <w:p xmlns:wp14="http://schemas.microsoft.com/office/word/2010/wordml" w:rsidP="7099DFE4" w14:paraId="0BDA46F6" wp14:textId="4433F34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6D7AE202" wp14:textId="01F1776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44D85E5D" wp14:textId="1B6B5E0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6DE52F7E" wp14:textId="73827EA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17566AB1" wp14:textId="4F59326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1FE35098" wp14:textId="332FAD6F">
      <w:pPr>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GB"/>
        </w:rPr>
      </w:pPr>
    </w:p>
    <w:p xmlns:wp14="http://schemas.microsoft.com/office/word/2010/wordml" w:rsidP="7099DFE4" w14:paraId="06D2B7AA" wp14:textId="4B53F04C">
      <w:pPr>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GB"/>
        </w:rPr>
      </w:pPr>
    </w:p>
    <w:p xmlns:wp14="http://schemas.microsoft.com/office/word/2010/wordml" w:rsidP="7099DFE4" w14:paraId="3D1CD276" wp14:textId="74C49CCE">
      <w:pPr>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GB"/>
        </w:rPr>
      </w:pPr>
    </w:p>
    <w:p xmlns:wp14="http://schemas.microsoft.com/office/word/2010/wordml" w:rsidP="7099DFE4" w14:paraId="450181BE" wp14:textId="6ED8D1E5">
      <w:pPr>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GB"/>
        </w:rPr>
      </w:pPr>
    </w:p>
    <w:p xmlns:wp14="http://schemas.microsoft.com/office/word/2010/wordml" w:rsidP="7099DFE4" w14:paraId="2A937EDC" wp14:textId="1C8935C7">
      <w:pPr>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GB"/>
        </w:rPr>
      </w:pPr>
    </w:p>
    <w:p xmlns:wp14="http://schemas.microsoft.com/office/word/2010/wordml" w:rsidP="7099DFE4" w14:paraId="01DD5FB9" wp14:textId="127CA8C4">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099DFE4" w14:paraId="2AF41EEE" wp14:textId="2484ADE1">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40"/>
          <w:szCs w:val="40"/>
          <w:lang w:val="en-GB"/>
        </w:rPr>
        <w:t>Bibliography</w:t>
      </w:r>
    </w:p>
    <w:p xmlns:wp14="http://schemas.microsoft.com/office/word/2010/wordml" w:rsidP="7099DFE4" w14:paraId="1F4204AB" wp14:textId="3F95FD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4519305" w14:paraId="03A9DEA6" wp14:textId="02131CA5">
      <w:pPr>
        <w:spacing w:after="160" w:line="259" w:lineRule="auto"/>
        <w:rPr>
          <w:rFonts w:ascii="Times New Roman" w:hAnsi="Times New Roman" w:eastAsia="Times New Roman" w:cs="Times New Roman"/>
          <w:b w:val="0"/>
          <w:bCs w:val="0"/>
          <w:i w:val="0"/>
          <w:iCs w:val="0"/>
          <w:caps w:val="0"/>
          <w:smallCaps w:val="0"/>
          <w:noProof w:val="0"/>
          <w:color w:val="3F3F42"/>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3F3F42"/>
          <w:sz w:val="24"/>
          <w:szCs w:val="24"/>
          <w:lang w:val="en-GB"/>
        </w:rPr>
        <w:t xml:space="preserve">Boal, A. (2002) </w:t>
      </w:r>
      <w:r w:rsidRPr="14519305" w:rsidR="7099DFE4">
        <w:rPr>
          <w:rFonts w:ascii="Times New Roman" w:hAnsi="Times New Roman" w:eastAsia="Times New Roman" w:cs="Times New Roman"/>
          <w:b w:val="0"/>
          <w:bCs w:val="0"/>
          <w:i w:val="1"/>
          <w:iCs w:val="1"/>
          <w:caps w:val="0"/>
          <w:smallCaps w:val="0"/>
          <w:noProof w:val="0"/>
          <w:color w:val="3F3F42"/>
          <w:sz w:val="24"/>
          <w:szCs w:val="24"/>
          <w:lang w:val="en-GB"/>
        </w:rPr>
        <w:t>Games for actors and non-actors.</w:t>
      </w:r>
      <w:r w:rsidRPr="14519305" w:rsidR="7099DFE4">
        <w:rPr>
          <w:rFonts w:ascii="Times New Roman" w:hAnsi="Times New Roman" w:eastAsia="Times New Roman" w:cs="Times New Roman"/>
          <w:b w:val="0"/>
          <w:bCs w:val="0"/>
          <w:i w:val="0"/>
          <w:iCs w:val="0"/>
          <w:caps w:val="0"/>
          <w:smallCaps w:val="0"/>
          <w:noProof w:val="0"/>
          <w:color w:val="3F3F42"/>
          <w:sz w:val="24"/>
          <w:szCs w:val="24"/>
          <w:lang w:val="en-GB"/>
        </w:rPr>
        <w:t xml:space="preserve"> 2nd ed. [Online]. New York: Routledge. </w:t>
      </w:r>
    </w:p>
    <w:p w:rsidR="14519305" w:rsidP="14519305" w:rsidRDefault="14519305" w14:paraId="2B67445C" w14:textId="1284962F">
      <w:pPr>
        <w:pStyle w:val="Normal"/>
        <w:spacing w:after="160" w:line="259" w:lineRule="auto"/>
        <w:rPr>
          <w:rFonts w:ascii="Times New Roman" w:hAnsi="Times New Roman" w:eastAsia="Times New Roman" w:cs="Times New Roman"/>
          <w:b w:val="0"/>
          <w:bCs w:val="0"/>
          <w:i w:val="0"/>
          <w:iCs w:val="0"/>
          <w:caps w:val="0"/>
          <w:smallCaps w:val="0"/>
          <w:noProof w:val="0"/>
          <w:color w:val="3F3F42"/>
          <w:sz w:val="24"/>
          <w:szCs w:val="24"/>
          <w:lang w:val="en-GB"/>
        </w:rPr>
      </w:pPr>
      <w:r w:rsidRPr="14519305" w:rsidR="14519305">
        <w:rPr>
          <w:rFonts w:ascii="Times New Roman" w:hAnsi="Times New Roman" w:eastAsia="Times New Roman" w:cs="Times New Roman"/>
          <w:b w:val="0"/>
          <w:bCs w:val="0"/>
          <w:i w:val="0"/>
          <w:iCs w:val="0"/>
          <w:caps w:val="0"/>
          <w:smallCaps w:val="0"/>
          <w:noProof w:val="0"/>
          <w:color w:val="3F3F42"/>
          <w:sz w:val="24"/>
          <w:szCs w:val="24"/>
          <w:lang w:val="en-GB"/>
        </w:rPr>
        <w:t xml:space="preserve">Available </w:t>
      </w:r>
      <w:r w:rsidRPr="14519305" w:rsidR="14519305">
        <w:rPr>
          <w:rFonts w:ascii="Times New Roman" w:hAnsi="Times New Roman" w:eastAsia="Times New Roman" w:cs="Times New Roman"/>
          <w:b w:val="0"/>
          <w:bCs w:val="0"/>
          <w:i w:val="0"/>
          <w:iCs w:val="0"/>
          <w:caps w:val="0"/>
          <w:smallCaps w:val="0"/>
          <w:noProof w:val="0"/>
          <w:color w:val="3F3F42"/>
          <w:sz w:val="24"/>
          <w:szCs w:val="24"/>
          <w:lang w:val="en-GB"/>
        </w:rPr>
        <w:t>at:https</w:t>
      </w:r>
      <w:r w:rsidRPr="14519305" w:rsidR="14519305">
        <w:rPr>
          <w:rFonts w:ascii="Times New Roman" w:hAnsi="Times New Roman" w:eastAsia="Times New Roman" w:cs="Times New Roman"/>
          <w:b w:val="0"/>
          <w:bCs w:val="0"/>
          <w:i w:val="0"/>
          <w:iCs w:val="0"/>
          <w:caps w:val="0"/>
          <w:smallCaps w:val="0"/>
          <w:noProof w:val="0"/>
          <w:color w:val="3F3F42"/>
          <w:sz w:val="24"/>
          <w:szCs w:val="24"/>
          <w:lang w:val="en-GB"/>
        </w:rPr>
        <w:t>://librarysearch.uwtsd.ac.uk/permalink/44WHELF_UWTSD/1pbrh66/alma9914035202421 (Accessed: 30 November 2021)</w:t>
      </w:r>
    </w:p>
    <w:p xmlns:wp14="http://schemas.microsoft.com/office/word/2010/wordml" w:rsidP="7099DFE4" w14:paraId="19A2A201" wp14:textId="278B2BC2">
      <w:pPr>
        <w:spacing w:after="160" w:line="259" w:lineRule="auto"/>
        <w:rPr>
          <w:rFonts w:ascii="Calibri" w:hAnsi="Calibri" w:eastAsia="Calibri" w:cs="Calibri"/>
          <w:b w:val="0"/>
          <w:bCs w:val="0"/>
          <w:i w:val="0"/>
          <w:iCs w:val="0"/>
          <w:caps w:val="0"/>
          <w:smallCaps w:val="0"/>
          <w:noProof w:val="0"/>
          <w:color w:val="3F3F42"/>
          <w:sz w:val="24"/>
          <w:szCs w:val="24"/>
          <w:lang w:val="en-GB"/>
        </w:rPr>
      </w:pPr>
    </w:p>
    <w:p xmlns:wp14="http://schemas.microsoft.com/office/word/2010/wordml" w:rsidP="14519305" w14:paraId="31DA774F" wp14:textId="116F2167">
      <w:pPr>
        <w:spacing w:after="160" w:line="259" w:lineRule="auto"/>
        <w:rPr>
          <w:rFonts w:ascii="Calibri" w:hAnsi="Calibri" w:eastAsia="Calibri" w:cs="Calibri"/>
          <w:b w:val="0"/>
          <w:bCs w:val="0"/>
          <w:i w:val="0"/>
          <w:iCs w:val="0"/>
          <w:caps w:val="0"/>
          <w:smallCaps w:val="0"/>
          <w:noProof w:val="0"/>
          <w:color w:val="3F3F42"/>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Boland, G. and Cameron, D., 2005. </w:t>
      </w:r>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Newspaper Theatre: Applying performance-based learning to journalism education</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Journalism Education Association (JEA) Conference (pp. 1-20). Griffith University.</w:t>
      </w:r>
      <w:r w:rsidRPr="14519305" w:rsidR="7099DFE4">
        <w:rPr>
          <w:rFonts w:ascii="Calibri" w:hAnsi="Calibri" w:eastAsia="Calibri" w:cs="Calibri"/>
          <w:b w:val="0"/>
          <w:bCs w:val="0"/>
          <w:i w:val="0"/>
          <w:iCs w:val="0"/>
          <w:caps w:val="0"/>
          <w:smallCaps w:val="0"/>
          <w:noProof w:val="0"/>
          <w:color w:val="3F3F42"/>
          <w:sz w:val="24"/>
          <w:szCs w:val="24"/>
          <w:lang w:val="en-GB"/>
        </w:rPr>
        <w:t xml:space="preserve"> </w:t>
      </w:r>
    </w:p>
    <w:p xmlns:wp14="http://schemas.microsoft.com/office/word/2010/wordml" w:rsidP="14519305" w14:paraId="0BA9590C" wp14:textId="3C72B60E">
      <w:pPr>
        <w:spacing w:after="160" w:line="259" w:lineRule="auto"/>
        <w:rPr>
          <w:rFonts w:ascii="Calibri" w:hAnsi="Calibri" w:eastAsia="Calibri" w:cs="Calibri"/>
          <w:b w:val="0"/>
          <w:bCs w:val="0"/>
          <w:i w:val="0"/>
          <w:iCs w:val="0"/>
          <w:caps w:val="0"/>
          <w:smallCaps w:val="0"/>
          <w:noProof w:val="0"/>
          <w:color w:val="3F3F42"/>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r w:rsidRPr="14519305" w:rsidR="14519305">
        <w:rPr>
          <w:rFonts w:ascii="Times New Roman" w:hAnsi="Times New Roman" w:eastAsia="Times New Roman" w:cs="Times New Roman"/>
          <w:b w:val="0"/>
          <w:bCs w:val="0"/>
          <w:i w:val="0"/>
          <w:iCs w:val="0"/>
          <w:caps w:val="0"/>
          <w:smallCaps w:val="0"/>
          <w:noProof w:val="0"/>
          <w:color w:val="auto"/>
          <w:sz w:val="24"/>
          <w:szCs w:val="24"/>
          <w:lang w:val="en-GB"/>
        </w:rPr>
        <w:t>doi:10.1080/14616700117967 (Accessed: 28 November 2021)</w:t>
      </w:r>
    </w:p>
    <w:p xmlns:wp14="http://schemas.microsoft.com/office/word/2010/wordml" w:rsidP="7099DFE4" w14:paraId="6394DECF" wp14:textId="7C339101">
      <w:pPr>
        <w:spacing w:after="160" w:line="259" w:lineRule="auto"/>
        <w:rPr>
          <w:rFonts w:ascii="Calibri" w:hAnsi="Calibri" w:eastAsia="Calibri" w:cs="Calibri"/>
          <w:b w:val="0"/>
          <w:bCs w:val="0"/>
          <w:i w:val="0"/>
          <w:iCs w:val="0"/>
          <w:caps w:val="0"/>
          <w:smallCaps w:val="0"/>
          <w:noProof w:val="0"/>
          <w:color w:val="3F3F42"/>
          <w:sz w:val="24"/>
          <w:szCs w:val="24"/>
          <w:lang w:val="en-GB"/>
        </w:rPr>
      </w:pPr>
    </w:p>
    <w:p xmlns:wp14="http://schemas.microsoft.com/office/word/2010/wordml" w:rsidP="14519305" w14:paraId="0C89AA37" wp14:textId="3BA429D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Criado-Perez, C. (2019). </w:t>
      </w:r>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Invisible </w:t>
      </w:r>
      <w:proofErr w:type="gramStart"/>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women :</w:t>
      </w:r>
      <w:proofErr w:type="gramEnd"/>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exposing data bias in a world designed for men.</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Vintage Digital</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099DFE4" w14:paraId="6341CBFD" wp14:textId="6273F0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6AF587AA" wp14:textId="153443F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Denscombe, M. &amp; Denscombe, M. (2010)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Ground rules for social research guidelines for good practice</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2nd ed. Maidenhead: Open University Press.</w:t>
      </w:r>
      <w:r w:rsidRPr="7099DFE4" w:rsidR="7099DF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099DFE4" w14:paraId="0C0323DC" wp14:textId="5AEEF84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099DFE4" w14:paraId="094E286F" wp14:textId="1B0E73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Dess, N. K. et al. (2018)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Gender, sex, and sexualities : psychological perspectives</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NY: Oxford University Press.</w:t>
      </w: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099DFE4" w14:paraId="0AF5CE42" wp14:textId="24FCB1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4519305" w14:paraId="7E08CDC8" wp14:textId="1A66C147">
      <w:pPr>
        <w:spacing w:after="160" w:line="259" w:lineRule="auto"/>
        <w:rPr>
          <w:rFonts w:ascii="Calibri" w:hAnsi="Calibri" w:eastAsia="Calibri" w:cs="Calibri"/>
          <w:b w:val="0"/>
          <w:bCs w:val="0"/>
          <w:i w:val="0"/>
          <w:iCs w:val="0"/>
          <w:caps w:val="0"/>
          <w:smallCaps w:val="0"/>
          <w:noProof w:val="0"/>
          <w:color w:val="333333"/>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Felmlee, D., Inara Rodis, P. &amp; Zhang, A., (2020)</w:t>
      </w:r>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Sexist Slurs: Reinforcing Feminine Stereotypes</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14519305"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Sex Roles</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519305" w:rsidR="7099DFE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83, </w:t>
      </w: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16–28. </w:t>
      </w:r>
    </w:p>
    <w:p xmlns:wp14="http://schemas.microsoft.com/office/word/2010/wordml" w:rsidP="14519305" w14:paraId="4CE75DC8" wp14:textId="747A8378">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4"/>
          <w:szCs w:val="24"/>
          <w:lang w:val="en-GB"/>
        </w:rPr>
      </w:pPr>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14519305" w:rsidR="7099DFE4">
        <w:rPr>
          <w:rFonts w:ascii="Calibri" w:hAnsi="Calibri" w:eastAsia="Calibri" w:cs="Calibri"/>
          <w:b w:val="0"/>
          <w:bCs w:val="0"/>
          <w:i w:val="0"/>
          <w:iCs w:val="0"/>
          <w:caps w:val="0"/>
          <w:smallCaps w:val="0"/>
          <w:noProof w:val="0"/>
          <w:color w:val="333333"/>
          <w:sz w:val="24"/>
          <w:szCs w:val="24"/>
          <w:lang w:val="en-GB"/>
        </w:rPr>
        <w:t xml:space="preserve"> </w:t>
      </w:r>
      <w:hyperlink r:id="R815a8a8fe28e4e90">
        <w:r w:rsidRPr="14519305" w:rsidR="7099DFE4">
          <w:rPr>
            <w:rStyle w:val="Hyperlink"/>
            <w:rFonts w:ascii="Calibri" w:hAnsi="Calibri" w:eastAsia="Calibri" w:cs="Calibri"/>
            <w:b w:val="0"/>
            <w:bCs w:val="0"/>
            <w:i w:val="0"/>
            <w:iCs w:val="0"/>
            <w:caps w:val="0"/>
            <w:smallCaps w:val="0"/>
            <w:strike w:val="0"/>
            <w:dstrike w:val="0"/>
            <w:noProof w:val="0"/>
            <w:sz w:val="24"/>
            <w:szCs w:val="24"/>
            <w:lang w:val="en-GB"/>
          </w:rPr>
          <w:t>https://doi.org/10.1007/s11199-019-01095-z</w:t>
        </w:r>
      </w:hyperlink>
      <w:r w:rsidRPr="14519305" w:rsidR="14519305">
        <w:rPr>
          <w:rFonts w:ascii="Calibri" w:hAnsi="Calibri" w:eastAsia="Calibri" w:cs="Calibri"/>
          <w:b w:val="0"/>
          <w:bCs w:val="0"/>
          <w:i w:val="0"/>
          <w:iCs w:val="0"/>
          <w:caps w:val="0"/>
          <w:smallCaps w:val="0"/>
          <w:strike w:val="0"/>
          <w:dstrike w:val="0"/>
          <w:noProof w:val="0"/>
          <w:sz w:val="24"/>
          <w:szCs w:val="24"/>
          <w:lang w:val="en-GB"/>
        </w:rPr>
        <w:t xml:space="preserve"> </w:t>
      </w:r>
      <w:r w:rsidRPr="14519305" w:rsidR="14519305">
        <w:rPr>
          <w:rFonts w:ascii="Times New Roman" w:hAnsi="Times New Roman" w:eastAsia="Times New Roman" w:cs="Times New Roman"/>
          <w:b w:val="0"/>
          <w:bCs w:val="0"/>
          <w:i w:val="0"/>
          <w:iCs w:val="0"/>
          <w:caps w:val="0"/>
          <w:smallCaps w:val="0"/>
          <w:strike w:val="0"/>
          <w:dstrike w:val="0"/>
          <w:noProof w:val="0"/>
          <w:color w:val="auto"/>
          <w:sz w:val="24"/>
          <w:szCs w:val="24"/>
          <w:lang w:val="en-GB"/>
        </w:rPr>
        <w:t xml:space="preserve">(Accessed: 15 November 2021) </w:t>
      </w:r>
    </w:p>
    <w:p xmlns:wp14="http://schemas.microsoft.com/office/word/2010/wordml" w:rsidP="7099DFE4" w14:paraId="37A3168A" wp14:textId="4E3B0BD5">
      <w:pPr>
        <w:spacing w:after="160" w:line="259" w:lineRule="auto"/>
        <w:rPr>
          <w:rFonts w:ascii="Calibri" w:hAnsi="Calibri" w:eastAsia="Calibri" w:cs="Calibri"/>
          <w:b w:val="0"/>
          <w:bCs w:val="0"/>
          <w:i w:val="0"/>
          <w:iCs w:val="0"/>
          <w:caps w:val="0"/>
          <w:smallCaps w:val="0"/>
          <w:noProof w:val="0"/>
          <w:color w:val="333333"/>
          <w:sz w:val="24"/>
          <w:szCs w:val="24"/>
          <w:lang w:val="en-GB"/>
        </w:rPr>
      </w:pPr>
    </w:p>
    <w:p xmlns:wp14="http://schemas.microsoft.com/office/word/2010/wordml" w:rsidP="7099DFE4" w14:paraId="22DB351A" wp14:textId="07A9AAB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Goodyear, &amp; Armour, K. M. (2019).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Young people, social media and health</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Routledge. </w:t>
      </w:r>
    </w:p>
    <w:p xmlns:wp14="http://schemas.microsoft.com/office/word/2010/wordml" w:rsidP="7099DFE4" w14:paraId="3D953FC5" wp14:textId="6207230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099DFE4" w14:paraId="6A0CAFE8" wp14:textId="546B1ECC">
      <w:pPr>
        <w:spacing w:after="160" w:line="259" w:lineRule="auto"/>
        <w:rPr>
          <w:rFonts w:ascii="Calibri" w:hAnsi="Calibri" w:eastAsia="Calibri" w:cs="Calibri"/>
          <w:b w:val="0"/>
          <w:bCs w:val="0"/>
          <w:i w:val="0"/>
          <w:iCs w:val="0"/>
          <w:caps w:val="0"/>
          <w:smallCaps w:val="0"/>
          <w:noProof w:val="0"/>
          <w:color w:val="3F3F42"/>
          <w:sz w:val="24"/>
          <w:szCs w:val="24"/>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Kara. (2015). Creative research methods in the social sciences : a practical guide. Policy Press.</w:t>
      </w:r>
      <w:r w:rsidRPr="7099DFE4" w:rsidR="7099DFE4">
        <w:rPr>
          <w:rFonts w:ascii="Calibri" w:hAnsi="Calibri" w:eastAsia="Calibri" w:cs="Calibri"/>
          <w:b w:val="0"/>
          <w:bCs w:val="0"/>
          <w:i w:val="0"/>
          <w:iCs w:val="0"/>
          <w:caps w:val="0"/>
          <w:smallCaps w:val="0"/>
          <w:noProof w:val="0"/>
          <w:color w:val="3F3F42"/>
          <w:sz w:val="24"/>
          <w:szCs w:val="24"/>
          <w:lang w:val="en-GB"/>
        </w:rPr>
        <w:t xml:space="preserve"> </w:t>
      </w:r>
    </w:p>
    <w:p xmlns:wp14="http://schemas.microsoft.com/office/word/2010/wordml" w:rsidP="7099DFE4" w14:paraId="66449464" wp14:textId="4D674232">
      <w:pPr>
        <w:spacing w:after="160" w:line="259" w:lineRule="auto"/>
        <w:rPr>
          <w:rFonts w:ascii="Calibri" w:hAnsi="Calibri" w:eastAsia="Calibri" w:cs="Calibri"/>
          <w:b w:val="0"/>
          <w:bCs w:val="0"/>
          <w:i w:val="0"/>
          <w:iCs w:val="0"/>
          <w:caps w:val="0"/>
          <w:smallCaps w:val="0"/>
          <w:noProof w:val="0"/>
          <w:color w:val="3F3F42"/>
          <w:sz w:val="24"/>
          <w:szCs w:val="24"/>
          <w:lang w:val="en-GB"/>
        </w:rPr>
      </w:pPr>
    </w:p>
    <w:p xmlns:wp14="http://schemas.microsoft.com/office/word/2010/wordml" w:rsidP="7099DFE4" w14:paraId="55495788" wp14:textId="100A77B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McCallum (November 2021)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Instagram: A blessing or a curse?  </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BBC.  Available at:</w:t>
      </w:r>
      <w:r w:rsidRPr="7099DFE4" w:rsidR="7099DF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4519305" w14:paraId="2C86A152" wp14:textId="5D144E4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b6a6256b45334096">
        <w:r w:rsidRPr="14519305" w:rsidR="7099DFE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https://www.bbc.co.uk/news/technology-59180946</w:t>
        </w:r>
      </w:hyperlink>
      <w:r w:rsidRPr="14519305" w:rsidR="14519305">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 18 November 2021)</w:t>
      </w:r>
    </w:p>
    <w:p xmlns:wp14="http://schemas.microsoft.com/office/word/2010/wordml" w:rsidP="7099DFE4" w14:paraId="37280C60" wp14:textId="322803E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099DFE4" w14:paraId="592A5A93" wp14:textId="60A55BC9">
      <w:pPr>
        <w:spacing w:after="160" w:line="259" w:lineRule="auto"/>
        <w:rPr>
          <w:rFonts w:ascii="Calibri" w:hAnsi="Calibri" w:eastAsia="Calibri" w:cs="Calibri"/>
          <w:b w:val="0"/>
          <w:bCs w:val="0"/>
          <w:i w:val="0"/>
          <w:iCs w:val="0"/>
          <w:caps w:val="0"/>
          <w:smallCaps w:val="0"/>
          <w:noProof w:val="0"/>
          <w:color w:val="3F3F42"/>
          <w:sz w:val="24"/>
          <w:szCs w:val="24"/>
          <w:lang w:val="en-GB"/>
        </w:rPr>
      </w:pPr>
      <w:r w:rsidRPr="7099DFE4" w:rsidR="7099DFE4">
        <w:rPr>
          <w:rFonts w:ascii="Calibri" w:hAnsi="Calibri" w:eastAsia="Calibri" w:cs="Calibri"/>
          <w:b w:val="0"/>
          <w:bCs w:val="0"/>
          <w:i w:val="0"/>
          <w:iCs w:val="0"/>
          <w:caps w:val="0"/>
          <w:smallCaps w:val="0"/>
          <w:noProof w:val="0"/>
          <w:color w:val="3F3F42"/>
          <w:sz w:val="24"/>
          <w:szCs w:val="24"/>
          <w:lang w:val="en-GB"/>
        </w:rPr>
        <w:t>Neelands,J</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Goode,T. (2000)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Structuring Drama Work: A handbook of available forms in theatre and drama</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Cambridge University Press.  </w:t>
      </w:r>
      <w:r w:rsidRPr="7099DFE4" w:rsidR="7099DFE4">
        <w:rPr>
          <w:rFonts w:ascii="Calibri" w:hAnsi="Calibri" w:eastAsia="Calibri" w:cs="Calibri"/>
          <w:b w:val="0"/>
          <w:bCs w:val="0"/>
          <w:i w:val="0"/>
          <w:iCs w:val="0"/>
          <w:caps w:val="0"/>
          <w:smallCaps w:val="0"/>
          <w:noProof w:val="0"/>
          <w:color w:val="3F3F42"/>
          <w:sz w:val="24"/>
          <w:szCs w:val="24"/>
          <w:lang w:val="en-GB"/>
        </w:rPr>
        <w:t xml:space="preserve"> </w:t>
      </w:r>
    </w:p>
    <w:p xmlns:wp14="http://schemas.microsoft.com/office/word/2010/wordml" w:rsidP="7099DFE4" w14:paraId="3C4F3C21" wp14:textId="58FF0835">
      <w:pPr>
        <w:spacing w:after="160" w:line="259" w:lineRule="auto"/>
        <w:rPr>
          <w:rFonts w:ascii="Calibri" w:hAnsi="Calibri" w:eastAsia="Calibri" w:cs="Calibri"/>
          <w:b w:val="0"/>
          <w:bCs w:val="0"/>
          <w:i w:val="0"/>
          <w:iCs w:val="0"/>
          <w:caps w:val="0"/>
          <w:smallCaps w:val="0"/>
          <w:noProof w:val="0"/>
          <w:color w:val="3F3F42"/>
          <w:sz w:val="24"/>
          <w:szCs w:val="24"/>
          <w:lang w:val="en-GB"/>
        </w:rPr>
      </w:pPr>
    </w:p>
    <w:p xmlns:wp14="http://schemas.microsoft.com/office/word/2010/wordml" w:rsidP="7099DFE4" w14:paraId="31B671D0" wp14:textId="6D4129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Newton, D. E. (2019)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Gender inequality : a reference handbook</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Santa Barbara, California ;: ABC-CLIO. </w:t>
      </w: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099DFE4" w14:paraId="2B08DC3A" wp14:textId="1A62C1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4519305" w14:paraId="79322321" wp14:textId="1F2A55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14519305" w:rsidR="7099DFE4">
        <w:rPr>
          <w:rFonts w:ascii="Calibri" w:hAnsi="Calibri" w:eastAsia="Calibri" w:cs="Calibri"/>
          <w:b w:val="0"/>
          <w:bCs w:val="0"/>
          <w:i w:val="0"/>
          <w:iCs w:val="0"/>
          <w:caps w:val="0"/>
          <w:smallCaps w:val="0"/>
          <w:noProof w:val="0"/>
          <w:color w:val="000000" w:themeColor="text1" w:themeTint="FF" w:themeShade="FF"/>
          <w:sz w:val="22"/>
          <w:szCs w:val="22"/>
          <w:lang w:val="en-GB"/>
        </w:rPr>
        <w:t>Rifkin,F</w:t>
      </w:r>
      <w:proofErr w:type="spellEnd"/>
      <w:r w:rsidRPr="14519305"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(2010) </w:t>
      </w:r>
      <w:r w:rsidRPr="14519305" w:rsidR="7099DFE4">
        <w:rPr>
          <w:rFonts w:ascii="Calibri" w:hAnsi="Calibri" w:eastAsia="Calibri" w:cs="Calibri"/>
          <w:b w:val="0"/>
          <w:bCs w:val="0"/>
          <w:i w:val="1"/>
          <w:iCs w:val="1"/>
          <w:caps w:val="0"/>
          <w:smallCaps w:val="0"/>
          <w:noProof w:val="0"/>
          <w:color w:val="000000" w:themeColor="text1" w:themeTint="FF" w:themeShade="FF"/>
          <w:sz w:val="22"/>
          <w:szCs w:val="22"/>
          <w:lang w:val="en-GB"/>
        </w:rPr>
        <w:t>The ethics of Participatory Theatre in higher education.</w:t>
      </w:r>
      <w:r w:rsidRPr="14519305"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Higher Education Academy</w:t>
      </w:r>
      <w:r w:rsidRPr="14519305"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4519305"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d5040e75bc444c04">
        <w:r w:rsidRPr="14519305" w:rsidR="7099DFE4">
          <w:rPr>
            <w:rStyle w:val="Hyperlink"/>
            <w:rFonts w:ascii="Calibri" w:hAnsi="Calibri" w:eastAsia="Calibri" w:cs="Calibri"/>
            <w:b w:val="0"/>
            <w:bCs w:val="0"/>
            <w:i w:val="0"/>
            <w:iCs w:val="0"/>
            <w:caps w:val="0"/>
            <w:smallCaps w:val="0"/>
            <w:noProof w:val="0"/>
            <w:sz w:val="22"/>
            <w:szCs w:val="22"/>
            <w:lang w:val="en-GB"/>
          </w:rPr>
          <w:t>https://moodle.uwtsd.ac.uk/course/view.php?id=8930</w:t>
        </w:r>
      </w:hyperlink>
      <w:r w:rsidRPr="14519305" w:rsidR="14519305">
        <w:rPr>
          <w:rFonts w:ascii="Calibri" w:hAnsi="Calibri" w:eastAsia="Calibri" w:cs="Calibri"/>
          <w:b w:val="0"/>
          <w:bCs w:val="0"/>
          <w:i w:val="0"/>
          <w:iCs w:val="0"/>
          <w:caps w:val="0"/>
          <w:smallCaps w:val="0"/>
          <w:noProof w:val="0"/>
          <w:sz w:val="22"/>
          <w:szCs w:val="22"/>
          <w:lang w:val="en-GB"/>
        </w:rPr>
        <w:t xml:space="preserve"> (Accessed: 20 November 2021)</w:t>
      </w:r>
    </w:p>
    <w:p xmlns:wp14="http://schemas.microsoft.com/office/word/2010/wordml" w:rsidP="7099DFE4" w14:paraId="62FEAB1A" wp14:textId="3237DF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77EE70A3" wp14:textId="3906F4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Social Followers,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Instagram affects men and women differently</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4519305" w14:paraId="51B854D9" wp14:textId="2D73F8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5217344af7c45ab">
        <w:r w:rsidRPr="14519305" w:rsidR="7099DFE4">
          <w:rPr>
            <w:rStyle w:val="Hyperlink"/>
            <w:rFonts w:ascii="Calibri" w:hAnsi="Calibri" w:eastAsia="Calibri" w:cs="Calibri"/>
            <w:b w:val="0"/>
            <w:bCs w:val="0"/>
            <w:i w:val="0"/>
            <w:iCs w:val="0"/>
            <w:caps w:val="0"/>
            <w:smallCaps w:val="0"/>
            <w:strike w:val="0"/>
            <w:dstrike w:val="0"/>
            <w:noProof w:val="0"/>
            <w:sz w:val="22"/>
            <w:szCs w:val="22"/>
            <w:lang w:val="en-GB"/>
          </w:rPr>
          <w:t>https://www.socialfollowers.uk/blogs/instagram-affects-on-men-and-women/</w:t>
        </w:r>
      </w:hyperlink>
      <w:r w:rsidRPr="14519305" w:rsidR="14519305">
        <w:rPr>
          <w:rFonts w:ascii="Calibri" w:hAnsi="Calibri" w:eastAsia="Calibri" w:cs="Calibri"/>
          <w:b w:val="0"/>
          <w:bCs w:val="0"/>
          <w:i w:val="0"/>
          <w:iCs w:val="0"/>
          <w:caps w:val="0"/>
          <w:smallCaps w:val="0"/>
          <w:strike w:val="0"/>
          <w:dstrike w:val="0"/>
          <w:noProof w:val="0"/>
          <w:sz w:val="22"/>
          <w:szCs w:val="22"/>
          <w:lang w:val="en-GB"/>
        </w:rPr>
        <w:t xml:space="preserve"> (Accessed: 13 November 2021)</w:t>
      </w:r>
    </w:p>
    <w:p xmlns:wp14="http://schemas.microsoft.com/office/word/2010/wordml" w:rsidP="7099DFE4" w14:paraId="3478F7CD" wp14:textId="08B8A3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79141339" wp14:textId="14BB18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EC84082" wp14:textId="699192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 </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Women (2020)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Visualizing the data: Women’s representation in society. </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7099DFE4" w:rsidR="7099DF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4519305" w14:paraId="49AFC3DF" wp14:textId="4DF29F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5f584e20ee3942c4">
        <w:r w:rsidRPr="14519305" w:rsidR="7099DFE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https://www.unwomen.org/en/digital-library/multimedia/2020/2/infographic-visualizing-the-data-womens-representation</w:t>
        </w:r>
      </w:hyperlink>
      <w:r w:rsidRPr="14519305"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Octomber 2021)</w:t>
      </w:r>
    </w:p>
    <w:p xmlns:wp14="http://schemas.microsoft.com/office/word/2010/wordml" w:rsidP="7099DFE4" w14:paraId="4AAEA983" wp14:textId="026587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29E227B6" wp14:textId="3FCE6C20">
      <w:pPr>
        <w:spacing w:after="160" w:line="259" w:lineRule="auto"/>
        <w:rPr>
          <w:rFonts w:ascii="Calibri" w:hAnsi="Calibri" w:eastAsia="Calibri" w:cs="Calibri"/>
          <w:b w:val="0"/>
          <w:bCs w:val="0"/>
          <w:i w:val="0"/>
          <w:iCs w:val="0"/>
          <w:caps w:val="0"/>
          <w:smallCaps w:val="0"/>
          <w:noProof w:val="0"/>
          <w:color w:val="373A3C"/>
          <w:sz w:val="24"/>
          <w:szCs w:val="24"/>
          <w:lang w:val="en-GB"/>
        </w:rPr>
      </w:pPr>
      <w:r w:rsidRPr="7099DFE4" w:rsidR="7099DFE4">
        <w:rPr>
          <w:rFonts w:ascii="Calibri" w:hAnsi="Calibri" w:eastAsia="Calibri" w:cs="Calibri"/>
          <w:b w:val="0"/>
          <w:bCs w:val="0"/>
          <w:i w:val="0"/>
          <w:iCs w:val="0"/>
          <w:caps w:val="0"/>
          <w:smallCaps w:val="0"/>
          <w:noProof w:val="0"/>
          <w:color w:val="373A3C"/>
          <w:sz w:val="24"/>
          <w:szCs w:val="24"/>
          <w:lang w:val="en-GB"/>
        </w:rPr>
        <w:t xml:space="preserve">Van der Water, M., McAvoy, M. and Hunt, K. (2015)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Drama and Education: Performance Methodologies for Teaching and Learning</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Routledge</w:t>
      </w:r>
      <w:r w:rsidRPr="7099DFE4" w:rsidR="7099DFE4">
        <w:rPr>
          <w:rFonts w:ascii="Calibri" w:hAnsi="Calibri" w:eastAsia="Calibri" w:cs="Calibri"/>
          <w:b w:val="0"/>
          <w:bCs w:val="0"/>
          <w:i w:val="0"/>
          <w:iCs w:val="0"/>
          <w:caps w:val="0"/>
          <w:smallCaps w:val="0"/>
          <w:noProof w:val="0"/>
          <w:color w:val="373A3C"/>
          <w:sz w:val="24"/>
          <w:szCs w:val="24"/>
          <w:lang w:val="en-GB"/>
        </w:rPr>
        <w:t xml:space="preserve"> </w:t>
      </w:r>
    </w:p>
    <w:p xmlns:wp14="http://schemas.microsoft.com/office/word/2010/wordml" w:rsidP="7099DFE4" w14:paraId="02F493D5" wp14:textId="03A944EB">
      <w:pPr>
        <w:spacing w:after="160" w:line="259" w:lineRule="auto"/>
        <w:rPr>
          <w:rFonts w:ascii="Calibri" w:hAnsi="Calibri" w:eastAsia="Calibri" w:cs="Calibri"/>
          <w:b w:val="0"/>
          <w:bCs w:val="0"/>
          <w:i w:val="0"/>
          <w:iCs w:val="0"/>
          <w:caps w:val="0"/>
          <w:smallCaps w:val="0"/>
          <w:noProof w:val="0"/>
          <w:color w:val="373A3C"/>
          <w:sz w:val="24"/>
          <w:szCs w:val="24"/>
          <w:lang w:val="en-GB"/>
        </w:rPr>
      </w:pPr>
    </w:p>
    <w:p xmlns:wp14="http://schemas.microsoft.com/office/word/2010/wordml" w:rsidP="7099DFE4" w14:paraId="2570E570" wp14:textId="52BC692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Wakefield,J. (September 2021) </w:t>
      </w:r>
      <w:r w:rsidRPr="7099DFE4" w:rsidR="7099DF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Facebook under fire over secret teen research.</w:t>
      </w:r>
      <w:r w:rsidRPr="7099DFE4" w:rsidR="7099D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BBC. Available at:</w:t>
      </w:r>
    </w:p>
    <w:p xmlns:wp14="http://schemas.microsoft.com/office/word/2010/wordml" w:rsidP="14519305" w14:paraId="569A9802" wp14:textId="6D29166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cc48230cd89460a">
        <w:r w:rsidRPr="14519305" w:rsidR="7099DFE4">
          <w:rPr>
            <w:rStyle w:val="Hyperlink"/>
            <w:rFonts w:ascii="Calibri" w:hAnsi="Calibri" w:eastAsia="Calibri" w:cs="Calibri"/>
            <w:b w:val="0"/>
            <w:bCs w:val="0"/>
            <w:i w:val="0"/>
            <w:iCs w:val="0"/>
            <w:caps w:val="0"/>
            <w:smallCaps w:val="0"/>
            <w:strike w:val="0"/>
            <w:dstrike w:val="0"/>
            <w:noProof w:val="0"/>
            <w:sz w:val="24"/>
            <w:szCs w:val="24"/>
            <w:lang w:val="en-GB"/>
          </w:rPr>
          <w:t>https://www.bbc.co.uk/news/technology-58570353</w:t>
        </w:r>
      </w:hyperlink>
      <w:r w:rsidRPr="14519305" w:rsidR="14519305">
        <w:rPr>
          <w:rFonts w:ascii="Calibri" w:hAnsi="Calibri" w:eastAsia="Calibri" w:cs="Calibri"/>
          <w:b w:val="0"/>
          <w:bCs w:val="0"/>
          <w:i w:val="0"/>
          <w:iCs w:val="0"/>
          <w:caps w:val="0"/>
          <w:smallCaps w:val="0"/>
          <w:strike w:val="0"/>
          <w:dstrike w:val="0"/>
          <w:noProof w:val="0"/>
          <w:sz w:val="24"/>
          <w:szCs w:val="24"/>
          <w:lang w:val="en-GB"/>
        </w:rPr>
        <w:t xml:space="preserve"> (Accessed: 18 November 2021)</w:t>
      </w:r>
    </w:p>
    <w:p xmlns:wp14="http://schemas.microsoft.com/office/word/2010/wordml" w:rsidP="7099DFE4" w14:paraId="4CD1AFBC" wp14:textId="51D9DA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90CDE83" wp14:textId="0AF619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02007F49" wp14:textId="6AF8C3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D90A454" wp14:textId="4B94F8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D6A255E" wp14:textId="6D26CA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6D55023B" wp14:textId="6D4DF30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432B2928" wp14:textId="72B36D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3B384FD4" wp14:textId="084D5A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2E9558F9" wp14:textId="5E23DF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05F58809" wp14:textId="552A37C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77A59D4F" wp14:textId="1616E1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932080F" wp14:textId="4EA213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6EED8BB4" wp14:textId="4981D7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4AD1A642" wp14:textId="4C6B13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B43EE66" wp14:textId="51A164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53F01AD" wp14:textId="5F0390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4A57D3FD" wp14:textId="40C38B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D261E9A" wp14:textId="31B956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13E1FA65" wp14:textId="6CB118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7697553D" wp14:textId="284A48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5839113" wp14:textId="0FCE60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0B5A5609" wp14:textId="4E7D8C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31ED5426" wp14:textId="0D6512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2D2B1F41" wp14:textId="00AC28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9F2D506" wp14:textId="68853B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2ADC6F07" wp14:textId="18A12F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747E1C1" wp14:textId="29776A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6FAF6530" wp14:textId="0AF987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682B631E" wp14:textId="6D3DAB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7C898481" wp14:textId="2D61E5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35D5EDAC" wp14:textId="3F546D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99DFE4" w14:paraId="5C7B8E00" wp14:textId="0502C1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538376D" w14:paraId="2F725B31" wp14:textId="5252CD03">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1538376D" w:rsidR="7099DFE4">
        <w:rPr>
          <w:rFonts w:ascii="Calibri" w:hAnsi="Calibri" w:eastAsia="Calibri" w:cs="Calibri"/>
          <w:b w:val="0"/>
          <w:bCs w:val="0"/>
          <w:i w:val="0"/>
          <w:iCs w:val="0"/>
          <w:caps w:val="0"/>
          <w:smallCaps w:val="0"/>
          <w:noProof w:val="0"/>
          <w:color w:val="000000" w:themeColor="text1" w:themeTint="FF" w:themeShade="FF"/>
          <w:sz w:val="48"/>
          <w:szCs w:val="48"/>
          <w:lang w:val="en-GB"/>
        </w:rPr>
        <w:t>Women’s representation project- Critical Evaluation</w:t>
      </w:r>
    </w:p>
    <w:p xmlns:wp14="http://schemas.microsoft.com/office/word/2010/wordml" w:rsidP="1538376D" w14:paraId="4CF8C019" wp14:textId="03CA9E4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w:rsidR="1538376D" w:rsidP="1538376D" w:rsidRDefault="1538376D" w14:paraId="3CC3DAB9" w14:textId="6BB6D6E9">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w:rsidR="1538376D" w:rsidP="1538376D" w:rsidRDefault="1538376D" w14:paraId="36CAA669" w14:textId="5C9507B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following report links the ideas of research and questions of the proposal about ‘how can applied drama raise awareness and empower young women’ aligned on the position of women’s representation today, especially in the social media era, which are a significantly important source of influence for young people.</w:t>
      </w:r>
    </w:p>
    <w:p w:rsidR="1538376D" w:rsidP="1538376D" w:rsidRDefault="1538376D" w14:paraId="422A94F5" w14:textId="74293EF6">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To practically investigate the subject and collect evidence, I held applied drama workshops, since I am aware of the transformative role of applied drama and how it can create a space of challenging assumptions, whilst embracing and motivating people. </w:t>
      </w:r>
    </w:p>
    <w:p w:rsidR="1538376D" w:rsidP="1538376D" w:rsidRDefault="1538376D" w14:paraId="400A93E0" w14:textId="268FA846">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650514AC" w14:textId="6546CC5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After the first workshop with university students, where I have created a mind map with the group having as a starting point ‘women’s representation today’, participants gave targeted thoughts, facts and factors that affect the topic, referred extensively to the body image and the social media, showing a remarkably elevated level of awareness. Making me think that I might need to emphasise more on the empowerment of the group instead of their awareness.</w:t>
      </w:r>
    </w:p>
    <w:p w:rsidR="1538376D" w:rsidP="1538376D" w:rsidRDefault="1538376D" w14:paraId="08EF72CF" w14:textId="14EABC43">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The main activity was Image Theatre, in which I gave participants concepts from the mind map, for example ‘women’s representation and workplace/social media’ and the instructions were to create frozen pictures according to the concept. To dig into the essence of the images I asked participants to give sound and movement to their images. When the group was reflecting upon the image theatre experience, draw to a total agreement conclusion that the sounds, the movements, the thoughts, and the feelings of the images were obvious and predicted to them.</w:t>
      </w:r>
    </w:p>
    <w:p w:rsidR="1538376D" w:rsidP="1538376D" w:rsidRDefault="1538376D" w14:paraId="404DD773" w14:textId="47AD918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Boal argued that “In our culture we are used to expressing everything through words, leaving the enormous expressive capabilities of the body in an underdeveloped state” (Boal, p. 130) (White, p.28). This is something that comes in contrast to today’s culture, since we are constantly exposed to images mainly because of social media and for this reason participants were able in every image to identify the emotions and the thoughts of the images. Group’s reflective answers were the evidence that the factors which contributes to women’s misrepresentation and to the stereotypes are obvious. It might be the era of one picture is worth a thousand words, and the question it is not seemed to be what are the words, but in which level are we aware where the words derive from, how strongly inherited are they to our subconscious and what can we do about them?</w:t>
      </w:r>
    </w:p>
    <w:p w:rsidR="1538376D" w:rsidP="1538376D" w:rsidRDefault="1538376D" w14:paraId="4D111C68" w14:textId="44E81CC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2379EAD0" w14:textId="225025A2">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After the first workshop with university students and recognising that it might be a thorough knowledge and awareness on women’s representation to young women, I tailored a plan for Queen’s Elizabeth high school girls at the ages of 16-18 that had as intended outcomes to show different directions to young women to see the subtext of the images that they are being projected, challenge their assumptions, and encourage them to explore the variety of their options. From the start, I understood that this younger group had a different approach, because even though they mentioned being more engaged to social media, they were mainly expressing a positive attitude towards them. </w:t>
      </w:r>
    </w:p>
    <w:p w:rsidR="1538376D" w:rsidP="1538376D" w:rsidRDefault="1538376D" w14:paraId="58B921B0" w14:textId="4AD3DC3F">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When we were making the Image Theatre and frozen scenes, I gave the concept to one group of ‘women’s representation today and body positivity’ and the group actually made an image where they were hugging their bodies and they were saying being happy about their appearance. It was not something that I was expecting, and it was a key moment highlighting that each group has different approach to the same stimulations. I felt like high school group had an awareness of the impact of social media mostly on its positive effects, but their understanding on the negative impact was not in the same level as the university group. This fact made the workshop an exploration and a journey to reach awareness of the impact of social media, by going through a process of connecting images and emotions, raising questions to challenge assumptions, and finding alternative options.</w:t>
      </w:r>
    </w:p>
    <w:p w:rsidR="1538376D" w:rsidP="1538376D" w:rsidRDefault="1538376D" w14:paraId="7D2067E6" w14:textId="15AE6BA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0E235CDE" w14:textId="02AF4348">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fact that the two groups do not share the same approach on the impact of social media it is remarkably interesting, and it is also a notable example of the dichotomy of research to the subject. </w:t>
      </w:r>
    </w:p>
    <w:p w:rsidR="1538376D" w:rsidP="1538376D" w:rsidRDefault="1538376D" w14:paraId="4C5ED71B" w14:textId="2FDBBE0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On the one hand, the positive outlook of social media from the high school group gives justification to the evidence, which wants the use of social media to be associated with higher levels of social connectivity and lower levels of loneliness among users. (Ballantyne et al., 2010; K-T Lee et al., 2013) In addition, the use of social media platforms is associated with social wellbeing and social connection and to foster community among teenagers (Burke et al., 2010; Grieve et al., 2013; Allen et al., 2014). (Quinn, 2021)</w:t>
      </w:r>
    </w:p>
    <w:p w:rsidR="1538376D" w:rsidP="1538376D" w:rsidRDefault="1538376D" w14:paraId="6A5BC9EF" w14:textId="22BB5E32">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On the other hand, the point of view of university’s group is linked with The Royal College of Paediatrics and Child Health report which shows moderately strong associations between social media use and depressive symptoms (2018). More generally, social media have been criticised for having a dampening effect on the development of a critical, less conformist self (Haidt 2017, Twenge 2017). (McComb, Mills, 2021)</w:t>
      </w:r>
    </w:p>
    <w:p w:rsidR="1538376D" w:rsidP="1538376D" w:rsidRDefault="1538376D" w14:paraId="5F18612C" w14:textId="0FF8FD2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Even though in some cases social media were found to support networking (Ellison, Steinfield, and Lampe 2007), it is not easy to ascertain whether such activities promote civic engagement, social trust, and a real sense of community. (Hartas, D. 2021) It is also important to note that even if we accept that social media achieves the sense of belonging what is the level of it and what is the impact on individuals. </w:t>
      </w:r>
    </w:p>
    <w:p w:rsidR="1538376D" w:rsidP="1538376D" w:rsidRDefault="1538376D" w14:paraId="2F93A3FB" w14:textId="65D7D75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The sense of establishing community by social media is being questioned since it is excluding and pointing out a significant part of it. Specifically, many argue that the observed spike in depression and anxiety, among teenage girls, has coincided with an increase in the use of social media with girls being the primary consumers (Haidt 2017; Kelly et al. 2018; Shensa et al. 2017; Royal College of Paediatrics and Child Health 2018; Twenge 2017). Kelly et al. (2018) found associations between social media use and depressive symptoms, with the associations being stronger for girls, with online harassment, self-esteem, and body image. (Hartas, D. 2021)</w:t>
      </w:r>
    </w:p>
    <w:p w:rsidR="1538376D" w:rsidP="1538376D" w:rsidRDefault="1538376D" w14:paraId="402B454E" w14:textId="044EA7A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70C36376" w14:textId="067B20B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Body image it was something that both groups brought up from the start when we were creating the mind map. Image theatre was the main activity, and I gave as a concept to both workshops ‘women’s representation and social media’ and the two times the pictures were depicting one-person faking happiness and the other one despaired and stressed spying other’s life. It was after the image theatre activity and the reflective discussion I had with the high school group that they recognise that there is a loop in social media were people compare each other. There was a specific moment where one of the participants said: ‘there’s always going to be something upper to be jealous of’ and I asked if that was because of human nature or something else and then I got the answer I was looking for ‘because of social media.’</w:t>
      </w:r>
    </w:p>
    <w:p w:rsidR="1538376D" w:rsidP="1538376D" w:rsidRDefault="1538376D" w14:paraId="5DDAAB5C" w14:textId="5D8082B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Recent research has shown that exposure to thin idealized images on Instagram results increased negative mood and increased body dissatisfaction among young women. (Hogue &amp; Mills, 2019) Girls tend to be exposed to earlier sexualisation (APA 2007) through peer pressure and influence from female role models in pop culture and the social media, with sexual harassment being on the rise in schools (Morgan et al. 2017). They are sites for toxic social comparison propelled by unrealistic standards of beauty, airbrushed body images, ‘glamorous’ lifestyles and cyberbullying.(Shensa et al. 2017; Twenge 2017). (Hartas, D. 2021) Consequently, girls more often than boys face challenges as diverse as gender inequality, cyberbullying, body image, pornography, and everyday sexism (e.g. Blau, Brinton, and Grusky 2006; Branisa et al. 2014). Socialisation pressures through body image control to be expressly feminine, along with post-feminist career and role aspirations influenced by misogynistic attitudes, are associated with a serious deterioration in adolescent girls’ mental health (Shensa et al. 2017).</w:t>
      </w:r>
    </w:p>
    <w:p w:rsidR="1538376D" w:rsidP="1538376D" w:rsidRDefault="1538376D" w14:paraId="6759F1CB" w14:textId="5DD8DC8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633DCDF9" w14:textId="2453A3C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Thus, social media does not appear to be entirely the space for establishing the idea of social community and inclusion, but at the same time seems to be a dangerous space especially for young women who are facing a world of expectations, which leads to an inevitable constant comparison. </w:t>
      </w:r>
    </w:p>
    <w:p w:rsidR="1538376D" w:rsidP="1538376D" w:rsidRDefault="1538376D" w14:paraId="435AB83D" w14:textId="6F2681E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 believe that social media it is part of modern’s life, and it is utopic to not be involved in. The workshops with groups with a slight age difference gave me a better picture of how powerful influence is social media in women’s representation, what are the approaches to the impact of social media and how does the approach affect reaching awareness. </w:t>
      </w:r>
    </w:p>
    <w:p w:rsidR="1538376D" w:rsidP="1538376D" w:rsidRDefault="1538376D" w14:paraId="1F7F7246" w14:textId="23E695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1538376D" w:rsidP="1538376D" w:rsidRDefault="1538376D" w14:paraId="40BD8B93" w14:textId="29A82E3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the following workshop with university group, I was aiming for empowerment and have fun. The main activity was a card game based on Newspaper Theatre, with one type of cards being about news and statistics about women’s representation and the other type of cards were about how to act it out like saying a funny story or singing jingle bells. Since they were only two participants, I joined the game and the group had fun with it. When we went on a circle reading the type of cards with women’s representation facts without acting them out the group got serious. At this point the reflective discussion came naturally, participants share their thoughts and feelings and there was a moment that a participant shared wanting to give the cards with the facts on people who say that inequality does not exist, and I found this as an opportunity to referred to what the group can do about the topic. </w:t>
      </w:r>
    </w:p>
    <w:p w:rsidR="1538376D" w:rsidP="1538376D" w:rsidRDefault="1538376D" w14:paraId="4B5D531D" w14:textId="68F93AC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That was an important key learning point for me, because the group decided to do something about the subject which in developmental facilitation is called self-facilitation and it is the moment that the group is facilitating itself. (Preston, 2020) Developmental facilitation requires significantly more time and facilitator skill, and it is more likely to create fundamental change. (Schwarz, 2002: 22) Even though it was the second workshop the group became self-facilitated because it was only two participants and another essential factor that contributed to self-facilitation, it was the definition of the space with its values and ethics that the group, established to create a safe space. In developmental facilitation, the facilitator explicitly helps a group solve a substantive problem and learn to improve its process at the same time. (Preston, 2020) In this case, it was more about-facing problematic effects, empowering the group and support their action. This is not only remarkable from facilitation perspective but most importantly from the project’s aims perspective, since the group was feeling empowered to make a step for change.</w:t>
      </w:r>
    </w:p>
    <w:p w:rsidR="1538376D" w:rsidP="1538376D" w:rsidRDefault="1538376D" w14:paraId="73B0720F" w14:textId="180A53B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Participants said that they would like to step out of their comfort zone and spread awareness, because they were feeling motivated. They suggested many ideas that they were discussed and practically examined in an online session. Due to the time limit of the project, the group decided to give cards with up-to-date facts about women’s representation to the public. Other ideas were to create animated movie, video, a catchy poster, facts, stickers, and invisible theatre. However, these ideas needed more time, skills, and money to prepare, for this reason the group chose to have an informational role since they mentioned as one of their aims being communicating the issues women facing today. </w:t>
      </w:r>
    </w:p>
    <w:p w:rsidR="1538376D" w:rsidP="1538376D" w:rsidRDefault="1538376D" w14:paraId="53280151" w14:textId="20AC781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During the online session as well as organising the action plan, the group did a Mantle of the Expert activity based on the BBC’s documentary series ‘Instagram Effect.’ Participants were shown experiences of Instagram users and then with the ‘mantle’ of Instagram staff they were asked to express their opinion and support platform’s thesis or suggest any changes. Participants proposed some interesting ideas on how to make the platform safer for its users, especially the younger ages. After their suggestions they watched what actual Instagram workers say and the group were determined that their statements were hypocritical. That reminded me Boal’s quote of ‘oppressed as artist’ and how anger in this situation can be the vehicle of empowerment and motivation to act against an oppressive reality for young women.</w:t>
      </w:r>
    </w:p>
    <w:p w:rsidR="1538376D" w:rsidP="16415884" w:rsidRDefault="1538376D" w14:paraId="1CA8C45D" w14:textId="0C0DABF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6415884"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On Saturday, me, and the group (the two participants that they were joining to the last sessions) walked at the beach in Swansea and share the cards in the community. The group agreed to their role which was not to express their personal opinion but to state the facts in order to achieve the principles they set which was communicating the importance of the topic and spread awareness. Moreover, the group concurred to talk to people who seem approachable and in case of intense argument to step back for not overstepping the group’s informational role. The group stayed together to the whole process, and everything ran smoothly. </w:t>
      </w:r>
    </w:p>
    <w:p w:rsidR="1538376D" w:rsidP="1538376D" w:rsidRDefault="1538376D" w14:paraId="563B16A2" w14:textId="3C17B51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We did not label the action’s project of Saturday although from my point of view, it was a form of protest. McGarry et al. describe protest as a performative operation of democratic power through which the democratic public ‘demands recognition, embodies visibility, articulates a political voice, and communicates ideas/demands. As such, protest is a performative act of public communication that aims to contest the existing power relations and ‘the rules of the game’ that may be dictated by those in positions of authority. (Korkut et al. 2020) </w:t>
      </w:r>
    </w:p>
    <w:p w:rsidR="1538376D" w:rsidP="1538376D" w:rsidRDefault="1538376D" w14:paraId="24427314" w14:textId="368CAAD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1538376D" w:rsidP="1538376D" w:rsidRDefault="1538376D" w14:paraId="2569471D" w14:textId="2E48045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538376D" w:rsidR="1538376D">
        <w:rPr>
          <w:rFonts w:ascii="Calibri" w:hAnsi="Calibri" w:eastAsia="Calibri" w:cs="Calibri"/>
          <w:b w:val="0"/>
          <w:bCs w:val="0"/>
          <w:i w:val="0"/>
          <w:iCs w:val="0"/>
          <w:caps w:val="0"/>
          <w:smallCaps w:val="0"/>
          <w:noProof w:val="0"/>
          <w:color w:val="000000" w:themeColor="text1" w:themeTint="FF" w:themeShade="FF"/>
          <w:sz w:val="36"/>
          <w:szCs w:val="36"/>
          <w:lang w:val="en-GB"/>
        </w:rPr>
        <w:t>As demonstrated by my critical analysis and reflection for the project, young women are notably experiencing and exposed to certain ways of representation promoted mainly by social media.  "[...] From near and far, they send us daily messages. Which are so many judgments, often discreet but cruel. The mirror only sanctions what one has thought to hear and understand and that one seeks to decipher in one's reflection " (Kaufmann 2013: 15). Hence, critical thinking is the mechanism for one to recognise to what is exposed to, what are the options and what it needs to change.</w:t>
      </w:r>
    </w:p>
    <w:p w:rsidR="1538376D" w:rsidP="16415884" w:rsidRDefault="1538376D" w14:paraId="1E33D8E0" w14:textId="41A56C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6415884" w:rsidR="1538376D">
        <w:rPr>
          <w:rFonts w:ascii="Calibri" w:hAnsi="Calibri" w:eastAsia="Calibri" w:cs="Calibri"/>
          <w:b w:val="0"/>
          <w:bCs w:val="0"/>
          <w:i w:val="0"/>
          <w:iCs w:val="0"/>
          <w:caps w:val="0"/>
          <w:smallCaps w:val="0"/>
          <w:noProof w:val="0"/>
          <w:color w:val="000000" w:themeColor="text1" w:themeTint="FF" w:themeShade="FF"/>
          <w:sz w:val="36"/>
          <w:szCs w:val="36"/>
          <w:lang w:val="en-GB"/>
        </w:rPr>
        <w:t>I consider the project to be achieved as well as succeed, because it did not only raise awareness on the topic, but it also managed to empower young women in the level of feeling motivated to spread awareness to the community. My intention for making a step for change by raising awareness continued with the group’s intention to spread awareness.</w:t>
      </w:r>
    </w:p>
    <w:p xmlns:wp14="http://schemas.microsoft.com/office/word/2010/wordml" w:rsidP="7099DFE4" w14:paraId="7379F11E" wp14:textId="31F6A63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441608BC" wp14:textId="7CC74E3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4A5D3DB6" wp14:textId="0A5F230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257E2180" wp14:textId="6DBB57A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5890F173" wp14:textId="3248756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361CCF20" wp14:textId="13E085D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7B213C12" wp14:textId="3E5025D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4D44AF7D" wp14:textId="5AFDAE6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759342F0" wp14:textId="3389312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75F428A4" wp14:textId="155D08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255EE21A" wp14:textId="1BBDA33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05FB90E1" wp14:textId="3F00C15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6832C7A8" wp14:textId="567FCE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64E34DF4" wp14:textId="39212E6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5260E142" wp14:textId="1967FE9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Bibliography</w:t>
      </w:r>
    </w:p>
    <w:p xmlns:wp14="http://schemas.microsoft.com/office/word/2010/wordml" w:rsidP="7099DFE4" w14:paraId="79857269" wp14:textId="69E28E71">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p>
    <w:p xmlns:wp14="http://schemas.microsoft.com/office/word/2010/wordml" w:rsidP="7099DFE4" w14:paraId="6544ACA7" wp14:textId="02E4050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Boland, G. and Cameron, D., (2005) Newspaper Theatre: Applying performance-based learning to journalism education.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In Journalism Education Association (JEA) Conference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(pp. 1-20). Griffith University.</w:t>
      </w:r>
    </w:p>
    <w:p xmlns:wp14="http://schemas.microsoft.com/office/word/2010/wordml" w:rsidP="14519305" w14:paraId="681178C6" wp14:textId="7D81EC7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hyperlink r:id="Rb700d46649af441b">
        <w:r w:rsidRPr="14519305" w:rsidR="7099DFE4">
          <w:rPr>
            <w:rStyle w:val="Hyperlink"/>
            <w:rFonts w:ascii="Calibri" w:hAnsi="Calibri" w:eastAsia="Calibri" w:cs="Calibri"/>
            <w:b w:val="0"/>
            <w:bCs w:val="0"/>
            <w:i w:val="0"/>
            <w:iCs w:val="0"/>
            <w:caps w:val="0"/>
            <w:smallCaps w:val="0"/>
            <w:strike w:val="0"/>
            <w:dstrike w:val="0"/>
            <w:noProof w:val="0"/>
            <w:sz w:val="36"/>
            <w:szCs w:val="36"/>
            <w:lang w:val="en-GB"/>
          </w:rPr>
          <w:t>https://www.researchgate.net/publication/266606972</w:t>
        </w:r>
      </w:hyperlink>
      <w:r w:rsidRPr="14519305" w:rsidR="14519305">
        <w:rPr>
          <w:rFonts w:ascii="Calibri" w:hAnsi="Calibri" w:eastAsia="Calibri" w:cs="Calibri"/>
          <w:b w:val="0"/>
          <w:bCs w:val="0"/>
          <w:i w:val="0"/>
          <w:iCs w:val="0"/>
          <w:caps w:val="0"/>
          <w:smallCaps w:val="0"/>
          <w:strike w:val="0"/>
          <w:dstrike w:val="0"/>
          <w:noProof w:val="0"/>
          <w:sz w:val="36"/>
          <w:szCs w:val="36"/>
          <w:lang w:val="en-GB"/>
        </w:rPr>
        <w:t xml:space="preserve"> (Accessed: 13 March 2022)</w:t>
      </w:r>
    </w:p>
    <w:p xmlns:wp14="http://schemas.microsoft.com/office/word/2010/wordml" w:rsidP="7099DFE4" w14:paraId="38DDA0E4" wp14:textId="26FBB8F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174FCE46" wp14:textId="0416002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Braizaz,M.(2019) «Femininity and Fashion: How Women Experience Gender Role Through their Dressing Practices»,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Cadernos de Arte e Antropologia</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[Online], Vol. 8, No 1 | 2019.</w:t>
      </w:r>
    </w:p>
    <w:p xmlns:wp14="http://schemas.microsoft.com/office/word/2010/wordml" w:rsidP="14519305" w14:paraId="4C61CE56" wp14:textId="1E16D8C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hyperlink r:id="R18dbd129e3254723">
        <w:r w:rsidRPr="14519305" w:rsidR="7099DFE4">
          <w:rPr>
            <w:rStyle w:val="Hyperlink"/>
            <w:rFonts w:ascii="Calibri" w:hAnsi="Calibri" w:eastAsia="Calibri" w:cs="Calibri"/>
            <w:b w:val="0"/>
            <w:bCs w:val="0"/>
            <w:i w:val="0"/>
            <w:iCs w:val="0"/>
            <w:caps w:val="0"/>
            <w:smallCaps w:val="0"/>
            <w:strike w:val="0"/>
            <w:dstrike w:val="0"/>
            <w:noProof w:val="0"/>
            <w:sz w:val="36"/>
            <w:szCs w:val="36"/>
            <w:lang w:val="en-GB"/>
          </w:rPr>
          <w:t>https://doi.org/10.4000/cadernosaa.2001</w:t>
        </w:r>
      </w:hyperlink>
      <w:r w:rsidRPr="14519305" w:rsidR="14519305">
        <w:rPr>
          <w:rFonts w:ascii="Calibri" w:hAnsi="Calibri" w:eastAsia="Calibri" w:cs="Calibri"/>
          <w:b w:val="0"/>
          <w:bCs w:val="0"/>
          <w:i w:val="0"/>
          <w:iCs w:val="0"/>
          <w:caps w:val="0"/>
          <w:smallCaps w:val="0"/>
          <w:strike w:val="0"/>
          <w:dstrike w:val="0"/>
          <w:noProof w:val="0"/>
          <w:sz w:val="36"/>
          <w:szCs w:val="36"/>
          <w:lang w:val="en-GB"/>
        </w:rPr>
        <w:t xml:space="preserve"> (Accessed: 11 February 2022)</w:t>
      </w:r>
    </w:p>
    <w:p xmlns:wp14="http://schemas.microsoft.com/office/word/2010/wordml" w:rsidP="7099DFE4" w14:paraId="77279E8A" wp14:textId="793F023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11E6785B" wp14:textId="56F2CA4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F. Caruana, P. Avanzini, V. Pelliccia, V.Mariani, F.Zauli, I. Sartori, M. Del Vecchio, G. Lo Russo, G. Rizzolatti, (2020) Mirroring other's laughter. Cingulate, opercular and temporal contributions to laughter expression and observation.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Cortex,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Volume 128, Pages 35-48, ISSN 0010-9452. </w:t>
      </w:r>
    </w:p>
    <w:p xmlns:wp14="http://schemas.microsoft.com/office/word/2010/wordml" w:rsidP="14519305" w14:paraId="59E5DC85" wp14:textId="5E0200D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hyperlink r:id="Rbed2a7913fce481d">
        <w:r w:rsidRPr="14519305" w:rsidR="7099DFE4">
          <w:rPr>
            <w:rStyle w:val="Hyperlink"/>
            <w:rFonts w:ascii="Calibri" w:hAnsi="Calibri" w:eastAsia="Calibri" w:cs="Calibri"/>
            <w:b w:val="0"/>
            <w:bCs w:val="0"/>
            <w:i w:val="0"/>
            <w:iCs w:val="0"/>
            <w:caps w:val="0"/>
            <w:smallCaps w:val="0"/>
            <w:strike w:val="0"/>
            <w:dstrike w:val="0"/>
            <w:noProof w:val="0"/>
            <w:sz w:val="36"/>
            <w:szCs w:val="36"/>
            <w:lang w:val="en-GB"/>
          </w:rPr>
          <w:t>https://doi.org/10.1016/j.cortex.2020.02.023</w:t>
        </w:r>
      </w:hyperlink>
      <w:r w:rsidRPr="14519305" w:rsidR="14519305">
        <w:rPr>
          <w:rFonts w:ascii="Calibri" w:hAnsi="Calibri" w:eastAsia="Calibri" w:cs="Calibri"/>
          <w:b w:val="0"/>
          <w:bCs w:val="0"/>
          <w:i w:val="0"/>
          <w:iCs w:val="0"/>
          <w:caps w:val="0"/>
          <w:smallCaps w:val="0"/>
          <w:strike w:val="0"/>
          <w:dstrike w:val="0"/>
          <w:noProof w:val="0"/>
          <w:sz w:val="36"/>
          <w:szCs w:val="36"/>
          <w:lang w:val="en-GB"/>
        </w:rPr>
        <w:t xml:space="preserve"> (Accessed: 4 March 2022)</w:t>
      </w:r>
    </w:p>
    <w:p xmlns:wp14="http://schemas.microsoft.com/office/word/2010/wordml" w:rsidP="7099DFE4" w14:paraId="60129145" wp14:textId="0D7F4DC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6497C35A" wp14:textId="5D2FF9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Hartas, D. (2021) ‘The social context of adolescent mental health and wellbeing: parents, friends and social media’,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Research papers in education</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36(5), pp. 542–560.</w:t>
      </w:r>
    </w:p>
    <w:p xmlns:wp14="http://schemas.microsoft.com/office/word/2010/wordml" w:rsidP="14519305" w14:paraId="035771C4" wp14:textId="1FE98F3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Available at: doi:10.1080/02671522.2019.1697734. (Accessed: 4 March 2022)</w:t>
      </w:r>
    </w:p>
    <w:p xmlns:wp14="http://schemas.microsoft.com/office/word/2010/wordml" w:rsidP="7099DFE4" w14:paraId="78A27D3E" wp14:textId="7158EBE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6F86BE25" wp14:textId="180EDC6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Johnson, E.C., Liu, K. and Goble, K. (2015) ‘Mantle of the Expert: Integrating Dramatic Inquiry and Visual Arts in Social Studies’,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The Social Studies</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106(5), pp. 204–208.</w:t>
      </w:r>
    </w:p>
    <w:p xmlns:wp14="http://schemas.microsoft.com/office/word/2010/wordml" w:rsidP="09BBAA29" w14:paraId="7364E0B3" wp14:textId="19BA28E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9BBAA29" w:rsidR="7099DFE4">
        <w:rPr>
          <w:rFonts w:ascii="Calibri" w:hAnsi="Calibri" w:eastAsia="Calibri" w:cs="Calibri"/>
          <w:b w:val="0"/>
          <w:bCs w:val="0"/>
          <w:i w:val="0"/>
          <w:iCs w:val="0"/>
          <w:caps w:val="0"/>
          <w:smallCaps w:val="0"/>
          <w:noProof w:val="0"/>
          <w:color w:val="000000" w:themeColor="text1" w:themeTint="FF" w:themeShade="FF"/>
          <w:sz w:val="36"/>
          <w:szCs w:val="36"/>
          <w:lang w:val="en-GB"/>
        </w:rPr>
        <w:t>Available at: doi:10.1080/00377996.2015.1046543 (Accessed: 12 Fe</w:t>
      </w:r>
      <w:r w:rsidRPr="09BBAA29" w:rsidR="14519305">
        <w:rPr>
          <w:rFonts w:ascii="Calibri" w:hAnsi="Calibri" w:eastAsia="Calibri" w:cs="Calibri"/>
          <w:b w:val="0"/>
          <w:bCs w:val="0"/>
          <w:i w:val="0"/>
          <w:iCs w:val="0"/>
          <w:caps w:val="0"/>
          <w:smallCaps w:val="0"/>
          <w:noProof w:val="0"/>
          <w:color w:val="000000" w:themeColor="text1" w:themeTint="FF" w:themeShade="FF"/>
          <w:sz w:val="36"/>
          <w:szCs w:val="36"/>
          <w:lang w:val="en-GB"/>
        </w:rPr>
        <w:t>bruary 2022)</w:t>
      </w:r>
    </w:p>
    <w:p w:rsidR="09BBAA29" w:rsidP="09BBAA29" w:rsidRDefault="09BBAA29" w14:paraId="2B43BFDD" w14:textId="1481399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09BBAA29" w:rsidP="09BBAA29" w:rsidRDefault="09BBAA29" w14:paraId="77D1DDFA" w14:textId="68255469">
      <w:pPr>
        <w:spacing w:after="160" w:line="259" w:lineRule="auto"/>
        <w:jc w:val="left"/>
        <w:rPr>
          <w:rFonts w:ascii="Calibri" w:hAnsi="Calibri" w:eastAsia="Calibri" w:cs="Calibri"/>
          <w:noProof w:val="0"/>
          <w:sz w:val="36"/>
          <w:szCs w:val="36"/>
          <w:lang w:val="en-GB"/>
        </w:rPr>
      </w:pPr>
      <w:r w:rsidRPr="09BBAA29" w:rsidR="09BBAA2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Korkut, U. et al. (2020) The Aesthetics of Global Protest Visual Culture and Communication. Baltimore, Maryland: Project </w:t>
      </w:r>
      <w:r w:rsidRPr="09BBAA29" w:rsidR="09BBAA29">
        <w:rPr>
          <w:rFonts w:ascii="Calibri" w:hAnsi="Calibri" w:eastAsia="Calibri" w:cs="Calibri"/>
          <w:b w:val="0"/>
          <w:bCs w:val="0"/>
          <w:i w:val="0"/>
          <w:iCs w:val="0"/>
          <w:caps w:val="0"/>
          <w:smallCaps w:val="0"/>
          <w:noProof w:val="0"/>
          <w:color w:val="000000" w:themeColor="text1" w:themeTint="FF" w:themeShade="FF"/>
          <w:sz w:val="36"/>
          <w:szCs w:val="36"/>
          <w:lang w:val="en-GB"/>
        </w:rPr>
        <w:t>Muse.</w:t>
      </w:r>
    </w:p>
    <w:p w:rsidR="09BBAA29" w:rsidP="09BBAA29" w:rsidRDefault="09BBAA29" w14:paraId="078770E8" w14:textId="535FDA4C">
      <w:pPr>
        <w:spacing w:after="160" w:line="259" w:lineRule="auto"/>
        <w:jc w:val="left"/>
        <w:rPr>
          <w:rFonts w:ascii="Calibri" w:hAnsi="Calibri" w:eastAsia="Calibri" w:cs="Calibri"/>
          <w:noProof w:val="0"/>
          <w:sz w:val="36"/>
          <w:szCs w:val="36"/>
          <w:lang w:val="en-GB"/>
        </w:rPr>
      </w:pPr>
      <w:r w:rsidRPr="09BBAA29" w:rsidR="09BBAA29">
        <w:rPr>
          <w:rFonts w:ascii="Calibri" w:hAnsi="Calibri" w:eastAsia="Calibri" w:cs="Calibri"/>
          <w:b w:val="0"/>
          <w:bCs w:val="0"/>
          <w:i w:val="0"/>
          <w:iCs w:val="0"/>
          <w:caps w:val="0"/>
          <w:smallCaps w:val="0"/>
          <w:noProof w:val="0"/>
          <w:color w:val="000000" w:themeColor="text1" w:themeTint="FF" w:themeShade="FF"/>
          <w:sz w:val="36"/>
          <w:szCs w:val="36"/>
          <w:lang w:val="en-GB"/>
        </w:rPr>
        <w:t>Available at: doi:10.5117/9789463724913 (Accessed: 25 Marh 2022)</w:t>
      </w:r>
    </w:p>
    <w:p w:rsidR="09BBAA29" w:rsidP="09BBAA29" w:rsidRDefault="09BBAA29" w14:paraId="62B8988F" w14:textId="7CC57D9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2D845B94" wp14:textId="602B13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798D8359" wp14:textId="6BE7957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Sarah E. McComb, Jennifer S. Mills, (2021) Young women’s body image following upwards comparison to Instagram models: The role of physical appearance perfectionism and cognitive emotion regulation,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Body Image</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Volume 38, Pages 49-62. </w:t>
      </w:r>
    </w:p>
    <w:p xmlns:wp14="http://schemas.microsoft.com/office/word/2010/wordml" w:rsidP="14519305" w14:paraId="78AC991E" wp14:textId="34E5527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hyperlink r:id="R80762ddf36ee4992">
        <w:r w:rsidRPr="14519305" w:rsidR="7099DFE4">
          <w:rPr>
            <w:rStyle w:val="Hyperlink"/>
            <w:rFonts w:ascii="Calibri" w:hAnsi="Calibri" w:eastAsia="Calibri" w:cs="Calibri"/>
            <w:b w:val="0"/>
            <w:bCs w:val="0"/>
            <w:i w:val="0"/>
            <w:iCs w:val="0"/>
            <w:caps w:val="0"/>
            <w:smallCaps w:val="0"/>
            <w:strike w:val="0"/>
            <w:dstrike w:val="0"/>
            <w:noProof w:val="0"/>
            <w:sz w:val="36"/>
            <w:szCs w:val="36"/>
            <w:lang w:val="en-GB"/>
          </w:rPr>
          <w:t>https://doi.org/10.1016/j.bodyim.2021.03.012</w:t>
        </w:r>
      </w:hyperlink>
      <w:r w:rsidRPr="14519305" w:rsidR="14519305">
        <w:rPr>
          <w:rFonts w:ascii="Calibri" w:hAnsi="Calibri" w:eastAsia="Calibri" w:cs="Calibri"/>
          <w:b w:val="0"/>
          <w:bCs w:val="0"/>
          <w:i w:val="0"/>
          <w:iCs w:val="0"/>
          <w:caps w:val="0"/>
          <w:smallCaps w:val="0"/>
          <w:strike w:val="0"/>
          <w:dstrike w:val="0"/>
          <w:noProof w:val="0"/>
          <w:sz w:val="36"/>
          <w:szCs w:val="36"/>
          <w:lang w:val="en-GB"/>
        </w:rPr>
        <w:t xml:space="preserve"> (Accessed: 17 March 2022)</w:t>
      </w:r>
    </w:p>
    <w:p xmlns:wp14="http://schemas.microsoft.com/office/word/2010/wordml" w:rsidP="7099DFE4" w14:paraId="49D85F5F" wp14:textId="586AF87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71B9C26B" wp14:textId="48CB95C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Schonmann, S. (2011)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Key Concepts in Theatre/Drama Education. </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1st ed. Rotterdam: SensePublishers. Pp. 236-240 </w:t>
      </w:r>
    </w:p>
    <w:p xmlns:wp14="http://schemas.microsoft.com/office/word/2010/wordml" w:rsidP="14519305" w14:paraId="32792FE0" wp14:textId="772F81B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Available at: doi:10.1007/978-94-6091-332-7. (Accessed: 1 March 2022)</w:t>
      </w:r>
    </w:p>
    <w:p xmlns:wp14="http://schemas.microsoft.com/office/word/2010/wordml" w:rsidP="7099DFE4" w14:paraId="671D85C6" wp14:textId="3AAD91F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4519305" w14:paraId="37EB4832" wp14:textId="45379FE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Schroeder, J.E., </w:t>
      </w:r>
      <w:proofErr w:type="spellStart"/>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Stenport</w:t>
      </w:r>
      <w:proofErr w:type="spellEnd"/>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A.W. and Szalczer, E. (2019) </w:t>
      </w:r>
      <w:r w:rsidRPr="14519305" w:rsidR="7099DFE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August Strindberg and visual culture the emergence of optical modernity in image, text, and theatre. </w:t>
      </w: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New York: Bloomsbury Visual Arts. </w:t>
      </w:r>
    </w:p>
    <w:p xmlns:wp14="http://schemas.microsoft.com/office/word/2010/wordml" w:rsidP="14519305" w14:paraId="3846010F" wp14:textId="4C0981D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proofErr w:type="spellStart"/>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doi:http</w:t>
      </w:r>
      <w:proofErr w:type="spellEnd"/>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://doi.org/10.5040/9781501338038. (Accessed: 28 Fe</w:t>
      </w:r>
      <w:r w:rsidRPr="14519305" w:rsidR="14519305">
        <w:rPr>
          <w:rFonts w:ascii="Calibri" w:hAnsi="Calibri" w:eastAsia="Calibri" w:cs="Calibri"/>
          <w:b w:val="0"/>
          <w:bCs w:val="0"/>
          <w:i w:val="0"/>
          <w:iCs w:val="0"/>
          <w:caps w:val="0"/>
          <w:smallCaps w:val="0"/>
          <w:noProof w:val="0"/>
          <w:color w:val="000000" w:themeColor="text1" w:themeTint="FF" w:themeShade="FF"/>
          <w:sz w:val="36"/>
          <w:szCs w:val="36"/>
          <w:lang w:val="en-GB"/>
        </w:rPr>
        <w:t>bruary 2022)</w:t>
      </w:r>
    </w:p>
    <w:p xmlns:wp14="http://schemas.microsoft.com/office/word/2010/wordml" w:rsidP="7099DFE4" w14:paraId="5E766511" wp14:textId="6BC6485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358BDD9E" wp14:textId="571FEC0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Vettraino, E., Linds, W. and Norris, J. (2015)</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Playing in a house of mirrors : applied theatre as reflective practice.</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1st ed. Rotterdam, Netherlands ;: Sense Publishers. </w:t>
      </w:r>
    </w:p>
    <w:p xmlns:wp14="http://schemas.microsoft.com/office/word/2010/wordml" w:rsidP="14519305" w14:paraId="053C1E5A" wp14:textId="774145E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14519305" w:rsidR="7099DFE4">
        <w:rPr>
          <w:rFonts w:ascii="Calibri" w:hAnsi="Calibri" w:eastAsia="Calibri" w:cs="Calibri"/>
          <w:b w:val="0"/>
          <w:bCs w:val="0"/>
          <w:i w:val="0"/>
          <w:iCs w:val="0"/>
          <w:caps w:val="0"/>
          <w:smallCaps w:val="0"/>
          <w:noProof w:val="0"/>
          <w:color w:val="000000" w:themeColor="text1" w:themeTint="FF" w:themeShade="FF"/>
          <w:sz w:val="36"/>
          <w:szCs w:val="36"/>
          <w:lang w:val="en-GB"/>
        </w:rPr>
        <w:t>Available at: doi:10.1007/978-94-6300-118-2. (Accessed: 4 March 2022)</w:t>
      </w:r>
    </w:p>
    <w:p xmlns:wp14="http://schemas.microsoft.com/office/word/2010/wordml" w:rsidP="7099DFE4" w14:paraId="5A5F6CCC" wp14:textId="057D2E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099DFE4" w14:paraId="7F915AC9" wp14:textId="76E2812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White, L. (2019) ‘Embodied Risk-Taking: Embracing Discomfort through Image Theatre’, </w:t>
      </w:r>
      <w:r w:rsidRPr="7099DFE4" w:rsidR="7099DFE4">
        <w:rPr>
          <w:rFonts w:ascii="Calibri" w:hAnsi="Calibri" w:eastAsia="Calibri" w:cs="Calibri"/>
          <w:b w:val="0"/>
          <w:bCs w:val="0"/>
          <w:i w:val="1"/>
          <w:iCs w:val="1"/>
          <w:caps w:val="0"/>
          <w:smallCaps w:val="0"/>
          <w:noProof w:val="0"/>
          <w:color w:val="000000" w:themeColor="text1" w:themeTint="FF" w:themeShade="FF"/>
          <w:sz w:val="36"/>
          <w:szCs w:val="36"/>
          <w:lang w:val="en-GB"/>
        </w:rPr>
        <w:t>Journal of the National Collegiate Honors Council</w:t>
      </w:r>
      <w:r w:rsidRPr="7099DFE4" w:rsidR="7099DFE4">
        <w:rPr>
          <w:rFonts w:ascii="Calibri" w:hAnsi="Calibri" w:eastAsia="Calibri" w:cs="Calibri"/>
          <w:b w:val="0"/>
          <w:bCs w:val="0"/>
          <w:i w:val="0"/>
          <w:iCs w:val="0"/>
          <w:caps w:val="0"/>
          <w:smallCaps w:val="0"/>
          <w:noProof w:val="0"/>
          <w:color w:val="000000" w:themeColor="text1" w:themeTint="FF" w:themeShade="FF"/>
          <w:sz w:val="36"/>
          <w:szCs w:val="36"/>
          <w:lang w:val="en-GB"/>
        </w:rPr>
        <w:t>, 20(2), pp.27-31.</w:t>
      </w:r>
    </w:p>
    <w:p xmlns:wp14="http://schemas.microsoft.com/office/word/2010/wordml" w:rsidP="1538376D" w14:paraId="5E5787A5" wp14:textId="426B45EF">
      <w:pPr>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r w:rsidRPr="1538376D" w:rsidR="7099DFE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Available at: </w:t>
      </w:r>
      <w:hyperlink r:id="Rb085fda454a94094">
        <w:r w:rsidRPr="1538376D" w:rsidR="7099DFE4">
          <w:rPr>
            <w:rStyle w:val="Hyperlink"/>
            <w:rFonts w:ascii="Calibri" w:hAnsi="Calibri" w:eastAsia="Calibri" w:cs="Calibri"/>
            <w:b w:val="0"/>
            <w:bCs w:val="0"/>
            <w:i w:val="0"/>
            <w:iCs w:val="0"/>
            <w:caps w:val="0"/>
            <w:smallCaps w:val="0"/>
            <w:strike w:val="0"/>
            <w:dstrike w:val="0"/>
            <w:noProof w:val="0"/>
            <w:sz w:val="36"/>
            <w:szCs w:val="36"/>
            <w:lang w:val="en-GB"/>
          </w:rPr>
          <w:t>https://search-ebscohost-com.ezproxy.uwtsd.ac.uk/</w:t>
        </w:r>
      </w:hyperlink>
      <w:r w:rsidRPr="1538376D" w:rsidR="14519305">
        <w:rPr>
          <w:rFonts w:ascii="Calibri" w:hAnsi="Calibri" w:eastAsia="Calibri" w:cs="Calibri"/>
          <w:b w:val="0"/>
          <w:bCs w:val="0"/>
          <w:i w:val="0"/>
          <w:iCs w:val="0"/>
          <w:caps w:val="0"/>
          <w:smallCaps w:val="0"/>
          <w:strike w:val="0"/>
          <w:dstrike w:val="0"/>
          <w:noProof w:val="0"/>
          <w:sz w:val="36"/>
          <w:szCs w:val="36"/>
          <w:lang w:val="en-GB"/>
        </w:rPr>
        <w:t xml:space="preserve"> (Accessed: 14 March 2022)</w:t>
      </w:r>
    </w:p>
    <w:p w:rsidR="1538376D" w:rsidP="1538376D" w:rsidRDefault="1538376D" w14:paraId="6D7EB427" w14:textId="576FA06E">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538376D" w:rsidRDefault="1538376D" w14:paraId="39FB1D2A" w14:textId="0F20B82D">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538376D" w:rsidRDefault="1538376D" w14:paraId="57C10A36" w14:textId="03902657">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538376D" w:rsidRDefault="1538376D" w14:paraId="3E467C7A" w14:textId="058D3A11">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538376D" w:rsidRDefault="1538376D" w14:paraId="1DD81735" w14:textId="6AE5D0C9">
      <w:pPr>
        <w:pStyle w:val="Normal"/>
        <w:spacing w:after="160" w:line="259" w:lineRule="auto"/>
        <w:jc w:val="center"/>
        <w:rPr>
          <w:rFonts w:ascii="Calibri" w:hAnsi="Calibri" w:eastAsia="Calibri" w:cs="Calibri"/>
          <w:b w:val="0"/>
          <w:bCs w:val="0"/>
          <w:i w:val="0"/>
          <w:iCs w:val="0"/>
          <w:caps w:val="0"/>
          <w:smallCaps w:val="0"/>
          <w:strike w:val="0"/>
          <w:dstrike w:val="0"/>
          <w:noProof w:val="0"/>
          <w:sz w:val="48"/>
          <w:szCs w:val="48"/>
          <w:lang w:val="en-GB"/>
        </w:rPr>
      </w:pPr>
      <w:r w:rsidRPr="1538376D" w:rsidR="1538376D">
        <w:rPr>
          <w:rFonts w:ascii="Calibri" w:hAnsi="Calibri" w:eastAsia="Calibri" w:cs="Calibri"/>
          <w:b w:val="0"/>
          <w:bCs w:val="0"/>
          <w:i w:val="0"/>
          <w:iCs w:val="0"/>
          <w:caps w:val="0"/>
          <w:smallCaps w:val="0"/>
          <w:strike w:val="0"/>
          <w:dstrike w:val="0"/>
          <w:noProof w:val="0"/>
          <w:sz w:val="48"/>
          <w:szCs w:val="48"/>
          <w:lang w:val="en-GB"/>
        </w:rPr>
        <w:t>Evidence</w:t>
      </w:r>
    </w:p>
    <w:p w:rsidR="1538376D" w:rsidP="1538376D" w:rsidRDefault="1538376D" w14:paraId="0F2CF5EC" w14:textId="17500876">
      <w:pPr>
        <w:pStyle w:val="Normal"/>
        <w:spacing w:after="160" w:line="259" w:lineRule="auto"/>
        <w:jc w:val="center"/>
        <w:rPr>
          <w:rFonts w:ascii="Calibri" w:hAnsi="Calibri" w:eastAsia="Calibri" w:cs="Calibri"/>
          <w:b w:val="0"/>
          <w:bCs w:val="0"/>
          <w:i w:val="0"/>
          <w:iCs w:val="0"/>
          <w:caps w:val="0"/>
          <w:smallCaps w:val="0"/>
          <w:strike w:val="0"/>
          <w:dstrike w:val="0"/>
          <w:noProof w:val="0"/>
          <w:sz w:val="48"/>
          <w:szCs w:val="48"/>
          <w:lang w:val="en-GB"/>
        </w:rPr>
      </w:pPr>
    </w:p>
    <w:p w:rsidR="1538376D" w:rsidP="16415884" w:rsidRDefault="1538376D" w14:paraId="1DD907E9" w14:textId="27DD2008">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r w:rsidRPr="16415884" w:rsidR="1538376D">
        <w:rPr>
          <w:rFonts w:ascii="Calibri" w:hAnsi="Calibri" w:eastAsia="Calibri" w:cs="Calibri"/>
          <w:b w:val="0"/>
          <w:bCs w:val="0"/>
          <w:i w:val="0"/>
          <w:iCs w:val="0"/>
          <w:caps w:val="0"/>
          <w:smallCaps w:val="0"/>
          <w:strike w:val="0"/>
          <w:dstrike w:val="0"/>
          <w:noProof w:val="0"/>
          <w:sz w:val="36"/>
          <w:szCs w:val="36"/>
          <w:lang w:val="en-GB"/>
        </w:rPr>
        <w:t>After an agreement with my tutor, I did not film the group for workshop’ progression. For this reason, I am attaching images of the process.</w:t>
      </w:r>
    </w:p>
    <w:p w:rsidR="16415884" w:rsidP="16415884" w:rsidRDefault="16415884" w14:paraId="710111ED" w14:textId="244F70D5">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6415884" w:rsidP="16415884" w:rsidRDefault="16415884" w14:paraId="29AEB4B3" w14:textId="28209A6B">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6415884" w:rsidP="16415884" w:rsidRDefault="16415884" w14:paraId="2817D237" w14:textId="31B739B0">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6415884" w:rsidP="16415884" w:rsidRDefault="16415884" w14:paraId="72BF7298" w14:textId="64B71488">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r w:rsidRPr="16415884" w:rsidR="16415884">
        <w:rPr>
          <w:rFonts w:ascii="Calibri" w:hAnsi="Calibri" w:eastAsia="Calibri" w:cs="Calibri"/>
          <w:b w:val="0"/>
          <w:bCs w:val="0"/>
          <w:i w:val="0"/>
          <w:iCs w:val="0"/>
          <w:caps w:val="0"/>
          <w:smallCaps w:val="0"/>
          <w:strike w:val="0"/>
          <w:dstrike w:val="0"/>
          <w:noProof w:val="0"/>
          <w:sz w:val="36"/>
          <w:szCs w:val="36"/>
          <w:lang w:val="en-GB"/>
        </w:rPr>
        <w:t>Mind Map: University group</w:t>
      </w:r>
    </w:p>
    <w:p w:rsidR="1538376D" w:rsidP="1538376D" w:rsidRDefault="1538376D" w14:paraId="45CA88B4" w14:textId="0EA6A24D">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538376D" w:rsidRDefault="1538376D" w14:paraId="282803F0" w14:textId="2355CD3B">
      <w:pPr>
        <w:pStyle w:val="Normal"/>
        <w:spacing w:after="160" w:line="259" w:lineRule="auto"/>
        <w:jc w:val="left"/>
      </w:pPr>
      <w:r w:rsidR="16415884">
        <w:drawing>
          <wp:inline wp14:editId="68CE2336" wp14:anchorId="49DA617A">
            <wp:extent cx="2944713" cy="7985664"/>
            <wp:effectExtent l="0" t="0" r="0" b="0"/>
            <wp:docPr id="637836765" name="" title=""/>
            <wp:cNvGraphicFramePr>
              <a:graphicFrameLocks noChangeAspect="1"/>
            </wp:cNvGraphicFramePr>
            <a:graphic>
              <a:graphicData uri="http://schemas.openxmlformats.org/drawingml/2006/picture">
                <pic:pic>
                  <pic:nvPicPr>
                    <pic:cNvPr id="0" name=""/>
                    <pic:cNvPicPr/>
                  </pic:nvPicPr>
                  <pic:blipFill>
                    <a:blip r:embed="R41c38d121504404d">
                      <a:extLst>
                        <a:ext xmlns:a="http://schemas.openxmlformats.org/drawingml/2006/main" uri="{28A0092B-C50C-407E-A947-70E740481C1C}">
                          <a14:useLocalDpi val="0"/>
                        </a:ext>
                      </a:extLst>
                    </a:blip>
                    <a:stretch>
                      <a:fillRect/>
                    </a:stretch>
                  </pic:blipFill>
                  <pic:spPr>
                    <a:xfrm>
                      <a:off x="0" y="0"/>
                      <a:ext cx="2944713" cy="7985664"/>
                    </a:xfrm>
                    <a:prstGeom prst="rect">
                      <a:avLst/>
                    </a:prstGeom>
                  </pic:spPr>
                </pic:pic>
              </a:graphicData>
            </a:graphic>
          </wp:inline>
        </w:drawing>
      </w:r>
      <w:r w:rsidR="1538376D">
        <w:drawing>
          <wp:anchor distT="0" distB="0" distL="114300" distR="114300" simplePos="0" relativeHeight="251658240" behindDoc="0" locked="0" layoutInCell="1" allowOverlap="1" wp14:editId="16AF36BC" wp14:anchorId="446F0CE4">
            <wp:simplePos x="0" y="0"/>
            <wp:positionH relativeFrom="column">
              <wp:align>right</wp:align>
            </wp:positionH>
            <wp:positionV relativeFrom="paragraph">
              <wp:posOffset>0</wp:posOffset>
            </wp:positionV>
            <wp:extent cx="2867025" cy="4945144"/>
            <wp:effectExtent l="0" t="0" r="0" b="0"/>
            <wp:wrapSquare wrapText="bothSides"/>
            <wp:docPr id="1155909379" name="" title=""/>
            <wp:cNvGraphicFramePr>
              <a:graphicFrameLocks noChangeAspect="1"/>
            </wp:cNvGraphicFramePr>
            <a:graphic>
              <a:graphicData uri="http://schemas.openxmlformats.org/drawingml/2006/picture">
                <pic:pic>
                  <pic:nvPicPr>
                    <pic:cNvPr id="0" name=""/>
                    <pic:cNvPicPr/>
                  </pic:nvPicPr>
                  <pic:blipFill>
                    <a:blip r:embed="Rd741c872bb7943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67025" cy="4945144"/>
                    </a:xfrm>
                    <a:prstGeom prst="rect">
                      <a:avLst/>
                    </a:prstGeom>
                  </pic:spPr>
                </pic:pic>
              </a:graphicData>
            </a:graphic>
            <wp14:sizeRelH relativeFrom="page">
              <wp14:pctWidth>0</wp14:pctWidth>
            </wp14:sizeRelH>
            <wp14:sizeRelV relativeFrom="page">
              <wp14:pctHeight>0</wp14:pctHeight>
            </wp14:sizeRelV>
          </wp:anchor>
        </w:drawing>
      </w:r>
    </w:p>
    <w:p w:rsidR="1538376D" w:rsidP="1538376D" w:rsidRDefault="1538376D" w14:paraId="62194265" w14:textId="770D77BD">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p>
    <w:p w:rsidR="1538376D" w:rsidP="16415884" w:rsidRDefault="1538376D" w14:paraId="491BCC0A" w14:textId="2819D1D3">
      <w:pPr>
        <w:pStyle w:val="Normal"/>
        <w:spacing w:after="160" w:line="259" w:lineRule="auto"/>
        <w:jc w:val="left"/>
        <w:rPr>
          <w:rFonts w:ascii="Calibri" w:hAnsi="Calibri" w:eastAsia="Calibri" w:cs="Calibri"/>
          <w:b w:val="0"/>
          <w:bCs w:val="0"/>
          <w:i w:val="0"/>
          <w:iCs w:val="0"/>
          <w:caps w:val="0"/>
          <w:smallCaps w:val="0"/>
          <w:strike w:val="0"/>
          <w:dstrike w:val="0"/>
          <w:noProof w:val="0"/>
          <w:sz w:val="36"/>
          <w:szCs w:val="36"/>
          <w:lang w:val="en-GB"/>
        </w:rPr>
      </w:pPr>
      <w:r w:rsidRPr="16415884" w:rsidR="1538376D">
        <w:rPr>
          <w:rFonts w:ascii="Calibri" w:hAnsi="Calibri" w:eastAsia="Calibri" w:cs="Calibri"/>
          <w:b w:val="0"/>
          <w:bCs w:val="0"/>
          <w:i w:val="0"/>
          <w:iCs w:val="0"/>
          <w:caps w:val="0"/>
          <w:smallCaps w:val="0"/>
          <w:strike w:val="0"/>
          <w:dstrike w:val="0"/>
          <w:noProof w:val="0"/>
          <w:sz w:val="36"/>
          <w:szCs w:val="36"/>
          <w:lang w:val="en-GB"/>
        </w:rPr>
        <w:t xml:space="preserve">  </w:t>
      </w:r>
      <w:r w:rsidR="16415884">
        <w:drawing>
          <wp:inline wp14:editId="312A9EE7" wp14:anchorId="6637A13D">
            <wp:extent cx="3133725" cy="4572000"/>
            <wp:effectExtent l="0" t="0" r="0" b="0"/>
            <wp:docPr id="823919174" name="" title=""/>
            <wp:cNvGraphicFramePr>
              <a:graphicFrameLocks noChangeAspect="1"/>
            </wp:cNvGraphicFramePr>
            <a:graphic>
              <a:graphicData uri="http://schemas.openxmlformats.org/drawingml/2006/picture">
                <pic:pic>
                  <pic:nvPicPr>
                    <pic:cNvPr id="0" name=""/>
                    <pic:cNvPicPr/>
                  </pic:nvPicPr>
                  <pic:blipFill>
                    <a:blip r:embed="R8ea8f8ca87c74aea">
                      <a:extLst>
                        <a:ext xmlns:a="http://schemas.openxmlformats.org/drawingml/2006/main" uri="{28A0092B-C50C-407E-A947-70E740481C1C}">
                          <a14:useLocalDpi val="0"/>
                        </a:ext>
                      </a:extLst>
                    </a:blip>
                    <a:stretch>
                      <a:fillRect/>
                    </a:stretch>
                  </pic:blipFill>
                  <pic:spPr>
                    <a:xfrm>
                      <a:off x="0" y="0"/>
                      <a:ext cx="3133725" cy="4572000"/>
                    </a:xfrm>
                    <a:prstGeom prst="rect">
                      <a:avLst/>
                    </a:prstGeom>
                  </pic:spPr>
                </pic:pic>
              </a:graphicData>
            </a:graphic>
          </wp:inline>
        </w:drawing>
      </w:r>
    </w:p>
    <w:p w:rsidR="16415884" w:rsidP="16415884" w:rsidRDefault="16415884" w14:paraId="518F56C9" w14:textId="513CD720">
      <w:pPr>
        <w:pStyle w:val="Normal"/>
        <w:spacing w:after="160" w:line="259" w:lineRule="auto"/>
        <w:jc w:val="left"/>
      </w:pPr>
    </w:p>
    <w:p w:rsidR="16415884" w:rsidP="16415884" w:rsidRDefault="16415884" w14:paraId="1356AF8B" w14:textId="4CEAF54F">
      <w:pPr>
        <w:pStyle w:val="Normal"/>
        <w:spacing w:after="160" w:line="259" w:lineRule="auto"/>
        <w:jc w:val="left"/>
      </w:pPr>
    </w:p>
    <w:p w:rsidR="16415884" w:rsidP="16415884" w:rsidRDefault="16415884" w14:paraId="73E30941" w14:textId="5E8198C7">
      <w:pPr>
        <w:pStyle w:val="Normal"/>
        <w:spacing w:after="160" w:line="259" w:lineRule="auto"/>
        <w:jc w:val="left"/>
      </w:pPr>
    </w:p>
    <w:p w:rsidR="16415884" w:rsidP="16415884" w:rsidRDefault="16415884" w14:paraId="5077A5E2" w14:textId="1DA2F9F9">
      <w:pPr>
        <w:pStyle w:val="Normal"/>
        <w:spacing w:after="160" w:line="259" w:lineRule="auto"/>
        <w:jc w:val="left"/>
      </w:pPr>
    </w:p>
    <w:p w:rsidR="16415884" w:rsidP="16415884" w:rsidRDefault="16415884" w14:paraId="75D0D759" w14:textId="05412B87">
      <w:pPr>
        <w:pStyle w:val="Normal"/>
        <w:spacing w:after="160" w:line="259" w:lineRule="auto"/>
        <w:jc w:val="left"/>
      </w:pPr>
    </w:p>
    <w:p w:rsidR="16415884" w:rsidP="16415884" w:rsidRDefault="16415884" w14:paraId="39E7FED7" w14:textId="48D2F74C">
      <w:pPr>
        <w:pStyle w:val="Normal"/>
        <w:spacing w:after="160" w:line="259" w:lineRule="auto"/>
        <w:jc w:val="left"/>
      </w:pPr>
    </w:p>
    <w:p w:rsidR="16415884" w:rsidP="16415884" w:rsidRDefault="16415884" w14:paraId="5A22357A" w14:textId="32C84589">
      <w:pPr>
        <w:pStyle w:val="Normal"/>
        <w:spacing w:after="160" w:line="259" w:lineRule="auto"/>
        <w:jc w:val="left"/>
      </w:pPr>
    </w:p>
    <w:p w:rsidR="16415884" w:rsidP="16415884" w:rsidRDefault="16415884" w14:paraId="0ED97063" w14:textId="25973922">
      <w:pPr>
        <w:pStyle w:val="Normal"/>
        <w:spacing w:after="160" w:line="259" w:lineRule="auto"/>
        <w:jc w:val="left"/>
      </w:pPr>
    </w:p>
    <w:p w:rsidR="16415884" w:rsidP="16415884" w:rsidRDefault="16415884" w14:paraId="5EEF0D42" w14:textId="6D261868">
      <w:pPr>
        <w:pStyle w:val="Normal"/>
        <w:spacing w:after="160" w:line="259" w:lineRule="auto"/>
        <w:jc w:val="left"/>
      </w:pPr>
    </w:p>
    <w:p w:rsidR="16415884" w:rsidP="16415884" w:rsidRDefault="16415884" w14:paraId="24B1F3BA" w14:textId="5188DCD9">
      <w:pPr>
        <w:pStyle w:val="Normal"/>
        <w:spacing w:after="160" w:line="259" w:lineRule="auto"/>
        <w:jc w:val="left"/>
      </w:pPr>
    </w:p>
    <w:p w:rsidR="16415884" w:rsidP="16415884" w:rsidRDefault="16415884" w14:paraId="05308BF5" w14:textId="33020BC2">
      <w:pPr>
        <w:pStyle w:val="Normal"/>
        <w:spacing w:after="160" w:line="259" w:lineRule="auto"/>
        <w:jc w:val="left"/>
      </w:pPr>
    </w:p>
    <w:p w:rsidR="16415884" w:rsidP="16415884" w:rsidRDefault="16415884" w14:paraId="40EE696D" w14:textId="77C80297">
      <w:pPr>
        <w:pStyle w:val="Normal"/>
        <w:spacing w:after="160" w:line="259" w:lineRule="auto"/>
        <w:jc w:val="left"/>
      </w:pPr>
    </w:p>
    <w:p w:rsidR="16415884" w:rsidP="16415884" w:rsidRDefault="16415884" w14:paraId="227B74A0" w14:textId="6F8F2FEB">
      <w:pPr>
        <w:pStyle w:val="Normal"/>
        <w:spacing w:after="160" w:line="259" w:lineRule="auto"/>
        <w:jc w:val="left"/>
      </w:pPr>
    </w:p>
    <w:p w:rsidR="16415884" w:rsidP="16415884" w:rsidRDefault="16415884" w14:paraId="636F0983" w14:textId="79EE241C">
      <w:pPr>
        <w:pStyle w:val="Normal"/>
        <w:spacing w:after="160" w:line="259" w:lineRule="auto"/>
        <w:jc w:val="left"/>
      </w:pPr>
    </w:p>
    <w:p w:rsidR="16415884" w:rsidP="16415884" w:rsidRDefault="16415884" w14:paraId="7BCB700B" w14:textId="09E4F569">
      <w:pPr>
        <w:pStyle w:val="Normal"/>
        <w:spacing w:after="160" w:line="259" w:lineRule="auto"/>
        <w:jc w:val="left"/>
      </w:pPr>
    </w:p>
    <w:p w:rsidR="16415884" w:rsidP="16415884" w:rsidRDefault="16415884" w14:paraId="5C7B3D3E" w14:textId="7E1EAFBE">
      <w:pPr>
        <w:pStyle w:val="Normal"/>
        <w:spacing w:after="160" w:line="259" w:lineRule="auto"/>
        <w:jc w:val="left"/>
        <w:rPr>
          <w:sz w:val="36"/>
          <w:szCs w:val="36"/>
        </w:rPr>
      </w:pPr>
      <w:r w:rsidRPr="16415884" w:rsidR="16415884">
        <w:rPr>
          <w:sz w:val="36"/>
          <w:szCs w:val="36"/>
        </w:rPr>
        <w:t>Defining Space-University Group</w:t>
      </w:r>
    </w:p>
    <w:p w:rsidR="16415884" w:rsidP="16415884" w:rsidRDefault="16415884" w14:paraId="346497F0" w14:textId="2491238E">
      <w:pPr>
        <w:pStyle w:val="Normal"/>
        <w:spacing w:after="160" w:line="259" w:lineRule="auto"/>
        <w:jc w:val="left"/>
        <w:rPr>
          <w:sz w:val="36"/>
          <w:szCs w:val="36"/>
        </w:rPr>
      </w:pPr>
    </w:p>
    <w:p w:rsidR="16415884" w:rsidP="16415884" w:rsidRDefault="16415884" w14:paraId="00535A4A" w14:textId="30EFDCCB">
      <w:pPr>
        <w:pStyle w:val="Normal"/>
        <w:spacing w:after="160" w:line="259" w:lineRule="auto"/>
        <w:jc w:val="left"/>
      </w:pPr>
      <w:r w:rsidR="16415884">
        <w:drawing>
          <wp:inline wp14:editId="5F21D291" wp14:anchorId="49B02791">
            <wp:extent cx="2152253" cy="5738812"/>
            <wp:effectExtent l="1793280" t="0" r="1793280" b="0"/>
            <wp:docPr id="1005702196" name="" title=""/>
            <wp:cNvGraphicFramePr>
              <a:graphicFrameLocks noChangeAspect="1"/>
            </wp:cNvGraphicFramePr>
            <a:graphic>
              <a:graphicData uri="http://schemas.openxmlformats.org/drawingml/2006/picture">
                <pic:pic>
                  <pic:nvPicPr>
                    <pic:cNvPr id="0" name=""/>
                    <pic:cNvPicPr/>
                  </pic:nvPicPr>
                  <pic:blipFill>
                    <a:blip r:embed="Ref0f47bd172b4e29">
                      <a:extLst>
                        <a:ext xmlns:a="http://schemas.openxmlformats.org/drawingml/2006/main" uri="{28A0092B-C50C-407E-A947-70E740481C1C}">
                          <a14:useLocalDpi val="0"/>
                        </a:ext>
                      </a:extLst>
                    </a:blip>
                    <a:stretch>
                      <a:fillRect/>
                    </a:stretch>
                  </pic:blipFill>
                  <pic:spPr>
                    <a:xfrm rot="16200000" flipH="0" flipV="0">
                      <a:off x="0" y="0"/>
                      <a:ext cx="2152253" cy="5738812"/>
                    </a:xfrm>
                    <a:prstGeom prst="rect">
                      <a:avLst/>
                    </a:prstGeom>
                  </pic:spPr>
                </pic:pic>
              </a:graphicData>
            </a:graphic>
          </wp:inline>
        </w:drawing>
      </w:r>
    </w:p>
    <w:p w:rsidR="16415884" w:rsidP="16415884" w:rsidRDefault="16415884" w14:paraId="1BABE9EB" w14:textId="2D2F18DA">
      <w:pPr>
        <w:pStyle w:val="Normal"/>
        <w:spacing w:after="160" w:line="259" w:lineRule="auto"/>
        <w:jc w:val="left"/>
      </w:pPr>
    </w:p>
    <w:p w:rsidR="16415884" w:rsidP="16415884" w:rsidRDefault="16415884" w14:paraId="782A2371" w14:textId="06CDB8B9">
      <w:pPr>
        <w:pStyle w:val="Normal"/>
        <w:spacing w:after="160" w:line="259" w:lineRule="auto"/>
        <w:jc w:val="left"/>
      </w:pPr>
    </w:p>
    <w:p w:rsidR="16415884" w:rsidP="16415884" w:rsidRDefault="16415884" w14:paraId="320BB9D0" w14:textId="57AE34B6">
      <w:pPr>
        <w:pStyle w:val="Normal"/>
        <w:spacing w:after="160" w:line="259" w:lineRule="auto"/>
        <w:jc w:val="left"/>
      </w:pPr>
    </w:p>
    <w:p w:rsidR="16415884" w:rsidP="16415884" w:rsidRDefault="16415884" w14:paraId="20965727" w14:textId="2FB79A84">
      <w:pPr>
        <w:pStyle w:val="Normal"/>
        <w:spacing w:after="160" w:line="259" w:lineRule="auto"/>
        <w:jc w:val="left"/>
      </w:pPr>
    </w:p>
    <w:p w:rsidR="16415884" w:rsidP="16415884" w:rsidRDefault="16415884" w14:paraId="0A2AADF0" w14:textId="12893362">
      <w:pPr>
        <w:pStyle w:val="Normal"/>
        <w:spacing w:after="160" w:line="259" w:lineRule="auto"/>
        <w:jc w:val="left"/>
      </w:pPr>
    </w:p>
    <w:p w:rsidR="16415884" w:rsidP="16415884" w:rsidRDefault="16415884" w14:paraId="54C31DD7" w14:textId="2738AD7C">
      <w:pPr>
        <w:pStyle w:val="Normal"/>
        <w:spacing w:after="160" w:line="259" w:lineRule="auto"/>
        <w:jc w:val="left"/>
      </w:pPr>
    </w:p>
    <w:p w:rsidR="16415884" w:rsidP="16415884" w:rsidRDefault="16415884" w14:paraId="578F6EB1" w14:textId="0090A6EB">
      <w:pPr>
        <w:pStyle w:val="Normal"/>
        <w:spacing w:after="160" w:line="259" w:lineRule="auto"/>
        <w:jc w:val="left"/>
        <w:rPr>
          <w:sz w:val="36"/>
          <w:szCs w:val="36"/>
        </w:rPr>
      </w:pPr>
    </w:p>
    <w:p w:rsidR="16415884" w:rsidP="16415884" w:rsidRDefault="16415884" w14:paraId="31A89CFD" w14:textId="444023C4">
      <w:pPr>
        <w:pStyle w:val="Normal"/>
        <w:spacing w:after="160" w:line="259" w:lineRule="auto"/>
        <w:jc w:val="left"/>
      </w:pPr>
      <w:r w:rsidRPr="16415884" w:rsidR="16415884">
        <w:rPr>
          <w:sz w:val="36"/>
          <w:szCs w:val="36"/>
        </w:rPr>
        <w:t>Mind Map- High School group</w:t>
      </w:r>
    </w:p>
    <w:p w:rsidR="16415884" w:rsidP="16415884" w:rsidRDefault="16415884" w14:paraId="2B3D429A" w14:textId="32EEE461">
      <w:pPr>
        <w:pStyle w:val="Normal"/>
        <w:spacing w:after="160" w:line="259" w:lineRule="auto"/>
        <w:jc w:val="left"/>
        <w:rPr>
          <w:sz w:val="36"/>
          <w:szCs w:val="36"/>
        </w:rPr>
      </w:pPr>
    </w:p>
    <w:p w:rsidR="16415884" w:rsidP="16415884" w:rsidRDefault="16415884" w14:paraId="17052706" w14:textId="6A584297">
      <w:pPr>
        <w:pStyle w:val="Normal"/>
        <w:spacing w:after="160" w:line="259" w:lineRule="auto"/>
        <w:jc w:val="left"/>
      </w:pPr>
      <w:r w:rsidR="16415884">
        <w:drawing>
          <wp:inline wp14:editId="2E650C3B" wp14:anchorId="0881E8B4">
            <wp:extent cx="6512719" cy="3541291"/>
            <wp:effectExtent l="0" t="0" r="0" b="0"/>
            <wp:docPr id="1142735663" name="" title=""/>
            <wp:cNvGraphicFramePr>
              <a:graphicFrameLocks noChangeAspect="1"/>
            </wp:cNvGraphicFramePr>
            <a:graphic>
              <a:graphicData uri="http://schemas.openxmlformats.org/drawingml/2006/picture">
                <pic:pic>
                  <pic:nvPicPr>
                    <pic:cNvPr id="0" name=""/>
                    <pic:cNvPicPr/>
                  </pic:nvPicPr>
                  <pic:blipFill>
                    <a:blip r:embed="R3cae32171ed44133">
                      <a:extLst>
                        <a:ext xmlns:a="http://schemas.openxmlformats.org/drawingml/2006/main" uri="{28A0092B-C50C-407E-A947-70E740481C1C}">
                          <a14:useLocalDpi val="0"/>
                        </a:ext>
                      </a:extLst>
                    </a:blip>
                    <a:stretch>
                      <a:fillRect/>
                    </a:stretch>
                  </pic:blipFill>
                  <pic:spPr>
                    <a:xfrm>
                      <a:off x="0" y="0"/>
                      <a:ext cx="6512719" cy="3541291"/>
                    </a:xfrm>
                    <a:prstGeom prst="rect">
                      <a:avLst/>
                    </a:prstGeom>
                  </pic:spPr>
                </pic:pic>
              </a:graphicData>
            </a:graphic>
          </wp:inline>
        </w:drawing>
      </w:r>
    </w:p>
    <w:p w:rsidR="16415884" w:rsidP="16415884" w:rsidRDefault="16415884" w14:paraId="5FDD4092" w14:textId="26BC3DDC">
      <w:pPr>
        <w:pStyle w:val="Normal"/>
        <w:spacing w:after="160" w:line="259" w:lineRule="auto"/>
        <w:jc w:val="left"/>
      </w:pPr>
    </w:p>
    <w:p w:rsidR="16415884" w:rsidP="16415884" w:rsidRDefault="16415884" w14:paraId="6F4D389D" w14:textId="3F75ECD0">
      <w:pPr>
        <w:pStyle w:val="Normal"/>
        <w:spacing w:after="160" w:line="259" w:lineRule="auto"/>
        <w:jc w:val="left"/>
      </w:pPr>
    </w:p>
    <w:p w:rsidR="16415884" w:rsidP="16415884" w:rsidRDefault="16415884" w14:paraId="36CC5399" w14:textId="0DBFA376">
      <w:pPr>
        <w:pStyle w:val="Normal"/>
        <w:spacing w:after="160" w:line="259" w:lineRule="auto"/>
        <w:jc w:val="left"/>
      </w:pPr>
    </w:p>
    <w:p w:rsidR="16415884" w:rsidP="16415884" w:rsidRDefault="16415884" w14:paraId="1F2DFDAE" w14:textId="25DFC6CB">
      <w:pPr>
        <w:pStyle w:val="Normal"/>
        <w:spacing w:after="160" w:line="259" w:lineRule="auto"/>
        <w:jc w:val="left"/>
      </w:pPr>
    </w:p>
    <w:p w:rsidR="16415884" w:rsidP="16415884" w:rsidRDefault="16415884" w14:paraId="3C7A19DD" w14:textId="3C37FADA">
      <w:pPr>
        <w:pStyle w:val="Normal"/>
        <w:spacing w:after="160" w:line="259" w:lineRule="auto"/>
        <w:jc w:val="left"/>
      </w:pPr>
    </w:p>
    <w:p w:rsidR="16415884" w:rsidP="16415884" w:rsidRDefault="16415884" w14:paraId="3096BAFD" w14:textId="68ECAE9C">
      <w:pPr>
        <w:pStyle w:val="Normal"/>
        <w:spacing w:after="160" w:line="259" w:lineRule="auto"/>
        <w:jc w:val="left"/>
      </w:pPr>
      <w:r w:rsidR="16415884">
        <w:drawing>
          <wp:inline wp14:editId="31BA8EF0" wp14:anchorId="42152E03">
            <wp:extent cx="6747942" cy="1854994"/>
            <wp:effectExtent l="0" t="0" r="0" b="0"/>
            <wp:docPr id="1782259939" name="" title=""/>
            <wp:cNvGraphicFramePr>
              <a:graphicFrameLocks noChangeAspect="1"/>
            </wp:cNvGraphicFramePr>
            <a:graphic>
              <a:graphicData uri="http://schemas.openxmlformats.org/drawingml/2006/picture">
                <pic:pic>
                  <pic:nvPicPr>
                    <pic:cNvPr id="0" name=""/>
                    <pic:cNvPicPr/>
                  </pic:nvPicPr>
                  <pic:blipFill>
                    <a:blip r:embed="R1e8988918af643e2">
                      <a:extLst>
                        <a:ext xmlns:a="http://schemas.openxmlformats.org/drawingml/2006/main" uri="{28A0092B-C50C-407E-A947-70E740481C1C}">
                          <a14:useLocalDpi val="0"/>
                        </a:ext>
                      </a:extLst>
                    </a:blip>
                    <a:stretch>
                      <a:fillRect/>
                    </a:stretch>
                  </pic:blipFill>
                  <pic:spPr>
                    <a:xfrm>
                      <a:off x="0" y="0"/>
                      <a:ext cx="6747942" cy="1854994"/>
                    </a:xfrm>
                    <a:prstGeom prst="rect">
                      <a:avLst/>
                    </a:prstGeom>
                  </pic:spPr>
                </pic:pic>
              </a:graphicData>
            </a:graphic>
          </wp:inline>
        </w:drawing>
      </w:r>
    </w:p>
    <w:p w:rsidR="16415884" w:rsidP="16415884" w:rsidRDefault="16415884" w14:paraId="1BBE0C71" w14:textId="378A7569">
      <w:pPr>
        <w:pStyle w:val="Normal"/>
        <w:spacing w:after="160" w:line="259" w:lineRule="auto"/>
        <w:jc w:val="left"/>
      </w:pPr>
    </w:p>
    <w:p w:rsidR="16415884" w:rsidP="16415884" w:rsidRDefault="16415884" w14:paraId="3D1EBC35" w14:textId="7DD9E940">
      <w:pPr>
        <w:pStyle w:val="Normal"/>
        <w:spacing w:after="160" w:line="259" w:lineRule="auto"/>
        <w:jc w:val="left"/>
      </w:pPr>
    </w:p>
    <w:p w:rsidR="16415884" w:rsidP="16415884" w:rsidRDefault="16415884" w14:paraId="6A3F1C87" w14:textId="6DBC3CEE">
      <w:pPr>
        <w:pStyle w:val="Normal"/>
        <w:spacing w:after="160" w:line="259" w:lineRule="auto"/>
        <w:jc w:val="left"/>
      </w:pPr>
      <w:r w:rsidR="16415884">
        <w:drawing>
          <wp:inline wp14:editId="783024F7" wp14:anchorId="74184198">
            <wp:extent cx="6500812" cy="3900488"/>
            <wp:effectExtent l="0" t="0" r="0" b="0"/>
            <wp:docPr id="1348401768" name="" title=""/>
            <wp:cNvGraphicFramePr>
              <a:graphicFrameLocks noChangeAspect="1"/>
            </wp:cNvGraphicFramePr>
            <a:graphic>
              <a:graphicData uri="http://schemas.openxmlformats.org/drawingml/2006/picture">
                <pic:pic>
                  <pic:nvPicPr>
                    <pic:cNvPr id="0" name=""/>
                    <pic:cNvPicPr/>
                  </pic:nvPicPr>
                  <pic:blipFill>
                    <a:blip r:embed="R877ccb3ad42c470a">
                      <a:extLst>
                        <a:ext xmlns:a="http://schemas.openxmlformats.org/drawingml/2006/main" uri="{28A0092B-C50C-407E-A947-70E740481C1C}">
                          <a14:useLocalDpi val="0"/>
                        </a:ext>
                      </a:extLst>
                    </a:blip>
                    <a:stretch>
                      <a:fillRect/>
                    </a:stretch>
                  </pic:blipFill>
                  <pic:spPr>
                    <a:xfrm>
                      <a:off x="0" y="0"/>
                      <a:ext cx="6500812" cy="3900488"/>
                    </a:xfrm>
                    <a:prstGeom prst="rect">
                      <a:avLst/>
                    </a:prstGeom>
                  </pic:spPr>
                </pic:pic>
              </a:graphicData>
            </a:graphic>
          </wp:inline>
        </w:drawing>
      </w:r>
    </w:p>
    <w:p w:rsidR="16415884" w:rsidP="16415884" w:rsidRDefault="16415884" w14:paraId="06DABD3D" w14:textId="174231A2">
      <w:pPr>
        <w:pStyle w:val="Normal"/>
        <w:spacing w:after="160" w:line="259" w:lineRule="auto"/>
        <w:jc w:val="left"/>
      </w:pPr>
    </w:p>
    <w:p w:rsidR="16415884" w:rsidP="16415884" w:rsidRDefault="16415884" w14:paraId="3387C5EE" w14:textId="36963BAD">
      <w:pPr>
        <w:pStyle w:val="Normal"/>
        <w:spacing w:after="160" w:line="259" w:lineRule="auto"/>
        <w:jc w:val="left"/>
      </w:pPr>
    </w:p>
    <w:p w:rsidR="16415884" w:rsidP="16415884" w:rsidRDefault="16415884" w14:paraId="75FB110C" w14:textId="19B6092F">
      <w:pPr>
        <w:pStyle w:val="Normal"/>
        <w:spacing w:after="160" w:line="259" w:lineRule="auto"/>
        <w:jc w:val="left"/>
      </w:pPr>
    </w:p>
    <w:p w:rsidR="16415884" w:rsidP="16415884" w:rsidRDefault="16415884" w14:paraId="10A75046" w14:textId="6DD6A8F4">
      <w:pPr>
        <w:pStyle w:val="Normal"/>
        <w:spacing w:after="160" w:line="259" w:lineRule="auto"/>
        <w:jc w:val="left"/>
      </w:pPr>
    </w:p>
    <w:p w:rsidR="16415884" w:rsidP="16415884" w:rsidRDefault="16415884" w14:paraId="09E8E78C" w14:textId="39B98E87">
      <w:pPr>
        <w:pStyle w:val="Normal"/>
        <w:spacing w:after="160" w:line="259" w:lineRule="auto"/>
        <w:jc w:val="left"/>
      </w:pPr>
    </w:p>
    <w:p w:rsidR="16415884" w:rsidP="16415884" w:rsidRDefault="16415884" w14:paraId="1D732AED" w14:textId="11C95EC1">
      <w:pPr>
        <w:pStyle w:val="Normal"/>
        <w:spacing w:after="160" w:line="259" w:lineRule="auto"/>
        <w:jc w:val="left"/>
      </w:pPr>
    </w:p>
    <w:p w:rsidR="16415884" w:rsidP="16415884" w:rsidRDefault="16415884" w14:paraId="7E28D3AA" w14:textId="4ED74A82">
      <w:pPr>
        <w:pStyle w:val="Normal"/>
        <w:spacing w:after="160" w:line="259" w:lineRule="auto"/>
        <w:jc w:val="left"/>
      </w:pPr>
    </w:p>
    <w:p w:rsidR="16415884" w:rsidP="16415884" w:rsidRDefault="16415884" w14:paraId="3218A3B1" w14:textId="3922CFC6">
      <w:pPr>
        <w:pStyle w:val="Normal"/>
        <w:spacing w:after="160" w:line="259" w:lineRule="auto"/>
        <w:jc w:val="left"/>
      </w:pPr>
    </w:p>
    <w:p w:rsidR="16415884" w:rsidP="16415884" w:rsidRDefault="16415884" w14:paraId="2BC8F346" w14:textId="41E3CD29">
      <w:pPr>
        <w:pStyle w:val="Normal"/>
        <w:spacing w:after="160" w:line="259" w:lineRule="auto"/>
        <w:jc w:val="left"/>
      </w:pPr>
    </w:p>
    <w:p w:rsidR="16415884" w:rsidP="16415884" w:rsidRDefault="16415884" w14:paraId="636F0E96" w14:textId="4F81D9C0">
      <w:pPr>
        <w:pStyle w:val="Normal"/>
        <w:spacing w:after="160" w:line="259" w:lineRule="auto"/>
        <w:jc w:val="left"/>
      </w:pPr>
    </w:p>
    <w:p w:rsidR="16415884" w:rsidP="16415884" w:rsidRDefault="16415884" w14:paraId="30AE5D27" w14:textId="2BBD8472">
      <w:pPr>
        <w:pStyle w:val="Normal"/>
        <w:spacing w:after="160" w:line="259" w:lineRule="auto"/>
        <w:jc w:val="left"/>
      </w:pPr>
    </w:p>
    <w:p w:rsidR="16415884" w:rsidP="16415884" w:rsidRDefault="16415884" w14:paraId="2C9BD490" w14:textId="2118233F">
      <w:pPr>
        <w:pStyle w:val="Normal"/>
        <w:spacing w:after="160" w:line="259" w:lineRule="auto"/>
        <w:jc w:val="left"/>
      </w:pPr>
    </w:p>
    <w:p w:rsidR="16415884" w:rsidP="16415884" w:rsidRDefault="16415884" w14:paraId="4036E07D" w14:textId="71B03CA2">
      <w:pPr>
        <w:pStyle w:val="Normal"/>
        <w:spacing w:after="160" w:line="259" w:lineRule="auto"/>
        <w:jc w:val="left"/>
      </w:pPr>
    </w:p>
    <w:p w:rsidR="16415884" w:rsidP="16415884" w:rsidRDefault="16415884" w14:paraId="0EC6CCEE" w14:textId="016B2043">
      <w:pPr>
        <w:pStyle w:val="Normal"/>
        <w:spacing w:after="160" w:line="259" w:lineRule="auto"/>
        <w:jc w:val="left"/>
      </w:pPr>
    </w:p>
    <w:p w:rsidR="16415884" w:rsidP="16415884" w:rsidRDefault="16415884" w14:paraId="43C6B1D4" w14:textId="2E1A0D01">
      <w:pPr>
        <w:pStyle w:val="Normal"/>
        <w:spacing w:after="160" w:line="259" w:lineRule="auto"/>
        <w:jc w:val="left"/>
      </w:pPr>
    </w:p>
    <w:p w:rsidR="16415884" w:rsidP="16415884" w:rsidRDefault="16415884" w14:paraId="343B5C96" w14:textId="3C6DA054">
      <w:pPr>
        <w:pStyle w:val="Normal"/>
        <w:spacing w:after="160" w:line="259" w:lineRule="auto"/>
        <w:jc w:val="left"/>
      </w:pPr>
    </w:p>
    <w:p w:rsidR="16415884" w:rsidP="16415884" w:rsidRDefault="16415884" w14:paraId="045F5434" w14:textId="2F3522C5">
      <w:pPr>
        <w:pStyle w:val="Normal"/>
        <w:spacing w:after="160" w:line="259" w:lineRule="auto"/>
        <w:jc w:val="left"/>
      </w:pPr>
    </w:p>
    <w:p w:rsidR="16415884" w:rsidP="16415884" w:rsidRDefault="16415884" w14:paraId="6967D752" w14:textId="7971D5FB">
      <w:pPr>
        <w:pStyle w:val="Normal"/>
        <w:spacing w:after="160" w:line="259" w:lineRule="auto"/>
        <w:jc w:val="left"/>
      </w:pPr>
    </w:p>
    <w:p w:rsidR="16415884" w:rsidP="16415884" w:rsidRDefault="16415884" w14:paraId="4EC390B7" w14:textId="38A15926">
      <w:pPr>
        <w:pStyle w:val="Normal"/>
        <w:spacing w:after="160" w:line="259" w:lineRule="auto"/>
        <w:jc w:val="left"/>
      </w:pPr>
    </w:p>
    <w:p w:rsidR="16415884" w:rsidP="16415884" w:rsidRDefault="16415884" w14:paraId="1B0030EB" w14:textId="06BD7DF3">
      <w:pPr>
        <w:pStyle w:val="Normal"/>
        <w:spacing w:after="160" w:line="259" w:lineRule="auto"/>
        <w:jc w:val="left"/>
      </w:pPr>
      <w:r w:rsidRPr="16415884" w:rsidR="16415884">
        <w:rPr>
          <w:sz w:val="36"/>
          <w:szCs w:val="36"/>
        </w:rPr>
        <w:t>University Group- Spreading awareness</w:t>
      </w:r>
    </w:p>
    <w:p w:rsidR="16415884" w:rsidP="16415884" w:rsidRDefault="16415884" w14:paraId="4045FE9A" w14:textId="4BE11FC1">
      <w:pPr>
        <w:pStyle w:val="Normal"/>
        <w:spacing w:after="160" w:line="259" w:lineRule="auto"/>
        <w:jc w:val="left"/>
        <w:rPr>
          <w:sz w:val="36"/>
          <w:szCs w:val="36"/>
        </w:rPr>
      </w:pPr>
    </w:p>
    <w:p w:rsidR="16415884" w:rsidP="16415884" w:rsidRDefault="16415884" w14:paraId="1FF7C272" w14:textId="0F1D5E49">
      <w:pPr>
        <w:pStyle w:val="Normal"/>
        <w:spacing w:after="160" w:line="259" w:lineRule="auto"/>
        <w:jc w:val="left"/>
      </w:pPr>
      <w:r w:rsidR="16415884">
        <w:drawing>
          <wp:inline wp14:editId="7F8C3D14" wp14:anchorId="0563FEBD">
            <wp:extent cx="6072188" cy="3415606"/>
            <wp:effectExtent l="0" t="0" r="0" b="0"/>
            <wp:docPr id="2090204252" name="" title=""/>
            <wp:cNvGraphicFramePr>
              <a:graphicFrameLocks noChangeAspect="1"/>
            </wp:cNvGraphicFramePr>
            <a:graphic>
              <a:graphicData uri="http://schemas.openxmlformats.org/drawingml/2006/picture">
                <pic:pic>
                  <pic:nvPicPr>
                    <pic:cNvPr id="0" name=""/>
                    <pic:cNvPicPr/>
                  </pic:nvPicPr>
                  <pic:blipFill>
                    <a:blip r:embed="R553df208ab6244fe">
                      <a:extLst>
                        <a:ext xmlns:a="http://schemas.openxmlformats.org/drawingml/2006/main" uri="{28A0092B-C50C-407E-A947-70E740481C1C}">
                          <a14:useLocalDpi val="0"/>
                        </a:ext>
                      </a:extLst>
                    </a:blip>
                    <a:stretch>
                      <a:fillRect/>
                    </a:stretch>
                  </pic:blipFill>
                  <pic:spPr>
                    <a:xfrm>
                      <a:off x="0" y="0"/>
                      <a:ext cx="6072188" cy="3415606"/>
                    </a:xfrm>
                    <a:prstGeom prst="rect">
                      <a:avLst/>
                    </a:prstGeom>
                  </pic:spPr>
                </pic:pic>
              </a:graphicData>
            </a:graphic>
          </wp:inline>
        </w:drawing>
      </w:r>
    </w:p>
    <w:p w:rsidR="16415884" w:rsidP="16415884" w:rsidRDefault="16415884" w14:paraId="1FFA3438" w14:textId="5A22F861">
      <w:pPr>
        <w:pStyle w:val="Normal"/>
        <w:spacing w:after="160" w:line="259" w:lineRule="auto"/>
        <w:jc w:val="left"/>
        <w:rPr>
          <w:sz w:val="36"/>
          <w:szCs w:val="36"/>
        </w:rPr>
      </w:pPr>
    </w:p>
    <w:p w:rsidR="16415884" w:rsidP="16415884" w:rsidRDefault="16415884" w14:paraId="056FF228" w14:textId="1A2B2F6B">
      <w:pPr>
        <w:pStyle w:val="Normal"/>
        <w:spacing w:after="160" w:line="259" w:lineRule="auto"/>
        <w:jc w:val="left"/>
      </w:pPr>
      <w:r w:rsidR="16415884">
        <w:drawing>
          <wp:inline wp14:editId="147E4088" wp14:anchorId="56B310CD">
            <wp:extent cx="6167438" cy="3469184"/>
            <wp:effectExtent l="0" t="0" r="0" b="0"/>
            <wp:docPr id="813909500" name="" title=""/>
            <wp:cNvGraphicFramePr>
              <a:graphicFrameLocks noChangeAspect="1"/>
            </wp:cNvGraphicFramePr>
            <a:graphic>
              <a:graphicData uri="http://schemas.openxmlformats.org/drawingml/2006/picture">
                <pic:pic>
                  <pic:nvPicPr>
                    <pic:cNvPr id="0" name=""/>
                    <pic:cNvPicPr/>
                  </pic:nvPicPr>
                  <pic:blipFill>
                    <a:blip r:embed="R1acfae6e61ac4bfa">
                      <a:extLst>
                        <a:ext xmlns:a="http://schemas.openxmlformats.org/drawingml/2006/main" uri="{28A0092B-C50C-407E-A947-70E740481C1C}">
                          <a14:useLocalDpi val="0"/>
                        </a:ext>
                      </a:extLst>
                    </a:blip>
                    <a:stretch>
                      <a:fillRect/>
                    </a:stretch>
                  </pic:blipFill>
                  <pic:spPr>
                    <a:xfrm>
                      <a:off x="0" y="0"/>
                      <a:ext cx="6167438" cy="3469184"/>
                    </a:xfrm>
                    <a:prstGeom prst="rect">
                      <a:avLst/>
                    </a:prstGeom>
                  </pic:spPr>
                </pic:pic>
              </a:graphicData>
            </a:graphic>
          </wp:inline>
        </w:drawing>
      </w:r>
    </w:p>
    <w:p w:rsidR="16415884" w:rsidP="16415884" w:rsidRDefault="16415884" w14:paraId="6DE76CE6" w14:textId="58918892">
      <w:pPr>
        <w:pStyle w:val="Normal"/>
        <w:spacing w:after="160" w:line="259" w:lineRule="auto"/>
        <w:jc w:val="left"/>
        <w:rPr>
          <w:sz w:val="36"/>
          <w:szCs w:val="36"/>
        </w:rPr>
      </w:pPr>
    </w:p>
    <w:p w:rsidR="16415884" w:rsidP="16415884" w:rsidRDefault="16415884" w14:paraId="30307158" w14:textId="632626BC">
      <w:pPr>
        <w:pStyle w:val="Normal"/>
        <w:spacing w:after="160" w:line="259" w:lineRule="auto"/>
        <w:jc w:val="left"/>
      </w:pPr>
      <w:r w:rsidR="16415884">
        <w:drawing>
          <wp:inline wp14:editId="19A03423" wp14:anchorId="1A37833A">
            <wp:extent cx="6381750" cy="3589734"/>
            <wp:effectExtent l="0" t="0" r="0" b="0"/>
            <wp:docPr id="897045189" name="" title=""/>
            <wp:cNvGraphicFramePr>
              <a:graphicFrameLocks noChangeAspect="1"/>
            </wp:cNvGraphicFramePr>
            <a:graphic>
              <a:graphicData uri="http://schemas.openxmlformats.org/drawingml/2006/picture">
                <pic:pic>
                  <pic:nvPicPr>
                    <pic:cNvPr id="0" name=""/>
                    <pic:cNvPicPr/>
                  </pic:nvPicPr>
                  <pic:blipFill>
                    <a:blip r:embed="R46753c72d8464c64">
                      <a:extLst>
                        <a:ext xmlns:a="http://schemas.openxmlformats.org/drawingml/2006/main" uri="{28A0092B-C50C-407E-A947-70E740481C1C}">
                          <a14:useLocalDpi val="0"/>
                        </a:ext>
                      </a:extLst>
                    </a:blip>
                    <a:stretch>
                      <a:fillRect/>
                    </a:stretch>
                  </pic:blipFill>
                  <pic:spPr>
                    <a:xfrm>
                      <a:off x="0" y="0"/>
                      <a:ext cx="6381750" cy="3589734"/>
                    </a:xfrm>
                    <a:prstGeom prst="rect">
                      <a:avLst/>
                    </a:prstGeom>
                  </pic:spPr>
                </pic:pic>
              </a:graphicData>
            </a:graphic>
          </wp:inline>
        </w:drawing>
      </w:r>
    </w:p>
    <w:p w:rsidR="16415884" w:rsidP="16415884" w:rsidRDefault="16415884" w14:paraId="1E776441" w14:textId="6CF0C36D">
      <w:pPr>
        <w:pStyle w:val="Normal"/>
        <w:spacing w:after="160" w:line="259" w:lineRule="auto"/>
        <w:jc w:val="left"/>
      </w:pPr>
      <w:r w:rsidR="16415884">
        <w:drawing>
          <wp:inline wp14:editId="7523283A" wp14:anchorId="7FA3AF6F">
            <wp:extent cx="2899916" cy="5155406"/>
            <wp:effectExtent l="0" t="0" r="0" b="0"/>
            <wp:docPr id="462000830" name="" title=""/>
            <wp:cNvGraphicFramePr>
              <a:graphicFrameLocks noChangeAspect="1"/>
            </wp:cNvGraphicFramePr>
            <a:graphic>
              <a:graphicData uri="http://schemas.openxmlformats.org/drawingml/2006/picture">
                <pic:pic>
                  <pic:nvPicPr>
                    <pic:cNvPr id="0" name=""/>
                    <pic:cNvPicPr/>
                  </pic:nvPicPr>
                  <pic:blipFill>
                    <a:blip r:embed="R9addc16cd84d4339">
                      <a:extLst>
                        <a:ext xmlns:a="http://schemas.openxmlformats.org/drawingml/2006/main" uri="{28A0092B-C50C-407E-A947-70E740481C1C}">
                          <a14:useLocalDpi val="0"/>
                        </a:ext>
                      </a:extLst>
                    </a:blip>
                    <a:stretch>
                      <a:fillRect/>
                    </a:stretch>
                  </pic:blipFill>
                  <pic:spPr>
                    <a:xfrm>
                      <a:off x="0" y="0"/>
                      <a:ext cx="2899916" cy="5155406"/>
                    </a:xfrm>
                    <a:prstGeom prst="rect">
                      <a:avLst/>
                    </a:prstGeom>
                  </pic:spPr>
                </pic:pic>
              </a:graphicData>
            </a:graphic>
          </wp:inline>
        </w:drawing>
      </w:r>
      <w:r w:rsidRPr="16415884" w:rsidR="16415884">
        <w:rPr>
          <w:sz w:val="36"/>
          <w:szCs w:val="36"/>
        </w:rPr>
        <w:t>People were encouraged to keep the card or take a photo of it and share it through their social media.</w:t>
      </w:r>
    </w:p>
    <w:p w:rsidR="16415884" w:rsidP="16415884" w:rsidRDefault="16415884" w14:paraId="6F4298E2" w14:textId="1FA69AD9">
      <w:pPr>
        <w:pStyle w:val="Normal"/>
        <w:spacing w:after="160" w:line="259" w:lineRule="auto"/>
        <w:jc w:val="left"/>
        <w:rPr>
          <w:sz w:val="36"/>
          <w:szCs w:val="36"/>
        </w:rPr>
      </w:pPr>
    </w:p>
    <w:p w:rsidR="16415884" w:rsidP="16415884" w:rsidRDefault="16415884" w14:paraId="1A6F5B12" w14:textId="243BB581">
      <w:pPr>
        <w:pStyle w:val="Normal"/>
        <w:spacing w:after="160" w:line="259" w:lineRule="auto"/>
        <w:jc w:val="left"/>
      </w:pPr>
    </w:p>
    <w:p w:rsidR="16415884" w:rsidP="16415884" w:rsidRDefault="16415884" w14:paraId="50BBC147" w14:textId="04D86C75">
      <w:pPr>
        <w:pStyle w:val="Normal"/>
        <w:spacing w:after="160" w:line="259" w:lineRule="auto"/>
        <w:jc w:val="left"/>
      </w:pPr>
    </w:p>
    <w:p w:rsidR="16415884" w:rsidP="16415884" w:rsidRDefault="16415884" w14:paraId="0D630136" w14:textId="676FCD2D">
      <w:pPr>
        <w:pStyle w:val="Normal"/>
        <w:spacing w:after="160" w:line="259" w:lineRule="auto"/>
        <w:jc w:val="left"/>
        <w:rPr>
          <w:sz w:val="36"/>
          <w:szCs w:val="36"/>
        </w:rPr>
      </w:pPr>
    </w:p>
    <w:p w:rsidR="16415884" w:rsidP="16415884" w:rsidRDefault="16415884" w14:paraId="08F5A150" w14:textId="60838C56">
      <w:pPr>
        <w:pStyle w:val="Normal"/>
        <w:spacing w:after="160" w:line="259" w:lineRule="auto"/>
        <w:jc w:val="left"/>
        <w:rPr>
          <w:sz w:val="36"/>
          <w:szCs w:val="36"/>
        </w:rPr>
      </w:pPr>
    </w:p>
    <w:p w:rsidR="16415884" w:rsidP="16415884" w:rsidRDefault="16415884" w14:paraId="57A29C97" w14:textId="19874136">
      <w:pPr>
        <w:pStyle w:val="Normal"/>
        <w:spacing w:after="160" w:line="259" w:lineRule="auto"/>
        <w:jc w:val="left"/>
        <w:rPr>
          <w:sz w:val="36"/>
          <w:szCs w:val="36"/>
        </w:rPr>
      </w:pPr>
    </w:p>
    <w:p w:rsidR="16415884" w:rsidP="16415884" w:rsidRDefault="16415884" w14:paraId="33ABD11F" w14:textId="59BBADE1">
      <w:pPr>
        <w:pStyle w:val="Normal"/>
        <w:spacing w:after="160" w:line="259" w:lineRule="auto"/>
        <w:jc w:val="left"/>
        <w:rPr>
          <w:sz w:val="36"/>
          <w:szCs w:val="36"/>
        </w:rPr>
      </w:pPr>
    </w:p>
    <w:p w:rsidR="16415884" w:rsidP="16415884" w:rsidRDefault="16415884" w14:paraId="0E77C4D6" w14:textId="1D9F3842">
      <w:pPr>
        <w:pStyle w:val="Normal"/>
        <w:spacing w:after="160" w:line="259" w:lineRule="auto"/>
        <w:jc w:val="left"/>
        <w:rPr>
          <w:sz w:val="36"/>
          <w:szCs w:val="36"/>
        </w:rPr>
      </w:pPr>
    </w:p>
    <w:p w:rsidR="16415884" w:rsidP="16415884" w:rsidRDefault="16415884" w14:paraId="580CB319" w14:textId="3A81BBCD">
      <w:pPr>
        <w:pStyle w:val="Normal"/>
        <w:spacing w:after="160" w:line="259" w:lineRule="auto"/>
        <w:jc w:val="left"/>
        <w:rPr>
          <w:sz w:val="36"/>
          <w:szCs w:val="36"/>
        </w:rPr>
      </w:pPr>
    </w:p>
    <w:p w:rsidR="16415884" w:rsidP="16415884" w:rsidRDefault="16415884" w14:paraId="6780DA4D" w14:textId="72B59631">
      <w:pPr>
        <w:pStyle w:val="Normal"/>
        <w:spacing w:after="160" w:line="259" w:lineRule="auto"/>
        <w:jc w:val="left"/>
      </w:pPr>
      <w:r w:rsidRPr="16415884" w:rsidR="16415884">
        <w:rPr>
          <w:sz w:val="36"/>
          <w:szCs w:val="36"/>
        </w:rPr>
        <w:t>Feedback from University participants</w:t>
      </w:r>
    </w:p>
    <w:p w:rsidR="16415884" w:rsidP="16415884" w:rsidRDefault="16415884" w14:paraId="025598C5" w14:textId="4C0A5545">
      <w:pPr>
        <w:pStyle w:val="Normal"/>
        <w:spacing w:after="160" w:line="259" w:lineRule="auto"/>
        <w:jc w:val="left"/>
        <w:rPr>
          <w:sz w:val="36"/>
          <w:szCs w:val="36"/>
        </w:rPr>
      </w:pPr>
    </w:p>
    <w:p w:rsidR="16415884" w:rsidP="16415884" w:rsidRDefault="16415884" w14:paraId="40CBB193" w14:textId="4885981F">
      <w:pPr>
        <w:pStyle w:val="Normal"/>
        <w:spacing w:after="160" w:line="259" w:lineRule="auto"/>
        <w:jc w:val="left"/>
      </w:pPr>
      <w:r w:rsidR="16415884">
        <w:drawing>
          <wp:inline wp14:editId="5374AEA3" wp14:anchorId="6DE9DCF6">
            <wp:extent cx="5242992" cy="2697956"/>
            <wp:effectExtent l="0" t="0" r="0" b="0"/>
            <wp:docPr id="1963702956" name="" title=""/>
            <wp:cNvGraphicFramePr>
              <a:graphicFrameLocks noChangeAspect="1"/>
            </wp:cNvGraphicFramePr>
            <a:graphic>
              <a:graphicData uri="http://schemas.openxmlformats.org/drawingml/2006/picture">
                <pic:pic>
                  <pic:nvPicPr>
                    <pic:cNvPr id="0" name=""/>
                    <pic:cNvPicPr/>
                  </pic:nvPicPr>
                  <pic:blipFill>
                    <a:blip r:embed="Rca30bb3506334fd4">
                      <a:extLst>
                        <a:ext xmlns:a="http://schemas.openxmlformats.org/drawingml/2006/main" uri="{28A0092B-C50C-407E-A947-70E740481C1C}">
                          <a14:useLocalDpi val="0"/>
                        </a:ext>
                      </a:extLst>
                    </a:blip>
                    <a:stretch>
                      <a:fillRect/>
                    </a:stretch>
                  </pic:blipFill>
                  <pic:spPr>
                    <a:xfrm>
                      <a:off x="0" y="0"/>
                      <a:ext cx="5242992" cy="2697956"/>
                    </a:xfrm>
                    <a:prstGeom prst="rect">
                      <a:avLst/>
                    </a:prstGeom>
                  </pic:spPr>
                </pic:pic>
              </a:graphicData>
            </a:graphic>
          </wp:inline>
        </w:drawing>
      </w:r>
    </w:p>
    <w:p w:rsidR="16415884" w:rsidP="16415884" w:rsidRDefault="16415884" w14:paraId="0E3F783A" w14:textId="5C8B3E53">
      <w:pPr>
        <w:pStyle w:val="Normal"/>
        <w:spacing w:after="160" w:line="259" w:lineRule="auto"/>
        <w:jc w:val="left"/>
        <w:rPr>
          <w:sz w:val="36"/>
          <w:szCs w:val="36"/>
        </w:rPr>
      </w:pPr>
    </w:p>
    <w:p w:rsidR="16415884" w:rsidP="16415884" w:rsidRDefault="16415884" w14:paraId="79409710" w14:textId="19146325">
      <w:pPr>
        <w:pStyle w:val="Normal"/>
        <w:spacing w:after="160" w:line="259" w:lineRule="auto"/>
        <w:jc w:val="left"/>
      </w:pPr>
      <w:r w:rsidR="16415884">
        <w:drawing>
          <wp:inline wp14:editId="30F83CEC" wp14:anchorId="105C28FD">
            <wp:extent cx="6322219" cy="3569419"/>
            <wp:effectExtent l="0" t="0" r="0" b="0"/>
            <wp:docPr id="1334070344" name="" title=""/>
            <wp:cNvGraphicFramePr>
              <a:graphicFrameLocks noChangeAspect="1"/>
            </wp:cNvGraphicFramePr>
            <a:graphic>
              <a:graphicData uri="http://schemas.openxmlformats.org/drawingml/2006/picture">
                <pic:pic>
                  <pic:nvPicPr>
                    <pic:cNvPr id="0" name=""/>
                    <pic:cNvPicPr/>
                  </pic:nvPicPr>
                  <pic:blipFill>
                    <a:blip r:embed="Rc1628a7324a54611">
                      <a:extLst>
                        <a:ext xmlns:a="http://schemas.openxmlformats.org/drawingml/2006/main" uri="{28A0092B-C50C-407E-A947-70E740481C1C}">
                          <a14:useLocalDpi val="0"/>
                        </a:ext>
                      </a:extLst>
                    </a:blip>
                    <a:stretch>
                      <a:fillRect/>
                    </a:stretch>
                  </pic:blipFill>
                  <pic:spPr>
                    <a:xfrm>
                      <a:off x="0" y="0"/>
                      <a:ext cx="6322219" cy="3569419"/>
                    </a:xfrm>
                    <a:prstGeom prst="rect">
                      <a:avLst/>
                    </a:prstGeom>
                  </pic:spPr>
                </pic:pic>
              </a:graphicData>
            </a:graphic>
          </wp:inline>
        </w:drawing>
      </w:r>
    </w:p>
    <w:p w:rsidR="16415884" w:rsidP="16415884" w:rsidRDefault="16415884" w14:paraId="5E856982" w14:textId="1AE6A9CC">
      <w:pPr>
        <w:pStyle w:val="Normal"/>
        <w:spacing w:after="160" w:line="259" w:lineRule="auto"/>
        <w:jc w:val="left"/>
      </w:pPr>
    </w:p>
    <w:p w:rsidR="16415884" w:rsidP="16415884" w:rsidRDefault="16415884" w14:paraId="121C1BB3" w14:textId="7BCC81D8">
      <w:pPr>
        <w:pStyle w:val="Normal"/>
        <w:spacing w:after="160" w:line="259" w:lineRule="auto"/>
        <w:jc w:val="left"/>
      </w:pPr>
      <w:r w:rsidR="16415884">
        <w:drawing>
          <wp:inline wp14:editId="5FAF1410" wp14:anchorId="662DEE65">
            <wp:extent cx="5840546" cy="5317332"/>
            <wp:effectExtent l="0" t="0" r="0" b="0"/>
            <wp:docPr id="233536754" name="" title=""/>
            <wp:cNvGraphicFramePr>
              <a:graphicFrameLocks noChangeAspect="1"/>
            </wp:cNvGraphicFramePr>
            <a:graphic>
              <a:graphicData uri="http://schemas.openxmlformats.org/drawingml/2006/picture">
                <pic:pic>
                  <pic:nvPicPr>
                    <pic:cNvPr id="0" name=""/>
                    <pic:cNvPicPr/>
                  </pic:nvPicPr>
                  <pic:blipFill>
                    <a:blip r:embed="R8474d9099e1d45e0">
                      <a:extLst>
                        <a:ext xmlns:a="http://schemas.openxmlformats.org/drawingml/2006/main" uri="{28A0092B-C50C-407E-A947-70E740481C1C}">
                          <a14:useLocalDpi val="0"/>
                        </a:ext>
                      </a:extLst>
                    </a:blip>
                    <a:stretch>
                      <a:fillRect/>
                    </a:stretch>
                  </pic:blipFill>
                  <pic:spPr>
                    <a:xfrm>
                      <a:off x="0" y="0"/>
                      <a:ext cx="5840546" cy="5317332"/>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zWlPJsi4HLGbj" int2:id="vMMRFVre">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5E710"/>
    <w:rsid w:val="0198B465"/>
    <w:rsid w:val="02807A39"/>
    <w:rsid w:val="02807A39"/>
    <w:rsid w:val="0295691E"/>
    <w:rsid w:val="03D0D0D8"/>
    <w:rsid w:val="04565604"/>
    <w:rsid w:val="05A18445"/>
    <w:rsid w:val="05A18445"/>
    <w:rsid w:val="07521C4D"/>
    <w:rsid w:val="07521C4D"/>
    <w:rsid w:val="0753494C"/>
    <w:rsid w:val="0823F577"/>
    <w:rsid w:val="09980290"/>
    <w:rsid w:val="09BBAA29"/>
    <w:rsid w:val="0B109E74"/>
    <w:rsid w:val="0C179F14"/>
    <w:rsid w:val="0C179F14"/>
    <w:rsid w:val="0CACFD31"/>
    <w:rsid w:val="0CACFD31"/>
    <w:rsid w:val="0D552ADC"/>
    <w:rsid w:val="0D552ADC"/>
    <w:rsid w:val="0DCF5A59"/>
    <w:rsid w:val="0FC29608"/>
    <w:rsid w:val="102FDB42"/>
    <w:rsid w:val="11CE95EE"/>
    <w:rsid w:val="11E4D400"/>
    <w:rsid w:val="142BEB91"/>
    <w:rsid w:val="14519305"/>
    <w:rsid w:val="146ED7AE"/>
    <w:rsid w:val="148D84A4"/>
    <w:rsid w:val="150636B0"/>
    <w:rsid w:val="1516D893"/>
    <w:rsid w:val="1538376D"/>
    <w:rsid w:val="15C7BBF2"/>
    <w:rsid w:val="15C7BBF2"/>
    <w:rsid w:val="15E83261"/>
    <w:rsid w:val="16415884"/>
    <w:rsid w:val="16B2A8F4"/>
    <w:rsid w:val="16B2A8F4"/>
    <w:rsid w:val="16D407CE"/>
    <w:rsid w:val="175CED04"/>
    <w:rsid w:val="175CED04"/>
    <w:rsid w:val="178CFE00"/>
    <w:rsid w:val="192D06DE"/>
    <w:rsid w:val="19E07A1D"/>
    <w:rsid w:val="1B9C59A5"/>
    <w:rsid w:val="1C7AD929"/>
    <w:rsid w:val="1C7AD929"/>
    <w:rsid w:val="1D2A20F5"/>
    <w:rsid w:val="1D2A20F5"/>
    <w:rsid w:val="1E5D889A"/>
    <w:rsid w:val="1E68717E"/>
    <w:rsid w:val="1EC93434"/>
    <w:rsid w:val="210CE02D"/>
    <w:rsid w:val="21A01240"/>
    <w:rsid w:val="21A01240"/>
    <w:rsid w:val="22714068"/>
    <w:rsid w:val="22714068"/>
    <w:rsid w:val="22D59260"/>
    <w:rsid w:val="240B0F6F"/>
    <w:rsid w:val="244480EF"/>
    <w:rsid w:val="244480EF"/>
    <w:rsid w:val="24A59614"/>
    <w:rsid w:val="25111EFD"/>
    <w:rsid w:val="269F1624"/>
    <w:rsid w:val="27009C06"/>
    <w:rsid w:val="27679964"/>
    <w:rsid w:val="28F5AFB6"/>
    <w:rsid w:val="2C33F8E3"/>
    <w:rsid w:val="2C977F9C"/>
    <w:rsid w:val="2C977F9C"/>
    <w:rsid w:val="2C983751"/>
    <w:rsid w:val="2E334FFD"/>
    <w:rsid w:val="2EAF179E"/>
    <w:rsid w:val="2EBD1426"/>
    <w:rsid w:val="2F2BA677"/>
    <w:rsid w:val="2FBF6E86"/>
    <w:rsid w:val="2FBF6E86"/>
    <w:rsid w:val="2FF7BD2A"/>
    <w:rsid w:val="30A248B5"/>
    <w:rsid w:val="30C776D8"/>
    <w:rsid w:val="30E1E0DE"/>
    <w:rsid w:val="31D679A8"/>
    <w:rsid w:val="325EB3B2"/>
    <w:rsid w:val="32AB27ED"/>
    <w:rsid w:val="33411EA2"/>
    <w:rsid w:val="3345E710"/>
    <w:rsid w:val="33DAD90D"/>
    <w:rsid w:val="33FA8413"/>
    <w:rsid w:val="33FA8413"/>
    <w:rsid w:val="3427D4A3"/>
    <w:rsid w:val="342CA101"/>
    <w:rsid w:val="342CA101"/>
    <w:rsid w:val="349673B8"/>
    <w:rsid w:val="34A3FC5E"/>
    <w:rsid w:val="34E3AC9E"/>
    <w:rsid w:val="37A85CD0"/>
    <w:rsid w:val="38BD299E"/>
    <w:rsid w:val="38BD299E"/>
    <w:rsid w:val="396B5CAE"/>
    <w:rsid w:val="396B5CAE"/>
    <w:rsid w:val="3A181967"/>
    <w:rsid w:val="3C711EE1"/>
    <w:rsid w:val="3C711EE1"/>
    <w:rsid w:val="3CA2FD70"/>
    <w:rsid w:val="3CDE4DF5"/>
    <w:rsid w:val="3EC087A4"/>
    <w:rsid w:val="3EDC2195"/>
    <w:rsid w:val="40C4406F"/>
    <w:rsid w:val="40EFDAB4"/>
    <w:rsid w:val="4101C424"/>
    <w:rsid w:val="4101C424"/>
    <w:rsid w:val="410B9EDB"/>
    <w:rsid w:val="414093F5"/>
    <w:rsid w:val="414093F5"/>
    <w:rsid w:val="4157B907"/>
    <w:rsid w:val="41685AEA"/>
    <w:rsid w:val="41BE8394"/>
    <w:rsid w:val="4292DADB"/>
    <w:rsid w:val="46283FDF"/>
    <w:rsid w:val="46283FDF"/>
    <w:rsid w:val="480C21D4"/>
    <w:rsid w:val="48B629F7"/>
    <w:rsid w:val="495B2CDD"/>
    <w:rsid w:val="49AAE78D"/>
    <w:rsid w:val="49AAE78D"/>
    <w:rsid w:val="4AF6FD3E"/>
    <w:rsid w:val="4B056D97"/>
    <w:rsid w:val="4B206EEB"/>
    <w:rsid w:val="4B5F177E"/>
    <w:rsid w:val="4B5F177E"/>
    <w:rsid w:val="4DF19497"/>
    <w:rsid w:val="4E7719C3"/>
    <w:rsid w:val="4EC083FC"/>
    <w:rsid w:val="4F08FCC5"/>
    <w:rsid w:val="5012EA24"/>
    <w:rsid w:val="51663EC2"/>
    <w:rsid w:val="51AE9A48"/>
    <w:rsid w:val="52619FC4"/>
    <w:rsid w:val="52CCD423"/>
    <w:rsid w:val="52D39E47"/>
    <w:rsid w:val="544800CC"/>
    <w:rsid w:val="54F7FBC0"/>
    <w:rsid w:val="5547320D"/>
    <w:rsid w:val="5547320D"/>
    <w:rsid w:val="57B5EB6B"/>
    <w:rsid w:val="591A73DF"/>
    <w:rsid w:val="59D6423D"/>
    <w:rsid w:val="59FCAADE"/>
    <w:rsid w:val="5C0597BF"/>
    <w:rsid w:val="5F4711BC"/>
    <w:rsid w:val="5F8110B6"/>
    <w:rsid w:val="5F8A6065"/>
    <w:rsid w:val="602C5B64"/>
    <w:rsid w:val="607E2358"/>
    <w:rsid w:val="60DE8BFF"/>
    <w:rsid w:val="61B47763"/>
    <w:rsid w:val="62133523"/>
    <w:rsid w:val="6383A72C"/>
    <w:rsid w:val="63E09FA9"/>
    <w:rsid w:val="63E09FA9"/>
    <w:rsid w:val="64F940C2"/>
    <w:rsid w:val="64F940C2"/>
    <w:rsid w:val="650E8240"/>
    <w:rsid w:val="65AE84D7"/>
    <w:rsid w:val="662083E0"/>
    <w:rsid w:val="66FDC2DB"/>
    <w:rsid w:val="66FDC2DB"/>
    <w:rsid w:val="6ACDA383"/>
    <w:rsid w:val="6CD74C09"/>
    <w:rsid w:val="6CD74C09"/>
    <w:rsid w:val="6E490C44"/>
    <w:rsid w:val="6E49AABD"/>
    <w:rsid w:val="6E49AABD"/>
    <w:rsid w:val="6E644A0B"/>
    <w:rsid w:val="6EC5AFC7"/>
    <w:rsid w:val="6FF16F4B"/>
    <w:rsid w:val="6FF16F4B"/>
    <w:rsid w:val="70233D37"/>
    <w:rsid w:val="704901D7"/>
    <w:rsid w:val="7099DFE4"/>
    <w:rsid w:val="70B0B4F9"/>
    <w:rsid w:val="70C46F69"/>
    <w:rsid w:val="718D3FAC"/>
    <w:rsid w:val="71E4D238"/>
    <w:rsid w:val="722AA724"/>
    <w:rsid w:val="726F9280"/>
    <w:rsid w:val="7388B05C"/>
    <w:rsid w:val="7388B05C"/>
    <w:rsid w:val="73FC6A3A"/>
    <w:rsid w:val="7457B15A"/>
    <w:rsid w:val="74820B9C"/>
    <w:rsid w:val="74BB5DD5"/>
    <w:rsid w:val="752480BD"/>
    <w:rsid w:val="771A0CC8"/>
    <w:rsid w:val="7768F604"/>
    <w:rsid w:val="783F4D10"/>
    <w:rsid w:val="783F4D10"/>
    <w:rsid w:val="7872171B"/>
    <w:rsid w:val="7872171B"/>
    <w:rsid w:val="79931BFA"/>
    <w:rsid w:val="7C02C85B"/>
    <w:rsid w:val="7C15843A"/>
    <w:rsid w:val="7C1B266F"/>
    <w:rsid w:val="7C1B266F"/>
    <w:rsid w:val="7C1FDA33"/>
    <w:rsid w:val="7C1FDA33"/>
    <w:rsid w:val="7C45B478"/>
    <w:rsid w:val="7C45B478"/>
    <w:rsid w:val="7E6113A2"/>
    <w:rsid w:val="7EDA28D9"/>
    <w:rsid w:val="7FFCE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E710"/>
  <w15:chartTrackingRefBased/>
  <w15:docId w15:val="{DC1198AF-0B01-4F1D-ABA1-7FEBD60FA5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stemgraduates.co.uk/women-in-stem" TargetMode="External" Id="Rc62a6f28c4ed43cb" /><Relationship Type="http://schemas.openxmlformats.org/officeDocument/2006/relationships/hyperlink" Target="https://doi.org/10.1007/s11199-019-01095-z" TargetMode="External" Id="R815a8a8fe28e4e90" /><Relationship Type="http://schemas.openxmlformats.org/officeDocument/2006/relationships/hyperlink" Target="https://www.bbc.co.uk/news/technology-59180946" TargetMode="External" Id="Rb6a6256b45334096" /><Relationship Type="http://schemas.openxmlformats.org/officeDocument/2006/relationships/hyperlink" Target="https://moodle.uwtsd.ac.uk/course/view.php?id=8930" TargetMode="External" Id="Rd5040e75bc444c04" /><Relationship Type="http://schemas.openxmlformats.org/officeDocument/2006/relationships/hyperlink" Target="https://www.socialfollowers.uk/blogs/instagram-affects-on-men-and-women/" TargetMode="External" Id="R25217344af7c45ab" /><Relationship Type="http://schemas.openxmlformats.org/officeDocument/2006/relationships/hyperlink" Target="https://www.unwomen.org/en/digital-library/multimedia/2020/2/infographic-visualizing-the-data-womens-representation" TargetMode="External" Id="R5f584e20ee3942c4" /><Relationship Type="http://schemas.openxmlformats.org/officeDocument/2006/relationships/hyperlink" Target="https://www.bbc.co.uk/news/technology-58570353" TargetMode="External" Id="Rfcc48230cd89460a" /><Relationship Type="http://schemas.openxmlformats.org/officeDocument/2006/relationships/hyperlink" Target="https://www.researchgate.net/publication/266606972" TargetMode="External" Id="Rb700d46649af441b" /><Relationship Type="http://schemas.openxmlformats.org/officeDocument/2006/relationships/hyperlink" Target="https://doi.org/10.4000/cadernosaa.2001" TargetMode="External" Id="R18dbd129e3254723" /><Relationship Type="http://schemas.openxmlformats.org/officeDocument/2006/relationships/hyperlink" Target="https://doi.org/10.1016/j.cortex.2020.02.023" TargetMode="External" Id="Rbed2a7913fce481d" /><Relationship Type="http://schemas.openxmlformats.org/officeDocument/2006/relationships/hyperlink" Target="https://doi.org/10.1016/j.bodyim.2021.03.012" TargetMode="External" Id="R80762ddf36ee4992" /><Relationship Type="http://schemas.microsoft.com/office/2020/10/relationships/intelligence" Target="/word/intelligence2.xml" Id="Rd5800054173344e8" /><Relationship Type="http://schemas.openxmlformats.org/officeDocument/2006/relationships/hyperlink" Target="https://search-ebscohost-com.ezproxy.uwtsd.ac.uk/login.aspx?direct=true&amp;db=eue&amp;AN=140212325&amp;site=ehost-live" TargetMode="External" Id="Rb085fda454a94094" /><Relationship Type="http://schemas.openxmlformats.org/officeDocument/2006/relationships/image" Target="/media/image2.jpg" Id="Rd741c872bb7943a3" /><Relationship Type="http://schemas.openxmlformats.org/officeDocument/2006/relationships/image" Target="/media/image3.jpg" Id="R41c38d121504404d" /><Relationship Type="http://schemas.openxmlformats.org/officeDocument/2006/relationships/image" Target="/media/image4.jpg" Id="R8ea8f8ca87c74aea" /><Relationship Type="http://schemas.openxmlformats.org/officeDocument/2006/relationships/image" Target="/media/image5.jpg" Id="Ref0f47bd172b4e29" /><Relationship Type="http://schemas.openxmlformats.org/officeDocument/2006/relationships/image" Target="/media/image6.jpg" Id="R3cae32171ed44133" /><Relationship Type="http://schemas.openxmlformats.org/officeDocument/2006/relationships/image" Target="/media/image7.jpg" Id="R1e8988918af643e2" /><Relationship Type="http://schemas.openxmlformats.org/officeDocument/2006/relationships/image" Target="/media/image8.jpg" Id="R877ccb3ad42c470a" /><Relationship Type="http://schemas.openxmlformats.org/officeDocument/2006/relationships/image" Target="/media/image9.jpg" Id="R553df208ab6244fe" /><Relationship Type="http://schemas.openxmlformats.org/officeDocument/2006/relationships/image" Target="/media/imagea.jpg" Id="R1acfae6e61ac4bfa" /><Relationship Type="http://schemas.openxmlformats.org/officeDocument/2006/relationships/image" Target="/media/imageb.jpg" Id="R46753c72d8464c64" /><Relationship Type="http://schemas.openxmlformats.org/officeDocument/2006/relationships/image" Target="/media/imagec.jpg" Id="R9addc16cd84d4339" /><Relationship Type="http://schemas.openxmlformats.org/officeDocument/2006/relationships/image" Target="/media/imaged.jpg" Id="Rca30bb3506334fd4" /><Relationship Type="http://schemas.openxmlformats.org/officeDocument/2006/relationships/image" Target="/media/imagee.jpg" Id="Rc1628a7324a54611" /><Relationship Type="http://schemas.openxmlformats.org/officeDocument/2006/relationships/image" Target="/media/imagef.jpg" Id="R8474d9099e1d45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Theochari (1909086)</dc:creator>
  <keywords/>
  <dc:description/>
  <lastModifiedBy>Georgia Theochari (1909086)</lastModifiedBy>
  <revision>7</revision>
  <dcterms:created xsi:type="dcterms:W3CDTF">2022-03-28T17:44:35.3919201Z</dcterms:created>
  <dcterms:modified xsi:type="dcterms:W3CDTF">2022-04-01T09:40:07.8125898Z</dcterms:modified>
</coreProperties>
</file>