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3AD2D" w14:textId="77777777" w:rsidR="0069187F" w:rsidRDefault="00751C03">
      <w:pPr>
        <w:spacing w:before="240" w:after="240" w:line="360" w:lineRule="auto"/>
        <w:jc w:val="both"/>
      </w:pPr>
      <w:r>
        <w:t xml:space="preserve"> </w:t>
      </w:r>
    </w:p>
    <w:p w14:paraId="4DD78830" w14:textId="77777777" w:rsidR="0069187F" w:rsidRDefault="00751C03">
      <w:pPr>
        <w:spacing w:before="240" w:after="240" w:line="360" w:lineRule="auto"/>
        <w:jc w:val="both"/>
      </w:pPr>
      <w:r>
        <w:t xml:space="preserve"> </w:t>
      </w:r>
    </w:p>
    <w:p w14:paraId="60908868" w14:textId="77777777" w:rsidR="0069187F" w:rsidRDefault="00751C03">
      <w:pPr>
        <w:spacing w:before="240" w:after="240" w:line="360" w:lineRule="auto"/>
        <w:jc w:val="both"/>
      </w:pPr>
      <w:r>
        <w:t xml:space="preserve"> </w:t>
      </w:r>
      <w:r>
        <w:rPr>
          <w:noProof/>
        </w:rPr>
        <w:drawing>
          <wp:inline distT="114300" distB="114300" distL="114300" distR="114300" wp14:anchorId="11967FD8" wp14:editId="55B337DE">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28925" cy="1133475"/>
                    </a:xfrm>
                    <a:prstGeom prst="rect">
                      <a:avLst/>
                    </a:prstGeom>
                    <a:ln/>
                  </pic:spPr>
                </pic:pic>
              </a:graphicData>
            </a:graphic>
          </wp:inline>
        </w:drawing>
      </w:r>
    </w:p>
    <w:p w14:paraId="23CDD7FF" w14:textId="77777777" w:rsidR="0069187F" w:rsidRDefault="00751C03">
      <w:pPr>
        <w:spacing w:before="240" w:after="240" w:line="360" w:lineRule="auto"/>
        <w:jc w:val="both"/>
      </w:pPr>
      <w:r>
        <w:t xml:space="preserve"> </w:t>
      </w:r>
    </w:p>
    <w:p w14:paraId="2AE41FCA" w14:textId="77777777" w:rsidR="0069187F" w:rsidRDefault="00751C03">
      <w:pPr>
        <w:spacing w:before="240" w:after="240" w:line="360" w:lineRule="auto"/>
        <w:jc w:val="both"/>
        <w:rPr>
          <w:b/>
          <w:bCs/>
        </w:rPr>
      </w:pPr>
      <w:proofErr w:type="spellStart"/>
      <w:r>
        <w:rPr>
          <w:b/>
          <w:bCs/>
        </w:rPr>
        <w:t>Programme</w:t>
      </w:r>
      <w:proofErr w:type="spellEnd"/>
      <w:r>
        <w:rPr>
          <w:b/>
          <w:bCs/>
        </w:rPr>
        <w:t xml:space="preserve">: </w:t>
      </w:r>
      <w:proofErr w:type="spellStart"/>
      <w:r>
        <w:rPr>
          <w:b/>
          <w:bCs/>
        </w:rPr>
        <w:t>BSc</w:t>
      </w:r>
      <w:proofErr w:type="spellEnd"/>
      <w:r>
        <w:rPr>
          <w:b/>
          <w:bCs/>
        </w:rPr>
        <w:t xml:space="preserve"> (</w:t>
      </w:r>
      <w:proofErr w:type="spellStart"/>
      <w:r>
        <w:rPr>
          <w:b/>
          <w:bCs/>
        </w:rPr>
        <w:t>Hons</w:t>
      </w:r>
      <w:proofErr w:type="spellEnd"/>
      <w:r>
        <w:rPr>
          <w:b/>
          <w:bCs/>
        </w:rPr>
        <w:t>) Health and Social Care</w:t>
      </w:r>
    </w:p>
    <w:p w14:paraId="0CA44D2C" w14:textId="77777777" w:rsidR="0069187F" w:rsidRDefault="00751C03">
      <w:pPr>
        <w:spacing w:before="240" w:after="240" w:line="360" w:lineRule="auto"/>
        <w:jc w:val="both"/>
      </w:pPr>
      <w:r>
        <w:rPr>
          <w:b/>
          <w:bCs/>
        </w:rPr>
        <w:t>Module name</w:t>
      </w:r>
      <w:r>
        <w:t>: Changemakers: Building your Personal Brand for Sustainable Employment</w:t>
      </w:r>
    </w:p>
    <w:p w14:paraId="0B2107A0" w14:textId="68ABC747" w:rsidR="0069187F" w:rsidRPr="00ED5020" w:rsidRDefault="00751C03">
      <w:pPr>
        <w:spacing w:before="240" w:after="240" w:line="360" w:lineRule="auto"/>
        <w:jc w:val="both"/>
      </w:pPr>
      <w:r>
        <w:rPr>
          <w:b/>
          <w:bCs/>
        </w:rPr>
        <w:t>Module code</w:t>
      </w:r>
      <w:r>
        <w:t>: BMHP5015</w:t>
      </w:r>
    </w:p>
    <w:p w14:paraId="0D2E2EF0" w14:textId="12D63469" w:rsidR="0069187F" w:rsidRPr="00A84AE2" w:rsidRDefault="00751C03">
      <w:pPr>
        <w:spacing w:before="240" w:after="240" w:line="360" w:lineRule="auto"/>
        <w:jc w:val="both"/>
        <w:rPr>
          <w:b/>
          <w:bCs/>
        </w:rPr>
      </w:pPr>
      <w:r>
        <w:rPr>
          <w:b/>
          <w:bCs/>
        </w:rPr>
        <w:t>Student name</w:t>
      </w:r>
      <w:r>
        <w:t>:</w:t>
      </w:r>
      <w:r w:rsidR="00A84AE2">
        <w:t xml:space="preserve"> </w:t>
      </w:r>
      <w:r w:rsidR="00A84AE2">
        <w:rPr>
          <w:b/>
          <w:bCs/>
        </w:rPr>
        <w:t>Mohammad Nurul Islam</w:t>
      </w:r>
    </w:p>
    <w:p w14:paraId="3FCB6E4D" w14:textId="5E64AE38" w:rsidR="0069187F" w:rsidRDefault="00751C03">
      <w:pPr>
        <w:spacing w:before="240" w:after="240" w:line="360" w:lineRule="auto"/>
        <w:jc w:val="both"/>
      </w:pPr>
      <w:r>
        <w:rPr>
          <w:b/>
          <w:bCs/>
        </w:rPr>
        <w:t>Student ID</w:t>
      </w:r>
      <w:r>
        <w:t>:</w:t>
      </w:r>
      <w:r w:rsidR="00A84AE2">
        <w:t xml:space="preserve"> 2327900</w:t>
      </w:r>
    </w:p>
    <w:p w14:paraId="7A5353E4" w14:textId="3E8C1EAF" w:rsidR="0069187F" w:rsidRPr="00672622" w:rsidRDefault="00751C03">
      <w:pPr>
        <w:spacing w:before="240" w:after="240" w:line="360" w:lineRule="auto"/>
        <w:jc w:val="both"/>
        <w:rPr>
          <w:b/>
          <w:bCs/>
        </w:rPr>
      </w:pPr>
      <w:r>
        <w:t xml:space="preserve"> </w:t>
      </w:r>
      <w:r w:rsidR="00672622">
        <w:rPr>
          <w:b/>
          <w:bCs/>
        </w:rPr>
        <w:t xml:space="preserve">Teacher Name: </w:t>
      </w:r>
      <w:r w:rsidR="00E16FC9">
        <w:rPr>
          <w:b/>
          <w:bCs/>
        </w:rPr>
        <w:t>Caroline Salami</w:t>
      </w:r>
    </w:p>
    <w:p w14:paraId="69C63C73" w14:textId="77777777" w:rsidR="0069187F" w:rsidRDefault="0069187F">
      <w:pPr>
        <w:spacing w:before="240" w:after="240" w:line="360" w:lineRule="auto"/>
        <w:jc w:val="both"/>
      </w:pPr>
    </w:p>
    <w:p w14:paraId="19DE9C84" w14:textId="4B783A9B" w:rsidR="0069187F" w:rsidRDefault="00751C03" w:rsidP="005B2C8D">
      <w:pPr>
        <w:spacing w:before="240" w:after="240" w:line="360" w:lineRule="auto"/>
        <w:jc w:val="both"/>
      </w:pPr>
      <w:r>
        <w:rPr>
          <w:b/>
          <w:bCs/>
        </w:rPr>
        <w:t xml:space="preserve">Date of submission: </w:t>
      </w:r>
      <w:r>
        <w:t xml:space="preserve">5th December </w:t>
      </w:r>
      <w:r>
        <w:br w:type="page"/>
      </w:r>
    </w:p>
    <w:p w14:paraId="0C274567" w14:textId="77777777" w:rsidR="0069187F" w:rsidRDefault="00751C03">
      <w:pPr>
        <w:spacing w:line="360" w:lineRule="auto"/>
        <w:rPr>
          <w:b/>
          <w:bCs/>
        </w:rPr>
      </w:pPr>
      <w:r>
        <w:rPr>
          <w:b/>
          <w:bCs/>
        </w:rPr>
        <w:t>Table of contents:</w:t>
      </w:r>
    </w:p>
    <w:p w14:paraId="5CA81B22" w14:textId="77777777" w:rsidR="00C8118D" w:rsidRDefault="00C8118D">
      <w:pPr>
        <w:spacing w:line="360" w:lineRule="auto"/>
        <w:rPr>
          <w:b/>
          <w:bCs/>
        </w:rPr>
      </w:pPr>
    </w:p>
    <w:sdt>
      <w:sdtPr>
        <w:id w:val="885157745"/>
        <w:docPartObj>
          <w:docPartGallery w:val="Table of Contents"/>
          <w:docPartUnique/>
        </w:docPartObj>
      </w:sdtPr>
      <w:sdtEndPr/>
      <w:sdtContent>
        <w:p w14:paraId="69A88F39" w14:textId="6DEFF7AC" w:rsidR="00C8118D" w:rsidRDefault="00751C03">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\h \u \z \t "Heading 1,1,Heading 2,2,Heading 3,3,Heading 4,4,Heading 5,5,Heading 6,6,"</w:instrText>
          </w:r>
          <w:r>
            <w:fldChar w:fldCharType="separate"/>
          </w:r>
          <w:hyperlink w:anchor="_Toc215779960" w:history="1">
            <w:r w:rsidR="00C8118D" w:rsidRPr="002D1916">
              <w:rPr>
                <w:rStyle w:val="Hyperlink"/>
                <w:b/>
                <w:bCs/>
                <w:noProof/>
              </w:rPr>
              <w:t>Introduction</w:t>
            </w:r>
            <w:r w:rsidR="00C8118D">
              <w:rPr>
                <w:noProof/>
                <w:webHidden/>
              </w:rPr>
              <w:tab/>
            </w:r>
            <w:r w:rsidR="00C8118D">
              <w:rPr>
                <w:noProof/>
                <w:webHidden/>
              </w:rPr>
              <w:fldChar w:fldCharType="begin"/>
            </w:r>
            <w:r w:rsidR="00C8118D">
              <w:rPr>
                <w:noProof/>
                <w:webHidden/>
              </w:rPr>
              <w:instrText xml:space="preserve"> PAGEREF _Toc215779960 \h </w:instrText>
            </w:r>
            <w:r w:rsidR="00C8118D">
              <w:rPr>
                <w:noProof/>
                <w:webHidden/>
              </w:rPr>
            </w:r>
            <w:r w:rsidR="00C8118D">
              <w:rPr>
                <w:noProof/>
                <w:webHidden/>
              </w:rPr>
              <w:fldChar w:fldCharType="separate"/>
            </w:r>
            <w:r w:rsidR="00C8118D">
              <w:rPr>
                <w:noProof/>
                <w:webHidden/>
              </w:rPr>
              <w:t>3</w:t>
            </w:r>
            <w:r w:rsidR="00C8118D">
              <w:rPr>
                <w:noProof/>
                <w:webHidden/>
              </w:rPr>
              <w:fldChar w:fldCharType="end"/>
            </w:r>
          </w:hyperlink>
        </w:p>
        <w:p w14:paraId="028B6C75" w14:textId="7A23742F"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1" w:history="1">
            <w:r w:rsidRPr="002D1916">
              <w:rPr>
                <w:rStyle w:val="Hyperlink"/>
                <w:b/>
                <w:bCs/>
                <w:noProof/>
              </w:rPr>
              <w:t>Task 1 - Unit 1: Brand You</w:t>
            </w:r>
            <w:r>
              <w:rPr>
                <w:noProof/>
                <w:webHidden/>
              </w:rPr>
              <w:tab/>
            </w:r>
            <w:r>
              <w:rPr>
                <w:noProof/>
                <w:webHidden/>
              </w:rPr>
              <w:fldChar w:fldCharType="begin"/>
            </w:r>
            <w:r>
              <w:rPr>
                <w:noProof/>
                <w:webHidden/>
              </w:rPr>
              <w:instrText xml:space="preserve"> PAGEREF _Toc215779961 \h </w:instrText>
            </w:r>
            <w:r>
              <w:rPr>
                <w:noProof/>
                <w:webHidden/>
              </w:rPr>
            </w:r>
            <w:r>
              <w:rPr>
                <w:noProof/>
                <w:webHidden/>
              </w:rPr>
              <w:fldChar w:fldCharType="separate"/>
            </w:r>
            <w:r>
              <w:rPr>
                <w:noProof/>
                <w:webHidden/>
              </w:rPr>
              <w:t>3</w:t>
            </w:r>
            <w:r>
              <w:rPr>
                <w:noProof/>
                <w:webHidden/>
              </w:rPr>
              <w:fldChar w:fldCharType="end"/>
            </w:r>
          </w:hyperlink>
        </w:p>
        <w:p w14:paraId="39CC6373" w14:textId="0B55D321"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2" w:history="1">
            <w:r w:rsidRPr="002D1916">
              <w:rPr>
                <w:rStyle w:val="Hyperlink"/>
                <w:b/>
                <w:bCs/>
                <w:noProof/>
              </w:rPr>
              <w:t>Task 2 - Reflection on Unit 2: It’s a Small World</w:t>
            </w:r>
            <w:r>
              <w:rPr>
                <w:noProof/>
                <w:webHidden/>
              </w:rPr>
              <w:tab/>
            </w:r>
            <w:r>
              <w:rPr>
                <w:noProof/>
                <w:webHidden/>
              </w:rPr>
              <w:fldChar w:fldCharType="begin"/>
            </w:r>
            <w:r>
              <w:rPr>
                <w:noProof/>
                <w:webHidden/>
              </w:rPr>
              <w:instrText xml:space="preserve"> PAGEREF _Toc215779962 \h </w:instrText>
            </w:r>
            <w:r>
              <w:rPr>
                <w:noProof/>
                <w:webHidden/>
              </w:rPr>
            </w:r>
            <w:r>
              <w:rPr>
                <w:noProof/>
                <w:webHidden/>
              </w:rPr>
              <w:fldChar w:fldCharType="separate"/>
            </w:r>
            <w:r>
              <w:rPr>
                <w:noProof/>
                <w:webHidden/>
              </w:rPr>
              <w:t>4</w:t>
            </w:r>
            <w:r>
              <w:rPr>
                <w:noProof/>
                <w:webHidden/>
              </w:rPr>
              <w:fldChar w:fldCharType="end"/>
            </w:r>
          </w:hyperlink>
        </w:p>
        <w:p w14:paraId="71100D4A" w14:textId="40B35172"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3" w:history="1">
            <w:r w:rsidRPr="002D1916">
              <w:rPr>
                <w:rStyle w:val="Hyperlink"/>
                <w:b/>
                <w:bCs/>
                <w:noProof/>
              </w:rPr>
              <w:t>Task 3 - Reflection on Unit 3: Opportunity Knocks</w:t>
            </w:r>
            <w:r>
              <w:rPr>
                <w:noProof/>
                <w:webHidden/>
              </w:rPr>
              <w:tab/>
            </w:r>
            <w:r>
              <w:rPr>
                <w:noProof/>
                <w:webHidden/>
              </w:rPr>
              <w:fldChar w:fldCharType="begin"/>
            </w:r>
            <w:r>
              <w:rPr>
                <w:noProof/>
                <w:webHidden/>
              </w:rPr>
              <w:instrText xml:space="preserve"> PAGEREF _Toc215779963 \h </w:instrText>
            </w:r>
            <w:r>
              <w:rPr>
                <w:noProof/>
                <w:webHidden/>
              </w:rPr>
            </w:r>
            <w:r>
              <w:rPr>
                <w:noProof/>
                <w:webHidden/>
              </w:rPr>
              <w:fldChar w:fldCharType="separate"/>
            </w:r>
            <w:r>
              <w:rPr>
                <w:noProof/>
                <w:webHidden/>
              </w:rPr>
              <w:t>5</w:t>
            </w:r>
            <w:r>
              <w:rPr>
                <w:noProof/>
                <w:webHidden/>
              </w:rPr>
              <w:fldChar w:fldCharType="end"/>
            </w:r>
          </w:hyperlink>
        </w:p>
        <w:p w14:paraId="0FDAD0EA" w14:textId="0216DD2C"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4" w:history="1">
            <w:r w:rsidRPr="002D1916">
              <w:rPr>
                <w:rStyle w:val="Hyperlink"/>
                <w:b/>
                <w:bCs/>
                <w:noProof/>
              </w:rPr>
              <w:t>Task 4 - Reflection on Unit 4: The Pursuit of Happiness</w:t>
            </w:r>
            <w:r>
              <w:rPr>
                <w:noProof/>
                <w:webHidden/>
              </w:rPr>
              <w:tab/>
            </w:r>
            <w:r>
              <w:rPr>
                <w:noProof/>
                <w:webHidden/>
              </w:rPr>
              <w:fldChar w:fldCharType="begin"/>
            </w:r>
            <w:r>
              <w:rPr>
                <w:noProof/>
                <w:webHidden/>
              </w:rPr>
              <w:instrText xml:space="preserve"> PAGEREF _Toc215779964 \h </w:instrText>
            </w:r>
            <w:r>
              <w:rPr>
                <w:noProof/>
                <w:webHidden/>
              </w:rPr>
            </w:r>
            <w:r>
              <w:rPr>
                <w:noProof/>
                <w:webHidden/>
              </w:rPr>
              <w:fldChar w:fldCharType="separate"/>
            </w:r>
            <w:r>
              <w:rPr>
                <w:noProof/>
                <w:webHidden/>
              </w:rPr>
              <w:t>6</w:t>
            </w:r>
            <w:r>
              <w:rPr>
                <w:noProof/>
                <w:webHidden/>
              </w:rPr>
              <w:fldChar w:fldCharType="end"/>
            </w:r>
          </w:hyperlink>
        </w:p>
        <w:p w14:paraId="588D4C64" w14:textId="3722BBC0"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5" w:history="1">
            <w:r w:rsidRPr="002D1916">
              <w:rPr>
                <w:rStyle w:val="Hyperlink"/>
                <w:b/>
                <w:bCs/>
                <w:noProof/>
              </w:rPr>
              <w:t>Conclusion</w:t>
            </w:r>
            <w:r>
              <w:rPr>
                <w:noProof/>
                <w:webHidden/>
              </w:rPr>
              <w:tab/>
            </w:r>
            <w:r>
              <w:rPr>
                <w:noProof/>
                <w:webHidden/>
              </w:rPr>
              <w:fldChar w:fldCharType="begin"/>
            </w:r>
            <w:r>
              <w:rPr>
                <w:noProof/>
                <w:webHidden/>
              </w:rPr>
              <w:instrText xml:space="preserve"> PAGEREF _Toc215779965 \h </w:instrText>
            </w:r>
            <w:r>
              <w:rPr>
                <w:noProof/>
                <w:webHidden/>
              </w:rPr>
            </w:r>
            <w:r>
              <w:rPr>
                <w:noProof/>
                <w:webHidden/>
              </w:rPr>
              <w:fldChar w:fldCharType="separate"/>
            </w:r>
            <w:r>
              <w:rPr>
                <w:noProof/>
                <w:webHidden/>
              </w:rPr>
              <w:t>7</w:t>
            </w:r>
            <w:r>
              <w:rPr>
                <w:noProof/>
                <w:webHidden/>
              </w:rPr>
              <w:fldChar w:fldCharType="end"/>
            </w:r>
          </w:hyperlink>
        </w:p>
        <w:p w14:paraId="3FB878B0" w14:textId="161117FE" w:rsidR="00C8118D" w:rsidRDefault="00C8118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9966" w:history="1">
            <w:r w:rsidRPr="002D1916">
              <w:rPr>
                <w:rStyle w:val="Hyperlink"/>
                <w:b/>
                <w:bCs/>
                <w:noProof/>
              </w:rPr>
              <w:t>References:</w:t>
            </w:r>
            <w:r>
              <w:rPr>
                <w:noProof/>
                <w:webHidden/>
              </w:rPr>
              <w:tab/>
            </w:r>
            <w:r>
              <w:rPr>
                <w:noProof/>
                <w:webHidden/>
              </w:rPr>
              <w:fldChar w:fldCharType="begin"/>
            </w:r>
            <w:r>
              <w:rPr>
                <w:noProof/>
                <w:webHidden/>
              </w:rPr>
              <w:instrText xml:space="preserve"> PAGEREF _Toc215779966 \h </w:instrText>
            </w:r>
            <w:r>
              <w:rPr>
                <w:noProof/>
                <w:webHidden/>
              </w:rPr>
            </w:r>
            <w:r>
              <w:rPr>
                <w:noProof/>
                <w:webHidden/>
              </w:rPr>
              <w:fldChar w:fldCharType="separate"/>
            </w:r>
            <w:r>
              <w:rPr>
                <w:noProof/>
                <w:webHidden/>
              </w:rPr>
              <w:t>9</w:t>
            </w:r>
            <w:r>
              <w:rPr>
                <w:noProof/>
                <w:webHidden/>
              </w:rPr>
              <w:fldChar w:fldCharType="end"/>
            </w:r>
          </w:hyperlink>
        </w:p>
        <w:p w14:paraId="7A15F68F" w14:textId="22FAC20B" w:rsidR="0069187F" w:rsidRDefault="00751C03">
          <w:pPr>
            <w:widowControl w:val="0"/>
            <w:tabs>
              <w:tab w:val="right" w:leader="dot" w:pos="12000"/>
            </w:tabs>
            <w:spacing w:before="60" w:line="240" w:lineRule="auto"/>
            <w:rPr>
              <w:b/>
              <w:bCs/>
              <w:color w:val="000000"/>
            </w:rPr>
          </w:pPr>
          <w:r>
            <w:fldChar w:fldCharType="end"/>
          </w:r>
        </w:p>
      </w:sdtContent>
    </w:sdt>
    <w:p w14:paraId="37A0BFF0" w14:textId="77777777" w:rsidR="0069187F" w:rsidRDefault="00751C03">
      <w:pPr>
        <w:spacing w:line="360" w:lineRule="auto"/>
      </w:pPr>
      <w:r>
        <w:br w:type="page"/>
      </w:r>
    </w:p>
    <w:p w14:paraId="2CF03AEC" w14:textId="77777777" w:rsidR="0069187F" w:rsidRDefault="00751C03">
      <w:pPr>
        <w:pStyle w:val="Heading1"/>
        <w:spacing w:line="360" w:lineRule="auto"/>
      </w:pPr>
      <w:bookmarkStart w:id="0" w:name="_Toc215779960"/>
      <w:r>
        <w:rPr>
          <w:b/>
          <w:bCs/>
          <w:sz w:val="22"/>
          <w:szCs w:val="22"/>
        </w:rPr>
        <w:t>Introduction</w:t>
      </w:r>
      <w:bookmarkEnd w:id="0"/>
    </w:p>
    <w:p w14:paraId="17113652" w14:textId="77777777" w:rsidR="0069187F" w:rsidRDefault="00751C03">
      <w:pPr>
        <w:spacing w:line="360" w:lineRule="auto"/>
        <w:jc w:val="both"/>
      </w:pPr>
      <w:r>
        <w:t xml:space="preserve">This online portfolio looks at learning from four units of the module and connects that learning to the health and social care field, focusing on the student’s growing professional identity and desire to pursue social work. Instead of just summarizing what was taught, the portfolio combines theoretical insights with real online activities, evaluates the tensions between different approaches, and shows how specific concepts can be applied in practice. For instance, the module’s focus on personal branding is seen not just as self-promotion but as an ethical balance between professional identity and values </w:t>
      </w:r>
      <w:proofErr w:type="spellStart"/>
      <w:r>
        <w:t>centred</w:t>
      </w:r>
      <w:proofErr w:type="spellEnd"/>
      <w:r>
        <w:t xml:space="preserve"> on service users. Similarly, the discussion of networks is assessed for their practical benefits in care coordination and reflective learning (Woodcock and Graham, 2019). Career adaptability and opportunity-seeking are explored as processes influenced by structural constraints in health systems, rather than just individual traits (Chen et al., 2020).</w:t>
      </w:r>
    </w:p>
    <w:p w14:paraId="0A5D9F51" w14:textId="77777777" w:rsidR="0069187F" w:rsidRDefault="0069187F">
      <w:pPr>
        <w:spacing w:line="360" w:lineRule="auto"/>
        <w:jc w:val="both"/>
      </w:pPr>
    </w:p>
    <w:p w14:paraId="44B58A64" w14:textId="77777777" w:rsidR="0069187F" w:rsidRDefault="00751C03">
      <w:pPr>
        <w:spacing w:line="360" w:lineRule="auto"/>
        <w:jc w:val="both"/>
      </w:pPr>
      <w:r>
        <w:t>The reflections use Moodle tasks and forum contributions as prompts for applied reflection, showing evidence of learning and critical dialogue. Each task in the portfolio takes a reflective approach. Where relevant, screenshots from Moodle activities are included as evidence to support analytical claims.</w:t>
      </w:r>
    </w:p>
    <w:p w14:paraId="038AFF5D" w14:textId="77777777" w:rsidR="0069187F" w:rsidRDefault="0069187F">
      <w:pPr>
        <w:spacing w:line="360" w:lineRule="auto"/>
        <w:jc w:val="both"/>
      </w:pPr>
    </w:p>
    <w:p w14:paraId="06734EE2" w14:textId="77777777" w:rsidR="0069187F" w:rsidRDefault="0069187F">
      <w:pPr>
        <w:spacing w:line="360" w:lineRule="auto"/>
        <w:jc w:val="both"/>
      </w:pPr>
    </w:p>
    <w:p w14:paraId="10A5DB24" w14:textId="1F6BD2AF" w:rsidR="0069187F" w:rsidRDefault="00751C03">
      <w:pPr>
        <w:pStyle w:val="Heading1"/>
        <w:spacing w:line="360" w:lineRule="auto"/>
        <w:jc w:val="both"/>
      </w:pPr>
      <w:bookmarkStart w:id="1" w:name="_Toc215779961"/>
      <w:r>
        <w:rPr>
          <w:b/>
          <w:bCs/>
          <w:sz w:val="22"/>
          <w:szCs w:val="22"/>
        </w:rPr>
        <w:t xml:space="preserve">Task 1 </w:t>
      </w:r>
      <w:r w:rsidR="00C8118D">
        <w:rPr>
          <w:b/>
          <w:bCs/>
          <w:sz w:val="22"/>
          <w:szCs w:val="22"/>
        </w:rPr>
        <w:t xml:space="preserve">- </w:t>
      </w:r>
      <w:r>
        <w:rPr>
          <w:b/>
          <w:bCs/>
          <w:sz w:val="22"/>
          <w:szCs w:val="22"/>
        </w:rPr>
        <w:t>Unit 1: Brand You</w:t>
      </w:r>
      <w:bookmarkEnd w:id="1"/>
    </w:p>
    <w:p w14:paraId="45D4BFE8" w14:textId="77777777" w:rsidR="0069187F" w:rsidRDefault="00751C03">
      <w:pPr>
        <w:spacing w:line="360" w:lineRule="auto"/>
        <w:jc w:val="both"/>
      </w:pPr>
      <w:r>
        <w:t>Unit 1 encouraged us to think deeply about how ambition, motivation, and career paths come together to shape our professional identity in health and social care. It challenged the idea that ambition is just about personal gain or purely good intentions. Instead, ambition was seen as a way to make real choices that connect our values with our professional duties. This view highlighted that ambition is about making thoughtful decisions, not just wishing for success. In health and social care, ambition should focus on improving outcomes for service users, not just personal advancement. The lectures stressed that true ambition needs clear goals, the skills to achieve them, and the strength to keep going over time. This idea fits well with how we understand professional identity today, where presenting ourselves is about sharing our values, skills, and what we can contribute to care (Zhang et al., 2021).</w:t>
      </w:r>
    </w:p>
    <w:p w14:paraId="0DD2FA3B" w14:textId="77777777" w:rsidR="0069187F" w:rsidRDefault="0069187F">
      <w:pPr>
        <w:spacing w:line="360" w:lineRule="auto"/>
        <w:jc w:val="both"/>
      </w:pPr>
    </w:p>
    <w:p w14:paraId="71D65FD4" w14:textId="77777777" w:rsidR="0069187F" w:rsidRDefault="00751C03">
      <w:pPr>
        <w:spacing w:line="360" w:lineRule="auto"/>
        <w:jc w:val="both"/>
      </w:pPr>
      <w:r>
        <w:t>The topic of what drives us helped us reflect on the core of our motivation. Key themes like autonomy, mastery, and meaningful work showed that staying engaged in care professions relies more on internal motivations than on outside rewards. This view matched the students' desire to work with people facing inequality, trauma, or social exclusion. Research on career adaptability shows that people who are motivated from within can better handle changing professional demands, especially in emotionally challenging fields like social care (Chen et al., 2020). Instead of seeing motivation as static, the unit encouraged us to view it as something we need to nurture and adapt as circumstances change.</w:t>
      </w:r>
    </w:p>
    <w:p w14:paraId="48274346" w14:textId="77777777" w:rsidR="0069187F" w:rsidRDefault="0069187F">
      <w:pPr>
        <w:spacing w:line="360" w:lineRule="auto"/>
        <w:jc w:val="both"/>
      </w:pPr>
    </w:p>
    <w:p w14:paraId="08A12BEF" w14:textId="0E210283" w:rsidR="0069187F" w:rsidRDefault="00751C03">
      <w:pPr>
        <w:spacing w:line="360" w:lineRule="auto"/>
        <w:jc w:val="both"/>
      </w:pPr>
      <w:r>
        <w:t xml:space="preserve">The discussion on </w:t>
      </w:r>
      <w:proofErr w:type="spellStart"/>
      <w:r>
        <w:t>boundaryless</w:t>
      </w:r>
      <w:proofErr w:type="spellEnd"/>
      <w:r>
        <w:t xml:space="preserve"> careers offered a different but related viewpoint. The shift away from traditional, predictable job paths to more flexible and varied careers reflects larger economic changes. The gig and open-talent economy, which features decentralized work and greater mobility, has changed how we navigate our careers (Woodcock and Graham, 2019). Experts say that while boundaryless careers can provide freedom, they can also lead to instability, varying workloads, and more responsibility for managing our own growth (Kost et al., 2020). Reflections during the unit showed that health and social care are also affected by these changes: working in teams, agency roles, and moving between sectors all show increasing flexibility (Kinsella et al., 2022). Additionally, recent research indicates that moving between roles often involves challenges, negotiations, and skill adjustments, complicating professional identity development (Dokko and Jiang, 2024). Understanding these dynamics helped me realize that a future career in social work may not follow a straight path, but will be shaped by changing needs, opportunities, and structural pressures.</w:t>
      </w:r>
    </w:p>
    <w:p w14:paraId="39E46D6A" w14:textId="77777777" w:rsidR="00DC5470" w:rsidRPr="00572EF4" w:rsidRDefault="00DC5470">
      <w:pPr>
        <w:spacing w:line="360" w:lineRule="auto"/>
        <w:jc w:val="both"/>
      </w:pPr>
    </w:p>
    <w:p w14:paraId="1632CD31" w14:textId="77777777" w:rsidR="00572EF4" w:rsidRDefault="00572EF4">
      <w:pPr>
        <w:spacing w:line="360" w:lineRule="auto"/>
        <w:jc w:val="both"/>
        <w:rPr>
          <w:b/>
          <w:bCs/>
        </w:rPr>
      </w:pPr>
    </w:p>
    <w:p w14:paraId="0C1936E5" w14:textId="77777777" w:rsidR="00326968" w:rsidRDefault="00326968">
      <w:pPr>
        <w:spacing w:line="360" w:lineRule="auto"/>
        <w:jc w:val="both"/>
        <w:rPr>
          <w:b/>
          <w:bCs/>
        </w:rPr>
      </w:pPr>
    </w:p>
    <w:p w14:paraId="5B6E17F3" w14:textId="77777777" w:rsidR="00326968" w:rsidRDefault="00326968">
      <w:pPr>
        <w:spacing w:line="360" w:lineRule="auto"/>
        <w:jc w:val="both"/>
        <w:rPr>
          <w:b/>
          <w:bCs/>
        </w:rPr>
      </w:pPr>
    </w:p>
    <w:p w14:paraId="05F88DE2" w14:textId="77777777" w:rsidR="00326968" w:rsidRDefault="00326968">
      <w:pPr>
        <w:spacing w:line="360" w:lineRule="auto"/>
        <w:jc w:val="both"/>
        <w:rPr>
          <w:b/>
          <w:bCs/>
        </w:rPr>
      </w:pPr>
    </w:p>
    <w:p w14:paraId="4954901C" w14:textId="77777777" w:rsidR="00326968" w:rsidRDefault="00326968">
      <w:pPr>
        <w:spacing w:line="360" w:lineRule="auto"/>
        <w:jc w:val="both"/>
        <w:rPr>
          <w:b/>
          <w:bCs/>
        </w:rPr>
      </w:pPr>
    </w:p>
    <w:p w14:paraId="6765CBA9" w14:textId="77777777" w:rsidR="00326968" w:rsidRDefault="00326968">
      <w:pPr>
        <w:spacing w:line="360" w:lineRule="auto"/>
        <w:jc w:val="both"/>
        <w:rPr>
          <w:b/>
          <w:bCs/>
        </w:rPr>
      </w:pPr>
    </w:p>
    <w:p w14:paraId="6F56357B" w14:textId="77777777" w:rsidR="00326968" w:rsidRDefault="00326968">
      <w:pPr>
        <w:spacing w:line="360" w:lineRule="auto"/>
        <w:jc w:val="both"/>
        <w:rPr>
          <w:b/>
          <w:bCs/>
        </w:rPr>
      </w:pPr>
    </w:p>
    <w:p w14:paraId="392BFB51" w14:textId="77777777" w:rsidR="00326968" w:rsidRDefault="00326968">
      <w:pPr>
        <w:spacing w:line="360" w:lineRule="auto"/>
        <w:jc w:val="both"/>
        <w:rPr>
          <w:b/>
          <w:bCs/>
        </w:rPr>
      </w:pPr>
    </w:p>
    <w:p w14:paraId="4AC39089" w14:textId="77777777" w:rsidR="00326968" w:rsidRDefault="00326968">
      <w:pPr>
        <w:spacing w:line="360" w:lineRule="auto"/>
        <w:jc w:val="both"/>
        <w:rPr>
          <w:b/>
          <w:bCs/>
        </w:rPr>
      </w:pPr>
    </w:p>
    <w:p w14:paraId="725DBE9F" w14:textId="77777777" w:rsidR="00326968" w:rsidRDefault="00326968">
      <w:pPr>
        <w:spacing w:line="360" w:lineRule="auto"/>
        <w:jc w:val="both"/>
        <w:rPr>
          <w:b/>
          <w:bCs/>
        </w:rPr>
      </w:pPr>
    </w:p>
    <w:p w14:paraId="30ADD6F3" w14:textId="77777777" w:rsidR="00326968" w:rsidRDefault="00326968">
      <w:pPr>
        <w:spacing w:line="360" w:lineRule="auto"/>
        <w:jc w:val="both"/>
        <w:rPr>
          <w:b/>
          <w:bCs/>
        </w:rPr>
      </w:pPr>
    </w:p>
    <w:p w14:paraId="022311C3" w14:textId="77777777" w:rsidR="00326968" w:rsidRDefault="00326968">
      <w:pPr>
        <w:spacing w:line="360" w:lineRule="auto"/>
        <w:jc w:val="both"/>
        <w:rPr>
          <w:b/>
          <w:bCs/>
        </w:rPr>
      </w:pPr>
    </w:p>
    <w:p w14:paraId="6FC7C8BF" w14:textId="77777777" w:rsidR="00326968" w:rsidRDefault="00326968">
      <w:pPr>
        <w:spacing w:line="360" w:lineRule="auto"/>
        <w:jc w:val="both"/>
        <w:rPr>
          <w:b/>
          <w:bCs/>
        </w:rPr>
      </w:pPr>
    </w:p>
    <w:p w14:paraId="39942891" w14:textId="3D8258AD" w:rsidR="00045305" w:rsidRDefault="00F5033F">
      <w:pPr>
        <w:spacing w:line="360" w:lineRule="auto"/>
        <w:jc w:val="both"/>
        <w:rPr>
          <w:b/>
          <w:bCs/>
        </w:rPr>
      </w:pPr>
      <w:r>
        <w:rPr>
          <w:b/>
          <w:bCs/>
        </w:rPr>
        <w:t xml:space="preserve">Figure 1: My </w:t>
      </w:r>
      <w:r w:rsidR="000173A3">
        <w:rPr>
          <w:b/>
          <w:bCs/>
        </w:rPr>
        <w:t>Career goal 3steps</w:t>
      </w:r>
    </w:p>
    <w:p w14:paraId="2350C111" w14:textId="77777777" w:rsidR="00AD3316" w:rsidRPr="001D3251" w:rsidRDefault="00AD3316">
      <w:pPr>
        <w:spacing w:line="360" w:lineRule="auto"/>
        <w:jc w:val="both"/>
        <w:rPr>
          <w:b/>
          <w:bCs/>
        </w:rPr>
      </w:pPr>
    </w:p>
    <w:p w14:paraId="59E4C5A7" w14:textId="77777777" w:rsidR="00D35F44" w:rsidRDefault="00D35F44">
      <w:pPr>
        <w:spacing w:line="360" w:lineRule="auto"/>
        <w:jc w:val="both"/>
        <w:rPr>
          <w:b/>
          <w:bCs/>
        </w:rPr>
      </w:pPr>
    </w:p>
    <w:p w14:paraId="100F2D6A" w14:textId="04B9DC88" w:rsidR="00D35F44" w:rsidRDefault="00D35F44">
      <w:pPr>
        <w:spacing w:line="360" w:lineRule="auto"/>
        <w:jc w:val="both"/>
        <w:rPr>
          <w:b/>
          <w:bCs/>
        </w:rPr>
      </w:pPr>
    </w:p>
    <w:p w14:paraId="01D6D946" w14:textId="7894C021" w:rsidR="0069187F" w:rsidRDefault="00DE1319">
      <w:pPr>
        <w:spacing w:line="360" w:lineRule="auto"/>
        <w:jc w:val="both"/>
        <w:rPr>
          <w:b/>
        </w:rPr>
      </w:pPr>
      <w:r>
        <w:rPr>
          <w:noProof/>
        </w:rPr>
        <w:drawing>
          <wp:anchor distT="0" distB="0" distL="114300" distR="114300" simplePos="0" relativeHeight="251658246" behindDoc="0" locked="0" layoutInCell="1" allowOverlap="1" wp14:anchorId="56A23729" wp14:editId="33A09D15">
            <wp:simplePos x="0" y="0"/>
            <wp:positionH relativeFrom="column">
              <wp:posOffset>-443909</wp:posOffset>
            </wp:positionH>
            <wp:positionV relativeFrom="paragraph">
              <wp:posOffset>191002</wp:posOffset>
            </wp:positionV>
            <wp:extent cx="5461000" cy="3583940"/>
            <wp:effectExtent l="0" t="0" r="0" b="0"/>
            <wp:wrapTopAndBottom/>
            <wp:docPr id="2924283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28399" name="Picture 292428399"/>
                    <pic:cNvPicPr/>
                  </pic:nvPicPr>
                  <pic:blipFill>
                    <a:blip r:embed="rId8">
                      <a:extLst>
                        <a:ext uri="{28A0092B-C50C-407E-A947-70E740481C1C}">
                          <a14:useLocalDpi xmlns:a14="http://schemas.microsoft.com/office/drawing/2010/main" val="0"/>
                        </a:ext>
                      </a:extLst>
                    </a:blip>
                    <a:stretch>
                      <a:fillRect/>
                    </a:stretch>
                  </pic:blipFill>
                  <pic:spPr>
                    <a:xfrm>
                      <a:off x="0" y="0"/>
                      <a:ext cx="5461000" cy="3583940"/>
                    </a:xfrm>
                    <a:prstGeom prst="rect">
                      <a:avLst/>
                    </a:prstGeom>
                  </pic:spPr>
                </pic:pic>
              </a:graphicData>
            </a:graphic>
            <wp14:sizeRelV relativeFrom="margin">
              <wp14:pctHeight>0</wp14:pctHeight>
            </wp14:sizeRelV>
          </wp:anchor>
        </w:drawing>
      </w:r>
    </w:p>
    <w:p w14:paraId="2B4073E3" w14:textId="61ED6A12" w:rsidR="000F365F" w:rsidRDefault="000F365F">
      <w:pPr>
        <w:spacing w:line="360" w:lineRule="auto"/>
        <w:jc w:val="both"/>
        <w:rPr>
          <w:color w:val="FF0000"/>
        </w:rPr>
      </w:pPr>
    </w:p>
    <w:p w14:paraId="476C34D1" w14:textId="496E72A1" w:rsidR="00DE1319" w:rsidRDefault="00DE1319">
      <w:pPr>
        <w:spacing w:line="360" w:lineRule="auto"/>
        <w:jc w:val="both"/>
        <w:rPr>
          <w:color w:val="FF0000"/>
        </w:rPr>
      </w:pPr>
    </w:p>
    <w:p w14:paraId="07499645" w14:textId="7D037759" w:rsidR="0069187F" w:rsidRPr="00E31633" w:rsidRDefault="000D32C5">
      <w:pPr>
        <w:spacing w:line="360" w:lineRule="auto"/>
        <w:jc w:val="both"/>
        <w:rPr>
          <w:b/>
          <w:color w:val="000000" w:themeColor="text1"/>
        </w:rPr>
      </w:pPr>
      <w:r>
        <w:rPr>
          <w:color w:val="000000" w:themeColor="text1"/>
        </w:rPr>
        <w:t xml:space="preserve">Figure 2: </w:t>
      </w:r>
      <w:r w:rsidR="00EC37D8">
        <w:rPr>
          <w:color w:val="000000" w:themeColor="text1"/>
        </w:rPr>
        <w:t>What I am</w:t>
      </w:r>
      <w:r w:rsidR="00FA006C">
        <w:rPr>
          <w:color w:val="000000" w:themeColor="text1"/>
        </w:rPr>
        <w:t xml:space="preserve"> going </w:t>
      </w:r>
      <w:r w:rsidR="008662AA">
        <w:rPr>
          <w:color w:val="000000" w:themeColor="text1"/>
        </w:rPr>
        <w:t xml:space="preserve">to do after finish my degree </w:t>
      </w:r>
    </w:p>
    <w:p w14:paraId="0246F38A" w14:textId="77777777" w:rsidR="00172798" w:rsidRDefault="00172798">
      <w:pPr>
        <w:spacing w:line="360" w:lineRule="auto"/>
        <w:jc w:val="both"/>
        <w:rPr>
          <w:color w:val="FF0000"/>
        </w:rPr>
      </w:pPr>
    </w:p>
    <w:p w14:paraId="30CF1468" w14:textId="08E93C80" w:rsidR="00BA2FE3" w:rsidRDefault="00BA2FE3">
      <w:pPr>
        <w:spacing w:line="360" w:lineRule="auto"/>
        <w:jc w:val="both"/>
        <w:rPr>
          <w:color w:val="FF0000"/>
        </w:rPr>
      </w:pPr>
    </w:p>
    <w:p w14:paraId="395CDFD8" w14:textId="77777777" w:rsidR="00BA2FE3" w:rsidRDefault="00BA2FE3">
      <w:pPr>
        <w:spacing w:line="360" w:lineRule="auto"/>
        <w:jc w:val="both"/>
        <w:rPr>
          <w:color w:val="FF0000"/>
        </w:rPr>
      </w:pPr>
    </w:p>
    <w:p w14:paraId="2DF0C587" w14:textId="49271897" w:rsidR="00BA2FE3" w:rsidRDefault="00BA2FE3">
      <w:pPr>
        <w:spacing w:line="360" w:lineRule="auto"/>
        <w:jc w:val="both"/>
        <w:rPr>
          <w:b/>
          <w:bCs/>
          <w:color w:val="FF0000"/>
        </w:rPr>
      </w:pPr>
    </w:p>
    <w:p w14:paraId="5711B6C3" w14:textId="42ACFFC6" w:rsidR="00641F3D" w:rsidRPr="00DD3AD6" w:rsidRDefault="00B26125">
      <w:pPr>
        <w:spacing w:line="360" w:lineRule="auto"/>
        <w:jc w:val="both"/>
        <w:rPr>
          <w:b/>
          <w:bCs/>
          <w:color w:val="FF0000"/>
        </w:rPr>
      </w:pPr>
      <w:r>
        <w:rPr>
          <w:b/>
          <w:bCs/>
          <w:noProof/>
          <w:color w:val="FF0000"/>
        </w:rPr>
        <w:drawing>
          <wp:anchor distT="0" distB="0" distL="114300" distR="114300" simplePos="0" relativeHeight="251658247" behindDoc="0" locked="0" layoutInCell="1" allowOverlap="1" wp14:anchorId="01DD14FE" wp14:editId="197B0162">
            <wp:simplePos x="0" y="0"/>
            <wp:positionH relativeFrom="column">
              <wp:posOffset>0</wp:posOffset>
            </wp:positionH>
            <wp:positionV relativeFrom="paragraph">
              <wp:posOffset>244475</wp:posOffset>
            </wp:positionV>
            <wp:extent cx="5461000" cy="3962400"/>
            <wp:effectExtent l="0" t="0" r="0" b="0"/>
            <wp:wrapTopAndBottom/>
            <wp:docPr id="517769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69612" name="Picture 517769612"/>
                    <pic:cNvPicPr/>
                  </pic:nvPicPr>
                  <pic:blipFill>
                    <a:blip r:embed="rId9">
                      <a:extLst>
                        <a:ext uri="{28A0092B-C50C-407E-A947-70E740481C1C}">
                          <a14:useLocalDpi xmlns:a14="http://schemas.microsoft.com/office/drawing/2010/main" val="0"/>
                        </a:ext>
                      </a:extLst>
                    </a:blip>
                    <a:stretch>
                      <a:fillRect/>
                    </a:stretch>
                  </pic:blipFill>
                  <pic:spPr>
                    <a:xfrm>
                      <a:off x="0" y="0"/>
                      <a:ext cx="5461000" cy="3962400"/>
                    </a:xfrm>
                    <a:prstGeom prst="rect">
                      <a:avLst/>
                    </a:prstGeom>
                  </pic:spPr>
                </pic:pic>
              </a:graphicData>
            </a:graphic>
          </wp:anchor>
        </w:drawing>
      </w:r>
    </w:p>
    <w:p w14:paraId="28D85820" w14:textId="13EC82EF" w:rsidR="00BA2FE3" w:rsidRDefault="00BA2FE3">
      <w:pPr>
        <w:spacing w:line="360" w:lineRule="auto"/>
        <w:jc w:val="both"/>
        <w:rPr>
          <w:color w:val="FF0000"/>
        </w:rPr>
      </w:pPr>
    </w:p>
    <w:p w14:paraId="2D168865" w14:textId="77777777" w:rsidR="0069187F" w:rsidRDefault="0069187F">
      <w:pPr>
        <w:spacing w:line="360" w:lineRule="auto"/>
        <w:jc w:val="both"/>
      </w:pPr>
    </w:p>
    <w:p w14:paraId="547B4E6D" w14:textId="77777777" w:rsidR="0069187F" w:rsidRDefault="0069187F">
      <w:pPr>
        <w:spacing w:line="360" w:lineRule="auto"/>
        <w:jc w:val="both"/>
      </w:pPr>
    </w:p>
    <w:p w14:paraId="197C8D3B" w14:textId="34FE4948" w:rsidR="0069187F" w:rsidRDefault="00751C03">
      <w:pPr>
        <w:pStyle w:val="Heading1"/>
        <w:spacing w:line="360" w:lineRule="auto"/>
        <w:jc w:val="both"/>
      </w:pPr>
      <w:bookmarkStart w:id="2" w:name="_Toc215779962"/>
      <w:r>
        <w:rPr>
          <w:b/>
          <w:bCs/>
          <w:sz w:val="22"/>
          <w:szCs w:val="22"/>
        </w:rPr>
        <w:t xml:space="preserve">Task 2 </w:t>
      </w:r>
      <w:r w:rsidR="00C8118D">
        <w:rPr>
          <w:b/>
          <w:bCs/>
          <w:sz w:val="22"/>
          <w:szCs w:val="22"/>
        </w:rPr>
        <w:t>-</w:t>
      </w:r>
      <w:r>
        <w:rPr>
          <w:b/>
          <w:bCs/>
          <w:sz w:val="22"/>
          <w:szCs w:val="22"/>
        </w:rPr>
        <w:t xml:space="preserve"> Reflection on Unit 2: It’s a Small World</w:t>
      </w:r>
      <w:bookmarkEnd w:id="2"/>
    </w:p>
    <w:p w14:paraId="5A42DDE8" w14:textId="77777777" w:rsidR="0069187F" w:rsidRDefault="00751C03">
      <w:pPr>
        <w:spacing w:line="360" w:lineRule="auto"/>
        <w:jc w:val="both"/>
      </w:pPr>
      <w:r>
        <w:t>Unit 2 helped me understand how global and local networks support modern health and social care systems. It showed that effective practice doesn’t happen alone; it’s part of many overlapping networks that include professionals, service users, commissioners, community organizations, and international bodies. This view encouraged us to think critically about how these interconnected systems affect daily decisions, resource distribution, and the quality of care.</w:t>
      </w:r>
    </w:p>
    <w:p w14:paraId="52480671" w14:textId="417AECFA" w:rsidR="0069187F" w:rsidRPr="003A647E" w:rsidRDefault="0069187F">
      <w:pPr>
        <w:spacing w:line="360" w:lineRule="auto"/>
        <w:jc w:val="both"/>
        <w:rPr>
          <w:b/>
          <w:bCs/>
        </w:rPr>
      </w:pPr>
    </w:p>
    <w:p w14:paraId="302BEBE0" w14:textId="0813BB5E" w:rsidR="0069187F" w:rsidRDefault="00751C03">
      <w:pPr>
        <w:spacing w:line="360" w:lineRule="auto"/>
        <w:jc w:val="both"/>
      </w:pPr>
      <w:r>
        <w:t>A key theme was evaluating my own professional and personal networks. Haruta and Tsugawa’s (2021) typology of networks helped me identify formal, informal, strong-tie, and weak-tie connections. This framework encouraged me to reflect on how different relationships support learning, collaboration, and emotional resilience. It also highlighted the importance of weak-tie networks, which often provide access to new ideas and opportunities that we might not find in close circles. Understanding how to evaluate networks helped us become more aware of our developing professional identity and the connections we may need in the future.</w:t>
      </w:r>
    </w:p>
    <w:p w14:paraId="2004CD83" w14:textId="77777777" w:rsidR="0069187F" w:rsidRDefault="0069187F">
      <w:pPr>
        <w:spacing w:line="360" w:lineRule="auto"/>
        <w:jc w:val="both"/>
      </w:pPr>
    </w:p>
    <w:p w14:paraId="734CEBF6" w14:textId="77777777" w:rsidR="0069187F" w:rsidRDefault="00751C03">
      <w:pPr>
        <w:spacing w:line="360" w:lineRule="auto"/>
        <w:jc w:val="both"/>
      </w:pPr>
      <w:r>
        <w:t>The unit also discussed global networks and how they shape health and social care through international knowledge, policies, and workforce mobility. Wile networks in global health system contribute to innovation, they can also reinforce inequalities if power is held by a limited group of people (Agyekum et al., 2023). This insight encouraged us to think about our responsibility as future social workers to engage with networks that challenge inequity. Building diverse and inclusive networks is a way to improve practice, not just a task for career advancement.</w:t>
      </w:r>
    </w:p>
    <w:p w14:paraId="6905203F" w14:textId="77777777" w:rsidR="0069187F" w:rsidRDefault="0069187F">
      <w:pPr>
        <w:spacing w:line="360" w:lineRule="auto"/>
        <w:jc w:val="both"/>
      </w:pPr>
    </w:p>
    <w:p w14:paraId="04B2EFAD" w14:textId="5CB46FAD" w:rsidR="0069187F" w:rsidRDefault="00751C03">
      <w:pPr>
        <w:spacing w:line="360" w:lineRule="auto"/>
        <w:jc w:val="both"/>
      </w:pPr>
      <w:r>
        <w:t xml:space="preserve">Another important theme was how networks shape the future of health and social care professions. The growing complexity of healthcare needs collaboration across sectors, making network skills essential (Hargroves et al., 2022). Reflecting on this helped us realize that effective social work relies on navigating multi-agency environments, communicating well, and using connections to advocate for vulnerable individuals. The unit reframed networking </w:t>
      </w:r>
      <w:r w:rsidR="00C8118D">
        <w:t>to</w:t>
      </w:r>
      <w:r>
        <w:t xml:space="preserve"> enhance practice and improve outcomes for service users, rather than just self-promotion.</w:t>
      </w:r>
    </w:p>
    <w:p w14:paraId="4E8777B2" w14:textId="3214BE32" w:rsidR="0069187F" w:rsidRPr="007B5C94" w:rsidRDefault="009A6CF4">
      <w:pPr>
        <w:spacing w:line="360" w:lineRule="auto"/>
        <w:jc w:val="both"/>
        <w:rPr>
          <w:b/>
          <w:color w:val="000000" w:themeColor="text1"/>
        </w:rPr>
      </w:pPr>
      <w:r w:rsidRPr="007B5C94">
        <w:rPr>
          <w:b/>
          <w:color w:val="000000" w:themeColor="text1"/>
        </w:rPr>
        <w:drawing>
          <wp:anchor distT="0" distB="0" distL="114300" distR="114300" simplePos="0" relativeHeight="251658240" behindDoc="0" locked="0" layoutInCell="1" allowOverlap="1" wp14:anchorId="0AE6CFD9" wp14:editId="16B0D515">
            <wp:simplePos x="0" y="0"/>
            <wp:positionH relativeFrom="column">
              <wp:posOffset>0</wp:posOffset>
            </wp:positionH>
            <wp:positionV relativeFrom="paragraph">
              <wp:posOffset>243840</wp:posOffset>
            </wp:positionV>
            <wp:extent cx="5461000" cy="5346700"/>
            <wp:effectExtent l="0" t="0" r="0" b="0"/>
            <wp:wrapTopAndBottom/>
            <wp:docPr id="1033832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32483" name="Picture 1033832483"/>
                    <pic:cNvPicPr/>
                  </pic:nvPicPr>
                  <pic:blipFill>
                    <a:blip r:embed="rId10">
                      <a:extLst>
                        <a:ext uri="{28A0092B-C50C-407E-A947-70E740481C1C}">
                          <a14:useLocalDpi xmlns:a14="http://schemas.microsoft.com/office/drawing/2010/main" val="0"/>
                        </a:ext>
                      </a:extLst>
                    </a:blip>
                    <a:stretch>
                      <a:fillRect/>
                    </a:stretch>
                  </pic:blipFill>
                  <pic:spPr>
                    <a:xfrm>
                      <a:off x="0" y="0"/>
                      <a:ext cx="5461000" cy="5346700"/>
                    </a:xfrm>
                    <a:prstGeom prst="rect">
                      <a:avLst/>
                    </a:prstGeom>
                  </pic:spPr>
                </pic:pic>
              </a:graphicData>
            </a:graphic>
          </wp:anchor>
        </w:drawing>
      </w:r>
      <w:r w:rsidR="001E3D96" w:rsidRPr="007B5C94">
        <w:rPr>
          <w:b/>
          <w:bCs/>
          <w:color w:val="000000" w:themeColor="text1"/>
        </w:rPr>
        <w:t>Figure</w:t>
      </w:r>
      <w:r w:rsidR="001E3D96" w:rsidRPr="007B5C94">
        <w:rPr>
          <w:b/>
          <w:color w:val="000000" w:themeColor="text1"/>
        </w:rPr>
        <w:t xml:space="preserve"> </w:t>
      </w:r>
      <w:r w:rsidR="008C3A22" w:rsidRPr="007B5C94">
        <w:rPr>
          <w:b/>
          <w:color w:val="000000" w:themeColor="text1"/>
        </w:rPr>
        <w:t xml:space="preserve">3: </w:t>
      </w:r>
      <w:r w:rsidR="00717718" w:rsidRPr="007B5C94">
        <w:rPr>
          <w:b/>
          <w:color w:val="000000" w:themeColor="text1"/>
        </w:rPr>
        <w:t xml:space="preserve">Networking meaning </w:t>
      </w:r>
    </w:p>
    <w:p w14:paraId="7DCFDEDB" w14:textId="347AAA86" w:rsidR="002C0984" w:rsidRDefault="002C0984">
      <w:pPr>
        <w:spacing w:line="360" w:lineRule="auto"/>
        <w:jc w:val="both"/>
        <w:rPr>
          <w:b/>
          <w:bCs/>
          <w:color w:val="FF0000"/>
        </w:rPr>
      </w:pPr>
    </w:p>
    <w:p w14:paraId="3E07CE9E" w14:textId="37468E55" w:rsidR="0069187F" w:rsidRDefault="00DF55FA">
      <w:pPr>
        <w:spacing w:line="360" w:lineRule="auto"/>
        <w:jc w:val="both"/>
      </w:pPr>
      <w:r>
        <w:t xml:space="preserve"> </w:t>
      </w:r>
    </w:p>
    <w:p w14:paraId="188D733D" w14:textId="18689E21" w:rsidR="00DF55FA" w:rsidRDefault="00DF55FA">
      <w:pPr>
        <w:spacing w:line="360" w:lineRule="auto"/>
        <w:jc w:val="both"/>
      </w:pPr>
      <w:r>
        <w:t xml:space="preserve">Figure 3: Networking health and social care important </w:t>
      </w:r>
    </w:p>
    <w:p w14:paraId="39843E37" w14:textId="77777777" w:rsidR="0010014A" w:rsidRDefault="0010014A">
      <w:pPr>
        <w:spacing w:line="360" w:lineRule="auto"/>
        <w:jc w:val="both"/>
      </w:pPr>
    </w:p>
    <w:p w14:paraId="4AA95D14" w14:textId="77777777" w:rsidR="00E3752B" w:rsidRDefault="00E3752B">
      <w:pPr>
        <w:spacing w:line="360" w:lineRule="auto"/>
        <w:jc w:val="both"/>
      </w:pPr>
    </w:p>
    <w:p w14:paraId="047658CF" w14:textId="77777777" w:rsidR="00E3752B" w:rsidRDefault="00E3752B">
      <w:pPr>
        <w:spacing w:line="360" w:lineRule="auto"/>
        <w:jc w:val="both"/>
      </w:pPr>
    </w:p>
    <w:p w14:paraId="7C646F3C" w14:textId="77777777" w:rsidR="00E3752B" w:rsidRDefault="00E3752B">
      <w:pPr>
        <w:spacing w:line="360" w:lineRule="auto"/>
        <w:jc w:val="both"/>
      </w:pPr>
    </w:p>
    <w:p w14:paraId="588093AE" w14:textId="77777777" w:rsidR="00E3752B" w:rsidRDefault="00E3752B">
      <w:pPr>
        <w:spacing w:line="360" w:lineRule="auto"/>
        <w:jc w:val="both"/>
      </w:pPr>
    </w:p>
    <w:p w14:paraId="550971D6" w14:textId="77777777" w:rsidR="00E3752B" w:rsidRDefault="00E3752B">
      <w:pPr>
        <w:spacing w:line="360" w:lineRule="auto"/>
        <w:jc w:val="both"/>
      </w:pPr>
    </w:p>
    <w:p w14:paraId="3033290E" w14:textId="77777777" w:rsidR="00E3752B" w:rsidRDefault="00E3752B">
      <w:pPr>
        <w:spacing w:line="360" w:lineRule="auto"/>
        <w:jc w:val="both"/>
      </w:pPr>
    </w:p>
    <w:p w14:paraId="58263CDE" w14:textId="77777777" w:rsidR="00E3752B" w:rsidRDefault="00E3752B">
      <w:pPr>
        <w:spacing w:line="360" w:lineRule="auto"/>
        <w:jc w:val="both"/>
      </w:pPr>
    </w:p>
    <w:p w14:paraId="0B34C617" w14:textId="77777777" w:rsidR="00E3752B" w:rsidRDefault="00E3752B">
      <w:pPr>
        <w:spacing w:line="360" w:lineRule="auto"/>
        <w:jc w:val="both"/>
      </w:pPr>
    </w:p>
    <w:p w14:paraId="51C6C851" w14:textId="77777777" w:rsidR="00E3752B" w:rsidRDefault="00E3752B">
      <w:pPr>
        <w:spacing w:line="360" w:lineRule="auto"/>
        <w:jc w:val="both"/>
      </w:pPr>
    </w:p>
    <w:p w14:paraId="5A84C712" w14:textId="77777777" w:rsidR="00E3752B" w:rsidRDefault="00E3752B">
      <w:pPr>
        <w:spacing w:line="360" w:lineRule="auto"/>
        <w:jc w:val="both"/>
      </w:pPr>
    </w:p>
    <w:p w14:paraId="532719B7" w14:textId="77777777" w:rsidR="00E3752B" w:rsidRDefault="00E3752B">
      <w:pPr>
        <w:spacing w:line="360" w:lineRule="auto"/>
        <w:jc w:val="both"/>
      </w:pPr>
    </w:p>
    <w:p w14:paraId="448D84B3" w14:textId="28CF1232" w:rsidR="00E3752B" w:rsidRDefault="007B5C94">
      <w:pPr>
        <w:spacing w:line="360" w:lineRule="auto"/>
        <w:jc w:val="both"/>
      </w:pPr>
      <w:r>
        <w:rPr>
          <w:noProof/>
        </w:rPr>
        <w:drawing>
          <wp:anchor distT="0" distB="0" distL="114300" distR="114300" simplePos="0" relativeHeight="251658241" behindDoc="0" locked="0" layoutInCell="1" allowOverlap="1" wp14:anchorId="73DC2D51" wp14:editId="22F72BCD">
            <wp:simplePos x="0" y="0"/>
            <wp:positionH relativeFrom="column">
              <wp:posOffset>-164377</wp:posOffset>
            </wp:positionH>
            <wp:positionV relativeFrom="paragraph">
              <wp:posOffset>215428</wp:posOffset>
            </wp:positionV>
            <wp:extent cx="5461000" cy="2797810"/>
            <wp:effectExtent l="0" t="0" r="0" b="0"/>
            <wp:wrapTopAndBottom/>
            <wp:docPr id="160340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06630" name="Picture 1603406630"/>
                    <pic:cNvPicPr/>
                  </pic:nvPicPr>
                  <pic:blipFill>
                    <a:blip r:embed="rId11">
                      <a:extLst>
                        <a:ext uri="{28A0092B-C50C-407E-A947-70E740481C1C}">
                          <a14:useLocalDpi xmlns:a14="http://schemas.microsoft.com/office/drawing/2010/main" val="0"/>
                        </a:ext>
                      </a:extLst>
                    </a:blip>
                    <a:stretch>
                      <a:fillRect/>
                    </a:stretch>
                  </pic:blipFill>
                  <pic:spPr>
                    <a:xfrm>
                      <a:off x="0" y="0"/>
                      <a:ext cx="5461000" cy="2797810"/>
                    </a:xfrm>
                    <a:prstGeom prst="rect">
                      <a:avLst/>
                    </a:prstGeom>
                  </pic:spPr>
                </pic:pic>
              </a:graphicData>
            </a:graphic>
            <wp14:sizeRelV relativeFrom="margin">
              <wp14:pctHeight>0</wp14:pctHeight>
            </wp14:sizeRelV>
          </wp:anchor>
        </w:drawing>
      </w:r>
    </w:p>
    <w:p w14:paraId="23828F69" w14:textId="58D9AEFA" w:rsidR="00E3752B" w:rsidRDefault="00E3752B">
      <w:pPr>
        <w:spacing w:line="360" w:lineRule="auto"/>
        <w:jc w:val="both"/>
      </w:pPr>
    </w:p>
    <w:p w14:paraId="6AECF440" w14:textId="2C153836" w:rsidR="004127B0" w:rsidRDefault="004127B0">
      <w:pPr>
        <w:spacing w:line="360" w:lineRule="auto"/>
        <w:jc w:val="both"/>
      </w:pPr>
    </w:p>
    <w:p w14:paraId="5306F415" w14:textId="27DB406C" w:rsidR="007B5C94" w:rsidRDefault="007B5C94">
      <w:pPr>
        <w:spacing w:line="360" w:lineRule="auto"/>
        <w:jc w:val="both"/>
      </w:pPr>
    </w:p>
    <w:p w14:paraId="2FEEB26C" w14:textId="58A3BF12" w:rsidR="007B5C94" w:rsidRDefault="007B5C94">
      <w:pPr>
        <w:spacing w:line="360" w:lineRule="auto"/>
        <w:jc w:val="both"/>
      </w:pPr>
    </w:p>
    <w:p w14:paraId="4C8E4CE7" w14:textId="321D5E5E" w:rsidR="0069187F" w:rsidRDefault="00751C03">
      <w:pPr>
        <w:pStyle w:val="Heading1"/>
        <w:spacing w:line="360" w:lineRule="auto"/>
        <w:jc w:val="both"/>
        <w:rPr>
          <w:b/>
          <w:bCs/>
          <w:sz w:val="22"/>
          <w:szCs w:val="22"/>
        </w:rPr>
      </w:pPr>
      <w:bookmarkStart w:id="3" w:name="_Toc215779963"/>
      <w:r>
        <w:rPr>
          <w:b/>
          <w:bCs/>
          <w:sz w:val="22"/>
          <w:szCs w:val="22"/>
        </w:rPr>
        <w:t xml:space="preserve">Task 3 </w:t>
      </w:r>
      <w:r w:rsidR="00C8118D">
        <w:rPr>
          <w:b/>
          <w:bCs/>
          <w:sz w:val="22"/>
          <w:szCs w:val="22"/>
        </w:rPr>
        <w:t>-</w:t>
      </w:r>
      <w:r>
        <w:rPr>
          <w:b/>
          <w:bCs/>
          <w:sz w:val="22"/>
          <w:szCs w:val="22"/>
        </w:rPr>
        <w:t xml:space="preserve"> Reflection on Unit 3: Opportunity Knocks</w:t>
      </w:r>
      <w:bookmarkEnd w:id="3"/>
    </w:p>
    <w:p w14:paraId="0A291B07" w14:textId="745020BB" w:rsidR="0069187F" w:rsidRDefault="00751C03">
      <w:pPr>
        <w:spacing w:line="360" w:lineRule="auto"/>
        <w:jc w:val="both"/>
      </w:pPr>
      <w:r>
        <w:t>Unit 3 encouraged a thoughtful and engaged approach to finding and creating opportunities in health and social care. The activities showed that opportunities don’t just happen by chance; they come from being prepared, adaptable, and willing to have meaningful professional conversations. Reflecting on the unit made it clear that creating your own luck means actively working on personal growth and intentionally building knowledge, skills, and relationships. This approach shifted the focus from waiting for things to happen to taking charge, highlighting the importance of reflective practice in finding paths that match long-term goals.</w:t>
      </w:r>
    </w:p>
    <w:p w14:paraId="65FE9E9A" w14:textId="77777777" w:rsidR="0069187F" w:rsidRDefault="0069187F">
      <w:pPr>
        <w:spacing w:line="360" w:lineRule="auto"/>
        <w:jc w:val="both"/>
      </w:pPr>
    </w:p>
    <w:p w14:paraId="74176996" w14:textId="40B8CC7E" w:rsidR="0069187F" w:rsidRDefault="00751C03">
      <w:pPr>
        <w:spacing w:line="360" w:lineRule="auto"/>
        <w:jc w:val="both"/>
      </w:pPr>
      <w:r>
        <w:t>A key theme in the unit was the ability to spot and understand career opportunities in different settings. The activity encouraged thinking about how roles in health and social care often change due to social needs, policy updates, and organizational changes. Recognizing opportunities depends not just on knowing what roles are available, but also on being flexible enough to pursue them. Chen et al.’s (2020) work on career adaptability provided a helpful framework, explaining how concern, control, curiosity, and confidence work together to support career growth. These skills were clear throughout the activities that involved evaluating job descriptions, considering transferable skills, and exploring future job trends in the sector.</w:t>
      </w:r>
    </w:p>
    <w:p w14:paraId="413A920F" w14:textId="77777777" w:rsidR="0069187F" w:rsidRDefault="0069187F">
      <w:pPr>
        <w:spacing w:line="360" w:lineRule="auto"/>
        <w:jc w:val="both"/>
      </w:pPr>
    </w:p>
    <w:p w14:paraId="7F0218F2" w14:textId="139D58DC" w:rsidR="0069187F" w:rsidRDefault="00751C03">
      <w:pPr>
        <w:spacing w:line="360" w:lineRule="auto"/>
        <w:jc w:val="both"/>
      </w:pPr>
      <w:r>
        <w:t xml:space="preserve">Engaging with online tasks boosted confidence in navigating new roles. Joining discussion forums helped clarify what employers in health and social care value, such as values-based practice, resilience, communication skills, and teamwork. Reflecting on these expectations helped me recognize my strengths and areas for improvement. This </w:t>
      </w:r>
      <w:r w:rsidR="00C8118D">
        <w:t>highlighted</w:t>
      </w:r>
      <w:r>
        <w:t xml:space="preserve"> the importance of emotional intelligence, ethical reflection, and readiness to tackle complex social issues.</w:t>
      </w:r>
    </w:p>
    <w:p w14:paraId="0E83F168" w14:textId="77777777" w:rsidR="0069187F" w:rsidRDefault="0069187F">
      <w:pPr>
        <w:spacing w:line="360" w:lineRule="auto"/>
        <w:jc w:val="both"/>
      </w:pPr>
    </w:p>
    <w:p w14:paraId="76D0CF10" w14:textId="7D77309E" w:rsidR="0069187F" w:rsidRDefault="00751C03">
      <w:pPr>
        <w:spacing w:line="360" w:lineRule="auto"/>
        <w:jc w:val="both"/>
      </w:pPr>
      <w:r>
        <w:t xml:space="preserve">The unit also promoted a better understanding of how trust in future employers and professional networks can help create opportunities. Being open to conversations with practitioners, supervisors, and peers was identified as a </w:t>
      </w:r>
      <w:r w:rsidR="00C8118D">
        <w:t>keyway</w:t>
      </w:r>
      <w:r>
        <w:t xml:space="preserve"> to make opportunities visible. This included recognizing the value of informal interactions, moments when guidance, encouragement, or shared experiences can open ways that might not have been considered before. Unit 3 reinforced that creating opportunities is both about relationships and strategy, relying on ongoing engagement with the values and demands of modern health and social care work.</w:t>
      </w:r>
    </w:p>
    <w:p w14:paraId="43A48010" w14:textId="77777777" w:rsidR="0069187F" w:rsidRDefault="0069187F">
      <w:pPr>
        <w:spacing w:line="360" w:lineRule="auto"/>
        <w:jc w:val="both"/>
        <w:rPr>
          <w:b/>
          <w:bCs/>
        </w:rPr>
      </w:pPr>
    </w:p>
    <w:p w14:paraId="18D1CB58" w14:textId="77777777" w:rsidR="0069187F" w:rsidRDefault="0069187F">
      <w:pPr>
        <w:spacing w:line="360" w:lineRule="auto"/>
        <w:jc w:val="both"/>
        <w:rPr>
          <w:b/>
          <w:bCs/>
        </w:rPr>
      </w:pPr>
    </w:p>
    <w:p w14:paraId="4372A72A" w14:textId="2A6A33C6" w:rsidR="0069187F" w:rsidRPr="007B5C94" w:rsidRDefault="0029391B">
      <w:pPr>
        <w:spacing w:line="360" w:lineRule="auto"/>
        <w:jc w:val="both"/>
        <w:rPr>
          <w:b/>
          <w:color w:val="000000" w:themeColor="text1"/>
        </w:rPr>
      </w:pPr>
      <w:r w:rsidRPr="007B5C94">
        <w:rPr>
          <w:b/>
          <w:color w:val="000000" w:themeColor="text1"/>
        </w:rPr>
        <w:t xml:space="preserve">Figure 4: Job Opportunities </w:t>
      </w:r>
    </w:p>
    <w:p w14:paraId="09139C45" w14:textId="3A5609E1" w:rsidR="0029391B" w:rsidRDefault="00C821B6">
      <w:pPr>
        <w:spacing w:line="360" w:lineRule="auto"/>
        <w:jc w:val="both"/>
        <w:rPr>
          <w:b/>
          <w:bCs/>
          <w:color w:val="FF0000"/>
        </w:rPr>
      </w:pPr>
      <w:r>
        <w:rPr>
          <w:b/>
          <w:bCs/>
          <w:noProof/>
          <w:color w:val="FF0000"/>
        </w:rPr>
        <w:drawing>
          <wp:anchor distT="0" distB="0" distL="114300" distR="114300" simplePos="0" relativeHeight="251658242" behindDoc="0" locked="0" layoutInCell="1" allowOverlap="1" wp14:anchorId="6A387BCC" wp14:editId="6E7235AD">
            <wp:simplePos x="0" y="0"/>
            <wp:positionH relativeFrom="column">
              <wp:posOffset>0</wp:posOffset>
            </wp:positionH>
            <wp:positionV relativeFrom="paragraph">
              <wp:posOffset>0</wp:posOffset>
            </wp:positionV>
            <wp:extent cx="5461000" cy="4927600"/>
            <wp:effectExtent l="0" t="0" r="0" b="0"/>
            <wp:wrapTopAndBottom/>
            <wp:docPr id="1597870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70483" name="Picture 1597870483"/>
                    <pic:cNvPicPr/>
                  </pic:nvPicPr>
                  <pic:blipFill>
                    <a:blip r:embed="rId12">
                      <a:extLst>
                        <a:ext uri="{28A0092B-C50C-407E-A947-70E740481C1C}">
                          <a14:useLocalDpi xmlns:a14="http://schemas.microsoft.com/office/drawing/2010/main" val="0"/>
                        </a:ext>
                      </a:extLst>
                    </a:blip>
                    <a:stretch>
                      <a:fillRect/>
                    </a:stretch>
                  </pic:blipFill>
                  <pic:spPr>
                    <a:xfrm>
                      <a:off x="0" y="0"/>
                      <a:ext cx="5461000" cy="4927600"/>
                    </a:xfrm>
                    <a:prstGeom prst="rect">
                      <a:avLst/>
                    </a:prstGeom>
                  </pic:spPr>
                </pic:pic>
              </a:graphicData>
            </a:graphic>
          </wp:anchor>
        </w:drawing>
      </w:r>
    </w:p>
    <w:p w14:paraId="2083D8F1" w14:textId="086288CE" w:rsidR="0069187F" w:rsidRPr="007B5C94" w:rsidRDefault="00584A0D">
      <w:pPr>
        <w:spacing w:line="360" w:lineRule="auto"/>
        <w:jc w:val="both"/>
        <w:rPr>
          <w:b/>
          <w:color w:val="000000" w:themeColor="text1"/>
        </w:rPr>
      </w:pPr>
      <w:r w:rsidRPr="007B5C94">
        <w:rPr>
          <w:b/>
          <w:color w:val="000000" w:themeColor="text1"/>
        </w:rPr>
        <w:t xml:space="preserve">Figure </w:t>
      </w:r>
      <w:r w:rsidR="001507F8" w:rsidRPr="007B5C94">
        <w:rPr>
          <w:b/>
          <w:color w:val="000000" w:themeColor="text1"/>
        </w:rPr>
        <w:t>5: Refl</w:t>
      </w:r>
      <w:r w:rsidR="008F7047" w:rsidRPr="007B5C94">
        <w:rPr>
          <w:b/>
          <w:color w:val="000000" w:themeColor="text1"/>
        </w:rPr>
        <w:t>e</w:t>
      </w:r>
      <w:r w:rsidR="007D6539" w:rsidRPr="007B5C94">
        <w:rPr>
          <w:b/>
          <w:color w:val="000000" w:themeColor="text1"/>
        </w:rPr>
        <w:t xml:space="preserve">ction </w:t>
      </w:r>
    </w:p>
    <w:p w14:paraId="4477309E" w14:textId="77777777" w:rsidR="003578B9" w:rsidRPr="007B5C94" w:rsidRDefault="003578B9">
      <w:pPr>
        <w:spacing w:line="360" w:lineRule="auto"/>
        <w:jc w:val="both"/>
        <w:rPr>
          <w:b/>
          <w:color w:val="000000" w:themeColor="text1"/>
        </w:rPr>
      </w:pPr>
    </w:p>
    <w:p w14:paraId="75553AB7" w14:textId="77777777" w:rsidR="003578B9" w:rsidRPr="007B5C94" w:rsidRDefault="003578B9">
      <w:pPr>
        <w:spacing w:line="360" w:lineRule="auto"/>
        <w:jc w:val="both"/>
        <w:rPr>
          <w:b/>
          <w:color w:val="000000" w:themeColor="text1"/>
        </w:rPr>
      </w:pPr>
    </w:p>
    <w:p w14:paraId="486A4A77" w14:textId="77777777" w:rsidR="003578B9" w:rsidRDefault="003578B9">
      <w:pPr>
        <w:spacing w:line="360" w:lineRule="auto"/>
        <w:jc w:val="both"/>
        <w:rPr>
          <w:b/>
          <w:bCs/>
          <w:color w:val="FF0000"/>
        </w:rPr>
      </w:pPr>
    </w:p>
    <w:p w14:paraId="0CE6557B" w14:textId="77777777" w:rsidR="003578B9" w:rsidRDefault="003578B9">
      <w:pPr>
        <w:spacing w:line="360" w:lineRule="auto"/>
        <w:jc w:val="both"/>
        <w:rPr>
          <w:b/>
          <w:bCs/>
          <w:color w:val="FF0000"/>
        </w:rPr>
      </w:pPr>
    </w:p>
    <w:p w14:paraId="67281C39" w14:textId="77777777" w:rsidR="00631310" w:rsidRDefault="00631310">
      <w:pPr>
        <w:spacing w:line="360" w:lineRule="auto"/>
        <w:jc w:val="both"/>
        <w:rPr>
          <w:b/>
          <w:bCs/>
          <w:color w:val="FF0000"/>
        </w:rPr>
      </w:pPr>
    </w:p>
    <w:p w14:paraId="21D72F45" w14:textId="727D7991" w:rsidR="00631310" w:rsidRDefault="00631310">
      <w:pPr>
        <w:spacing w:line="360" w:lineRule="auto"/>
        <w:jc w:val="both"/>
        <w:rPr>
          <w:b/>
          <w:bCs/>
          <w:color w:val="FF0000"/>
        </w:rPr>
      </w:pPr>
    </w:p>
    <w:p w14:paraId="3018CA43" w14:textId="77777777" w:rsidR="003578B9" w:rsidRDefault="003578B9">
      <w:pPr>
        <w:spacing w:line="360" w:lineRule="auto"/>
        <w:jc w:val="both"/>
        <w:rPr>
          <w:b/>
          <w:bCs/>
          <w:color w:val="FF0000"/>
        </w:rPr>
      </w:pPr>
    </w:p>
    <w:p w14:paraId="1CE6BAA1" w14:textId="77777777" w:rsidR="003578B9" w:rsidRDefault="003578B9">
      <w:pPr>
        <w:spacing w:line="360" w:lineRule="auto"/>
        <w:jc w:val="both"/>
        <w:rPr>
          <w:b/>
          <w:bCs/>
          <w:color w:val="FF0000"/>
        </w:rPr>
      </w:pPr>
    </w:p>
    <w:p w14:paraId="400AA7A0" w14:textId="77777777" w:rsidR="003578B9" w:rsidRDefault="003578B9">
      <w:pPr>
        <w:spacing w:line="360" w:lineRule="auto"/>
        <w:jc w:val="both"/>
        <w:rPr>
          <w:b/>
          <w:bCs/>
          <w:color w:val="FF0000"/>
        </w:rPr>
      </w:pPr>
    </w:p>
    <w:p w14:paraId="2A39C1AF" w14:textId="77777777" w:rsidR="003578B9" w:rsidRDefault="003578B9">
      <w:pPr>
        <w:spacing w:line="360" w:lineRule="auto"/>
        <w:jc w:val="both"/>
        <w:rPr>
          <w:b/>
          <w:bCs/>
          <w:color w:val="FF0000"/>
        </w:rPr>
      </w:pPr>
    </w:p>
    <w:p w14:paraId="0DB9F269" w14:textId="77777777" w:rsidR="003578B9" w:rsidRDefault="003578B9">
      <w:pPr>
        <w:spacing w:line="360" w:lineRule="auto"/>
        <w:jc w:val="both"/>
        <w:rPr>
          <w:b/>
          <w:bCs/>
          <w:color w:val="FF0000"/>
        </w:rPr>
      </w:pPr>
    </w:p>
    <w:p w14:paraId="487C875E" w14:textId="77777777" w:rsidR="003578B9" w:rsidRDefault="003578B9">
      <w:pPr>
        <w:spacing w:line="360" w:lineRule="auto"/>
        <w:jc w:val="both"/>
        <w:rPr>
          <w:b/>
          <w:bCs/>
          <w:color w:val="FF0000"/>
        </w:rPr>
      </w:pPr>
    </w:p>
    <w:p w14:paraId="0459DF6F" w14:textId="11C5DB13" w:rsidR="003578B9" w:rsidRDefault="00CF194E">
      <w:pPr>
        <w:spacing w:line="360" w:lineRule="auto"/>
        <w:jc w:val="both"/>
        <w:rPr>
          <w:b/>
          <w:bCs/>
          <w:color w:val="FF0000"/>
        </w:rPr>
      </w:pPr>
      <w:r>
        <w:rPr>
          <w:b/>
          <w:bCs/>
          <w:noProof/>
          <w:color w:val="FF0000"/>
        </w:rPr>
        <w:drawing>
          <wp:anchor distT="0" distB="0" distL="114300" distR="114300" simplePos="0" relativeHeight="251658243" behindDoc="0" locked="0" layoutInCell="1" allowOverlap="1" wp14:anchorId="299EF591" wp14:editId="59C77892">
            <wp:simplePos x="0" y="0"/>
            <wp:positionH relativeFrom="column">
              <wp:posOffset>-128016</wp:posOffset>
            </wp:positionH>
            <wp:positionV relativeFrom="paragraph">
              <wp:posOffset>508</wp:posOffset>
            </wp:positionV>
            <wp:extent cx="5461000" cy="4241419"/>
            <wp:effectExtent l="0" t="0" r="0" b="635"/>
            <wp:wrapTopAndBottom/>
            <wp:docPr id="1033996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96498" name="Picture 1033996498"/>
                    <pic:cNvPicPr/>
                  </pic:nvPicPr>
                  <pic:blipFill>
                    <a:blip r:embed="rId13">
                      <a:extLst>
                        <a:ext uri="{28A0092B-C50C-407E-A947-70E740481C1C}">
                          <a14:useLocalDpi xmlns:a14="http://schemas.microsoft.com/office/drawing/2010/main" val="0"/>
                        </a:ext>
                      </a:extLst>
                    </a:blip>
                    <a:stretch>
                      <a:fillRect/>
                    </a:stretch>
                  </pic:blipFill>
                  <pic:spPr>
                    <a:xfrm>
                      <a:off x="0" y="0"/>
                      <a:ext cx="5461000" cy="4241419"/>
                    </a:xfrm>
                    <a:prstGeom prst="rect">
                      <a:avLst/>
                    </a:prstGeom>
                  </pic:spPr>
                </pic:pic>
              </a:graphicData>
            </a:graphic>
            <wp14:sizeRelV relativeFrom="margin">
              <wp14:pctHeight>0</wp14:pctHeight>
            </wp14:sizeRelV>
          </wp:anchor>
        </w:drawing>
      </w:r>
    </w:p>
    <w:p w14:paraId="73908E8F" w14:textId="77777777" w:rsidR="003578B9" w:rsidRDefault="003578B9">
      <w:pPr>
        <w:spacing w:line="360" w:lineRule="auto"/>
        <w:jc w:val="both"/>
        <w:rPr>
          <w:b/>
          <w:bCs/>
          <w:color w:val="FF0000"/>
        </w:rPr>
      </w:pPr>
    </w:p>
    <w:p w14:paraId="76390C36" w14:textId="77777777" w:rsidR="003578B9" w:rsidRPr="00584A0D" w:rsidRDefault="003578B9">
      <w:pPr>
        <w:spacing w:line="360" w:lineRule="auto"/>
        <w:jc w:val="both"/>
        <w:rPr>
          <w:b/>
          <w:bCs/>
        </w:rPr>
      </w:pPr>
    </w:p>
    <w:p w14:paraId="7D26517D" w14:textId="77777777" w:rsidR="0069187F" w:rsidRDefault="0069187F">
      <w:pPr>
        <w:spacing w:line="360" w:lineRule="auto"/>
        <w:jc w:val="both"/>
      </w:pPr>
    </w:p>
    <w:p w14:paraId="4211349A" w14:textId="77777777" w:rsidR="0069187F" w:rsidRDefault="0069187F">
      <w:pPr>
        <w:spacing w:line="360" w:lineRule="auto"/>
        <w:jc w:val="both"/>
      </w:pPr>
    </w:p>
    <w:p w14:paraId="291BCC17" w14:textId="24C7290B" w:rsidR="0069187F" w:rsidRDefault="00751C03">
      <w:pPr>
        <w:pStyle w:val="Heading1"/>
        <w:spacing w:line="360" w:lineRule="auto"/>
        <w:jc w:val="both"/>
      </w:pPr>
      <w:bookmarkStart w:id="4" w:name="_Toc215779964"/>
      <w:r>
        <w:rPr>
          <w:b/>
          <w:bCs/>
          <w:sz w:val="22"/>
          <w:szCs w:val="22"/>
        </w:rPr>
        <w:t xml:space="preserve">Task 4 </w:t>
      </w:r>
      <w:r w:rsidR="00C8118D">
        <w:rPr>
          <w:b/>
          <w:bCs/>
          <w:sz w:val="22"/>
          <w:szCs w:val="22"/>
        </w:rPr>
        <w:t>-</w:t>
      </w:r>
      <w:r>
        <w:rPr>
          <w:b/>
          <w:bCs/>
          <w:sz w:val="22"/>
          <w:szCs w:val="22"/>
        </w:rPr>
        <w:t xml:space="preserve"> Reflection on Unit 4: The Pursuit of Happiness</w:t>
      </w:r>
      <w:bookmarkEnd w:id="4"/>
    </w:p>
    <w:p w14:paraId="2A716786" w14:textId="77777777" w:rsidR="0069187F" w:rsidRDefault="00751C03">
      <w:pPr>
        <w:spacing w:line="360" w:lineRule="auto"/>
        <w:jc w:val="both"/>
      </w:pPr>
      <w:r>
        <w:t>Unit 4 focused on resilience, wellbeing, and the psychological barriers that affect professional growth in health and social care. A key takeaway was that self-limiting beliefs often work unconsciously, shaping our views on what we can achieve. This topic showed that such beliefs can limit professional growth by narrowing our perception of what is possible. However, the unit also highlighted that once we identify and examine these beliefs, we can change them into more positive thoughts that boost confidence and encourage action. Resilience grows when practitioners understand their internal barriers and use strategies to maintain emotional balance and professional independence (Rose’s, 2025).</w:t>
      </w:r>
    </w:p>
    <w:p w14:paraId="5B9D3900" w14:textId="77777777" w:rsidR="0069187F" w:rsidRDefault="0069187F">
      <w:pPr>
        <w:spacing w:line="360" w:lineRule="auto"/>
        <w:jc w:val="both"/>
      </w:pPr>
    </w:p>
    <w:p w14:paraId="39A08D1E" w14:textId="77777777" w:rsidR="0069187F" w:rsidRDefault="00751C03">
      <w:pPr>
        <w:spacing w:line="360" w:lineRule="auto"/>
        <w:jc w:val="both"/>
      </w:pPr>
      <w:r>
        <w:t>The unit also deepened my understanding of resilience as a vital skill in health and social care. The emotional challenges and ethical demands of the profession require practitioners to handle uncertainty, cope with difficult situations, and stay committed to service values under pressure. Social work education builds resilience by encouraging students to blend academic learning with reflective practice, peer support, and structured supervision (Hitchcock et al., 2025). This link between resilience and professional growth was strongly reflected in classroom activities, which highlighted the importance of perseverance, passion, and self-awareness in staying engaged with complex care environments.</w:t>
      </w:r>
    </w:p>
    <w:p w14:paraId="5F5282C0" w14:textId="77777777" w:rsidR="0069187F" w:rsidRDefault="0069187F">
      <w:pPr>
        <w:spacing w:line="360" w:lineRule="auto"/>
        <w:jc w:val="both"/>
      </w:pPr>
    </w:p>
    <w:p w14:paraId="7B6EEB32" w14:textId="77777777" w:rsidR="0069187F" w:rsidRDefault="00751C03">
      <w:pPr>
        <w:spacing w:line="360" w:lineRule="auto"/>
        <w:jc w:val="both"/>
      </w:pPr>
      <w:r>
        <w:t>Another key aspect of the unit was developing a positive and professional identity. Understanding how confidence, self-belief, and public perception shape professional branding matched insights. Care professionals strengthen their identity by showing commitment, competence, and emotional resilience (Yeo et al., 2025). Applying this to social work emphasized that resilience not only supports personal wellbeing but also builds the credibility and trust needed to help service users effectively.</w:t>
      </w:r>
    </w:p>
    <w:p w14:paraId="6941C922" w14:textId="77777777" w:rsidR="0069187F" w:rsidRDefault="0069187F">
      <w:pPr>
        <w:spacing w:line="360" w:lineRule="auto"/>
        <w:jc w:val="both"/>
      </w:pPr>
    </w:p>
    <w:p w14:paraId="1BCE13D1" w14:textId="747D2C63" w:rsidR="0069187F" w:rsidRDefault="00751C03">
      <w:pPr>
        <w:spacing w:line="360" w:lineRule="auto"/>
        <w:jc w:val="both"/>
      </w:pPr>
      <w:r>
        <w:t>Overall, Unit 4 provided a clear framework for understanding resilience as a dynamic, multi-layered process. It reinforced that facing future career challenges will require ongoing self-reflection, a willingness to learn, and the ability to adapt to unexpected situations. This learning has clarified the personal and professional qualities needed for a successful career in social work.</w:t>
      </w:r>
    </w:p>
    <w:p w14:paraId="3F940504" w14:textId="47A7D312" w:rsidR="0069187F" w:rsidRDefault="0069187F">
      <w:pPr>
        <w:spacing w:line="360" w:lineRule="auto"/>
        <w:jc w:val="both"/>
        <w:rPr>
          <w:b/>
          <w:bCs/>
          <w:color w:val="FF0000"/>
        </w:rPr>
      </w:pPr>
    </w:p>
    <w:p w14:paraId="546329D6" w14:textId="465AA201" w:rsidR="001952DE" w:rsidRPr="007B5C94" w:rsidRDefault="001952DE">
      <w:pPr>
        <w:spacing w:line="360" w:lineRule="auto"/>
        <w:jc w:val="both"/>
        <w:rPr>
          <w:b/>
          <w:color w:val="000000" w:themeColor="text1"/>
        </w:rPr>
      </w:pPr>
      <w:r w:rsidRPr="007B5C94">
        <w:rPr>
          <w:b/>
          <w:color w:val="000000" w:themeColor="text1"/>
        </w:rPr>
        <w:t xml:space="preserve">Figure </w:t>
      </w:r>
      <w:r w:rsidR="00A539A8" w:rsidRPr="007B5C94">
        <w:rPr>
          <w:b/>
          <w:color w:val="000000" w:themeColor="text1"/>
        </w:rPr>
        <w:t>6: Limi</w:t>
      </w:r>
      <w:r w:rsidR="00DA200E" w:rsidRPr="007B5C94">
        <w:rPr>
          <w:b/>
          <w:color w:val="000000" w:themeColor="text1"/>
        </w:rPr>
        <w:t xml:space="preserve">ting belief </w:t>
      </w:r>
    </w:p>
    <w:p w14:paraId="6A4B7357" w14:textId="5AA56689" w:rsidR="00B47C69" w:rsidRPr="007B5C94" w:rsidRDefault="00B47C69">
      <w:pPr>
        <w:spacing w:line="360" w:lineRule="auto"/>
        <w:jc w:val="both"/>
        <w:rPr>
          <w:b/>
          <w:color w:val="000000" w:themeColor="text1"/>
        </w:rPr>
      </w:pPr>
    </w:p>
    <w:p w14:paraId="461B9262" w14:textId="77777777" w:rsidR="00B47C69" w:rsidRPr="007B5C94" w:rsidRDefault="00B47C69">
      <w:pPr>
        <w:spacing w:line="360" w:lineRule="auto"/>
        <w:jc w:val="both"/>
        <w:rPr>
          <w:b/>
          <w:color w:val="000000" w:themeColor="text1"/>
        </w:rPr>
      </w:pPr>
    </w:p>
    <w:p w14:paraId="5C4F0577" w14:textId="77777777" w:rsidR="00B47C69" w:rsidRDefault="00B47C69">
      <w:pPr>
        <w:spacing w:line="360" w:lineRule="auto"/>
        <w:jc w:val="both"/>
        <w:rPr>
          <w:b/>
          <w:bCs/>
          <w:color w:val="FF0000"/>
        </w:rPr>
      </w:pPr>
    </w:p>
    <w:p w14:paraId="12EA562D" w14:textId="165B6AAB" w:rsidR="00B47C69" w:rsidRDefault="001A2124">
      <w:pPr>
        <w:spacing w:line="360" w:lineRule="auto"/>
        <w:jc w:val="both"/>
        <w:rPr>
          <w:b/>
          <w:bCs/>
          <w:color w:val="FF0000"/>
        </w:rPr>
      </w:pPr>
      <w:r>
        <w:rPr>
          <w:b/>
          <w:bCs/>
          <w:noProof/>
          <w:color w:val="FF0000"/>
        </w:rPr>
        <w:drawing>
          <wp:anchor distT="0" distB="0" distL="114300" distR="114300" simplePos="0" relativeHeight="251658244" behindDoc="0" locked="0" layoutInCell="1" allowOverlap="1" wp14:anchorId="005DA659" wp14:editId="36222449">
            <wp:simplePos x="0" y="0"/>
            <wp:positionH relativeFrom="column">
              <wp:posOffset>72390</wp:posOffset>
            </wp:positionH>
            <wp:positionV relativeFrom="paragraph">
              <wp:posOffset>0</wp:posOffset>
            </wp:positionV>
            <wp:extent cx="5461000" cy="4358005"/>
            <wp:effectExtent l="0" t="0" r="0" b="0"/>
            <wp:wrapTopAndBottom/>
            <wp:docPr id="127792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26526" name="Picture 1277926526"/>
                    <pic:cNvPicPr/>
                  </pic:nvPicPr>
                  <pic:blipFill>
                    <a:blip r:embed="rId14">
                      <a:extLst>
                        <a:ext uri="{28A0092B-C50C-407E-A947-70E740481C1C}">
                          <a14:useLocalDpi xmlns:a14="http://schemas.microsoft.com/office/drawing/2010/main" val="0"/>
                        </a:ext>
                      </a:extLst>
                    </a:blip>
                    <a:stretch>
                      <a:fillRect/>
                    </a:stretch>
                  </pic:blipFill>
                  <pic:spPr>
                    <a:xfrm>
                      <a:off x="0" y="0"/>
                      <a:ext cx="5461000" cy="4358005"/>
                    </a:xfrm>
                    <a:prstGeom prst="rect">
                      <a:avLst/>
                    </a:prstGeom>
                  </pic:spPr>
                </pic:pic>
              </a:graphicData>
            </a:graphic>
            <wp14:sizeRelV relativeFrom="margin">
              <wp14:pctHeight>0</wp14:pctHeight>
            </wp14:sizeRelV>
          </wp:anchor>
        </w:drawing>
      </w:r>
    </w:p>
    <w:p w14:paraId="58085423" w14:textId="77777777" w:rsidR="00B47C69" w:rsidRDefault="00B47C69">
      <w:pPr>
        <w:spacing w:line="360" w:lineRule="auto"/>
        <w:jc w:val="both"/>
        <w:rPr>
          <w:b/>
          <w:bCs/>
          <w:color w:val="FF0000"/>
        </w:rPr>
      </w:pPr>
    </w:p>
    <w:p w14:paraId="484CD73A" w14:textId="1B6AA2B8" w:rsidR="00DA200E" w:rsidRDefault="00DA200E">
      <w:pPr>
        <w:spacing w:line="360" w:lineRule="auto"/>
        <w:jc w:val="both"/>
        <w:rPr>
          <w:b/>
          <w:bCs/>
          <w:color w:val="FF0000"/>
        </w:rPr>
      </w:pPr>
    </w:p>
    <w:p w14:paraId="0D0056E1" w14:textId="77777777" w:rsidR="001A2124" w:rsidRDefault="001A2124">
      <w:pPr>
        <w:spacing w:line="360" w:lineRule="auto"/>
        <w:jc w:val="both"/>
        <w:rPr>
          <w:b/>
          <w:bCs/>
          <w:color w:val="FF0000"/>
        </w:rPr>
      </w:pPr>
    </w:p>
    <w:p w14:paraId="0078336B" w14:textId="1E77212D" w:rsidR="001A2124" w:rsidRPr="007B5C94" w:rsidRDefault="001F7421">
      <w:pPr>
        <w:spacing w:line="360" w:lineRule="auto"/>
        <w:jc w:val="both"/>
        <w:rPr>
          <w:b/>
          <w:color w:val="000000" w:themeColor="text1"/>
        </w:rPr>
      </w:pPr>
      <w:r w:rsidRPr="007B5C94">
        <w:rPr>
          <w:b/>
          <w:color w:val="000000" w:themeColor="text1"/>
        </w:rPr>
        <w:t xml:space="preserve">Figure 7: Self Limiting beliefs </w:t>
      </w:r>
    </w:p>
    <w:p w14:paraId="51E58674" w14:textId="77777777" w:rsidR="001F7421" w:rsidRPr="007B5C94" w:rsidRDefault="001F7421">
      <w:pPr>
        <w:spacing w:line="360" w:lineRule="auto"/>
        <w:jc w:val="both"/>
        <w:rPr>
          <w:b/>
          <w:color w:val="000000" w:themeColor="text1"/>
        </w:rPr>
      </w:pPr>
    </w:p>
    <w:p w14:paraId="2DA0ED85" w14:textId="77777777" w:rsidR="001F7421" w:rsidRPr="007B5C94" w:rsidRDefault="001F7421">
      <w:pPr>
        <w:spacing w:line="360" w:lineRule="auto"/>
        <w:jc w:val="both"/>
        <w:rPr>
          <w:b/>
          <w:color w:val="000000" w:themeColor="text1"/>
        </w:rPr>
      </w:pPr>
    </w:p>
    <w:p w14:paraId="476C1F4F" w14:textId="77777777" w:rsidR="001F7421" w:rsidRDefault="001F7421">
      <w:pPr>
        <w:spacing w:line="360" w:lineRule="auto"/>
        <w:jc w:val="both"/>
        <w:rPr>
          <w:b/>
          <w:bCs/>
          <w:color w:val="FF0000"/>
        </w:rPr>
      </w:pPr>
    </w:p>
    <w:p w14:paraId="252904FF" w14:textId="4322B82C" w:rsidR="001F7421" w:rsidRDefault="00665DD6">
      <w:pPr>
        <w:spacing w:line="360" w:lineRule="auto"/>
        <w:jc w:val="both"/>
        <w:rPr>
          <w:b/>
          <w:bCs/>
          <w:color w:val="FF0000"/>
        </w:rPr>
      </w:pPr>
      <w:r>
        <w:rPr>
          <w:b/>
          <w:bCs/>
          <w:noProof/>
          <w:color w:val="FF0000"/>
        </w:rPr>
        <w:drawing>
          <wp:anchor distT="0" distB="0" distL="114300" distR="114300" simplePos="0" relativeHeight="251658245" behindDoc="0" locked="0" layoutInCell="1" allowOverlap="1" wp14:anchorId="11DD2186" wp14:editId="73569E3F">
            <wp:simplePos x="0" y="0"/>
            <wp:positionH relativeFrom="column">
              <wp:posOffset>219075</wp:posOffset>
            </wp:positionH>
            <wp:positionV relativeFrom="paragraph">
              <wp:posOffset>3184525</wp:posOffset>
            </wp:positionV>
            <wp:extent cx="5461000" cy="5041900"/>
            <wp:effectExtent l="0" t="0" r="0" b="0"/>
            <wp:wrapTopAndBottom/>
            <wp:docPr id="809851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51102" name="Picture 809851102"/>
                    <pic:cNvPicPr/>
                  </pic:nvPicPr>
                  <pic:blipFill>
                    <a:blip r:embed="rId15">
                      <a:extLst>
                        <a:ext uri="{28A0092B-C50C-407E-A947-70E740481C1C}">
                          <a14:useLocalDpi xmlns:a14="http://schemas.microsoft.com/office/drawing/2010/main" val="0"/>
                        </a:ext>
                      </a:extLst>
                    </a:blip>
                    <a:stretch>
                      <a:fillRect/>
                    </a:stretch>
                  </pic:blipFill>
                  <pic:spPr>
                    <a:xfrm>
                      <a:off x="0" y="0"/>
                      <a:ext cx="5461000" cy="5041900"/>
                    </a:xfrm>
                    <a:prstGeom prst="rect">
                      <a:avLst/>
                    </a:prstGeom>
                  </pic:spPr>
                </pic:pic>
              </a:graphicData>
            </a:graphic>
          </wp:anchor>
        </w:drawing>
      </w:r>
    </w:p>
    <w:p w14:paraId="7F3D3021" w14:textId="341FCDB0" w:rsidR="001F7421" w:rsidRDefault="001F7421">
      <w:pPr>
        <w:spacing w:line="360" w:lineRule="auto"/>
        <w:jc w:val="both"/>
        <w:rPr>
          <w:b/>
          <w:bCs/>
          <w:color w:val="FF0000"/>
        </w:rPr>
      </w:pPr>
    </w:p>
    <w:p w14:paraId="7FFF6C86" w14:textId="77777777" w:rsidR="001F7421" w:rsidRDefault="001F7421">
      <w:pPr>
        <w:spacing w:line="360" w:lineRule="auto"/>
        <w:jc w:val="both"/>
        <w:rPr>
          <w:b/>
          <w:bCs/>
          <w:color w:val="FF0000"/>
        </w:rPr>
      </w:pPr>
    </w:p>
    <w:p w14:paraId="05BA9C8B" w14:textId="77777777" w:rsidR="001F7421" w:rsidRDefault="001F7421">
      <w:pPr>
        <w:spacing w:line="360" w:lineRule="auto"/>
        <w:jc w:val="both"/>
        <w:rPr>
          <w:b/>
          <w:bCs/>
          <w:color w:val="FF0000"/>
        </w:rPr>
      </w:pPr>
    </w:p>
    <w:p w14:paraId="1AD83516" w14:textId="77777777" w:rsidR="001F7421" w:rsidRDefault="001F7421">
      <w:pPr>
        <w:spacing w:line="360" w:lineRule="auto"/>
        <w:jc w:val="both"/>
        <w:rPr>
          <w:b/>
          <w:bCs/>
          <w:color w:val="FF0000"/>
        </w:rPr>
      </w:pPr>
    </w:p>
    <w:p w14:paraId="0F9C56E5" w14:textId="77777777" w:rsidR="001F7421" w:rsidRDefault="001F7421">
      <w:pPr>
        <w:spacing w:line="360" w:lineRule="auto"/>
        <w:jc w:val="both"/>
        <w:rPr>
          <w:b/>
          <w:bCs/>
          <w:color w:val="FF0000"/>
        </w:rPr>
      </w:pPr>
    </w:p>
    <w:p w14:paraId="4F6650E4" w14:textId="77777777" w:rsidR="001F7421" w:rsidRDefault="001F7421">
      <w:pPr>
        <w:spacing w:line="360" w:lineRule="auto"/>
        <w:jc w:val="both"/>
        <w:rPr>
          <w:b/>
          <w:bCs/>
          <w:color w:val="FF0000"/>
        </w:rPr>
      </w:pPr>
    </w:p>
    <w:p w14:paraId="09EC4B1E" w14:textId="77777777" w:rsidR="001F7421" w:rsidRDefault="001F7421">
      <w:pPr>
        <w:spacing w:line="360" w:lineRule="auto"/>
        <w:jc w:val="both"/>
        <w:rPr>
          <w:b/>
          <w:bCs/>
          <w:color w:val="FF0000"/>
        </w:rPr>
      </w:pPr>
    </w:p>
    <w:p w14:paraId="33C59DDB" w14:textId="77777777" w:rsidR="001F7421" w:rsidRDefault="001F7421">
      <w:pPr>
        <w:spacing w:line="360" w:lineRule="auto"/>
        <w:jc w:val="both"/>
        <w:rPr>
          <w:b/>
          <w:bCs/>
          <w:color w:val="FF0000"/>
        </w:rPr>
      </w:pPr>
    </w:p>
    <w:p w14:paraId="6C5AEA70" w14:textId="77777777" w:rsidR="001F7421" w:rsidRDefault="001F7421">
      <w:pPr>
        <w:spacing w:line="360" w:lineRule="auto"/>
        <w:jc w:val="both"/>
        <w:rPr>
          <w:b/>
          <w:bCs/>
          <w:color w:val="FF0000"/>
        </w:rPr>
      </w:pPr>
    </w:p>
    <w:p w14:paraId="24C98D22" w14:textId="77777777" w:rsidR="001F7421" w:rsidRDefault="001F7421">
      <w:pPr>
        <w:spacing w:line="360" w:lineRule="auto"/>
        <w:jc w:val="both"/>
        <w:rPr>
          <w:b/>
          <w:bCs/>
          <w:color w:val="FF0000"/>
        </w:rPr>
      </w:pPr>
    </w:p>
    <w:p w14:paraId="0B07BEE9" w14:textId="77777777" w:rsidR="00DA200E" w:rsidRDefault="00DA200E">
      <w:pPr>
        <w:spacing w:line="360" w:lineRule="auto"/>
        <w:jc w:val="both"/>
        <w:rPr>
          <w:b/>
          <w:bCs/>
          <w:color w:val="FF0000"/>
        </w:rPr>
      </w:pPr>
    </w:p>
    <w:p w14:paraId="2C9133A9" w14:textId="77777777" w:rsidR="0069187F" w:rsidRDefault="00751C03">
      <w:pPr>
        <w:pStyle w:val="Heading1"/>
        <w:spacing w:line="360" w:lineRule="auto"/>
        <w:jc w:val="both"/>
      </w:pPr>
      <w:bookmarkStart w:id="5" w:name="_Toc215779965"/>
      <w:r>
        <w:rPr>
          <w:b/>
          <w:bCs/>
          <w:sz w:val="22"/>
          <w:szCs w:val="22"/>
        </w:rPr>
        <w:t>Conclusion</w:t>
      </w:r>
      <w:bookmarkEnd w:id="5"/>
    </w:p>
    <w:p w14:paraId="59779FA1" w14:textId="3BD4950F" w:rsidR="0069187F" w:rsidRDefault="00751C03">
      <w:pPr>
        <w:spacing w:line="360" w:lineRule="auto"/>
        <w:jc w:val="both"/>
      </w:pPr>
      <w:r>
        <w:t>Across the four units, the module provided a clear and structured journey through key themes in health and social care professional development. Unit 1 laid the groundwork by encouraging reflection on ambition, motivation, and the changing nature of careers. This led to a deeper understanding of how professional identity is shaped by goals, values, and the flexibility needed in modern care settings. The unit highlighted how ambition, when rooted in ethics, can guide meaningful career paths.</w:t>
      </w:r>
    </w:p>
    <w:p w14:paraId="5D33B708" w14:textId="77777777" w:rsidR="0069187F" w:rsidRDefault="0069187F">
      <w:pPr>
        <w:spacing w:line="360" w:lineRule="auto"/>
        <w:jc w:val="both"/>
      </w:pPr>
    </w:p>
    <w:p w14:paraId="24019C0E" w14:textId="6ABE4DDC" w:rsidR="0069187F" w:rsidRDefault="00751C03">
      <w:pPr>
        <w:spacing w:line="360" w:lineRule="auto"/>
        <w:jc w:val="both"/>
      </w:pPr>
      <w:r>
        <w:t>Unit 2 built on this by showing the importance of networks in local and global care systems. Engaging with ideas about network diversity and influence showed how professional relationships can enhance learning, broaden perspectives, and improve teamwork. This reinforced that effective networking is about building relationships, which supports both professional confidence and positive outcomes for service users.</w:t>
      </w:r>
    </w:p>
    <w:p w14:paraId="6CCC7902" w14:textId="77777777" w:rsidR="0069187F" w:rsidRDefault="0069187F">
      <w:pPr>
        <w:spacing w:line="360" w:lineRule="auto"/>
        <w:jc w:val="both"/>
      </w:pPr>
    </w:p>
    <w:p w14:paraId="7B4B3D35" w14:textId="37385094" w:rsidR="0069187F" w:rsidRDefault="00751C03">
      <w:pPr>
        <w:spacing w:line="360" w:lineRule="auto"/>
        <w:jc w:val="both"/>
      </w:pPr>
      <w:r>
        <w:t xml:space="preserve">Unit 3 expanded on these ideas by demonstrating how opportunities arise from being adaptable, engaged, and reflective. Learning activities </w:t>
      </w:r>
      <w:r w:rsidR="00C8118D">
        <w:t>emphasize</w:t>
      </w:r>
      <w:r>
        <w:t xml:space="preserve"> that recognizing opportunities is not just luck; it requires skills, openness, and active participation in conversations that foster professional growth. This understanding closely aligned with the clarity about future roles in the sector.</w:t>
      </w:r>
    </w:p>
    <w:p w14:paraId="10780149" w14:textId="77777777" w:rsidR="0069187F" w:rsidRDefault="0069187F">
      <w:pPr>
        <w:spacing w:line="360" w:lineRule="auto"/>
        <w:jc w:val="both"/>
      </w:pPr>
    </w:p>
    <w:p w14:paraId="66D5F7B4" w14:textId="77777777" w:rsidR="0069187F" w:rsidRDefault="00751C03">
      <w:pPr>
        <w:spacing w:line="360" w:lineRule="auto"/>
        <w:jc w:val="both"/>
      </w:pPr>
      <w:r>
        <w:t>Finally, Unit 4 highlighted the importance of resilience for long-term employability. Reflecting on limiting beliefs, coping strategies, and perseverance made it clear that resilience is both a personal asset and a professional necessity in complex care environments.</w:t>
      </w:r>
    </w:p>
    <w:p w14:paraId="398C9858" w14:textId="77777777" w:rsidR="0069187F" w:rsidRDefault="0069187F">
      <w:pPr>
        <w:spacing w:line="360" w:lineRule="auto"/>
        <w:jc w:val="both"/>
      </w:pPr>
    </w:p>
    <w:p w14:paraId="61BD4DA5" w14:textId="77777777" w:rsidR="0069187F" w:rsidRDefault="00751C03">
      <w:pPr>
        <w:spacing w:line="360" w:lineRule="auto"/>
        <w:jc w:val="both"/>
      </w:pPr>
      <w:r>
        <w:t>Together, the four units enhanced understanding of how ambition, networks, opportunity, and resilience work together to support sustainable development in health and social care. These insights have strengthened the commitment to pursue a career in social work and equipped the learner with essential skills for the future.</w:t>
      </w:r>
    </w:p>
    <w:p w14:paraId="36589F70" w14:textId="77777777" w:rsidR="0069187F" w:rsidRDefault="00751C03">
      <w:pPr>
        <w:spacing w:line="360" w:lineRule="auto"/>
        <w:jc w:val="both"/>
      </w:pPr>
      <w:r>
        <w:br w:type="page"/>
      </w:r>
    </w:p>
    <w:p w14:paraId="00E96621" w14:textId="77777777" w:rsidR="0069187F" w:rsidRPr="00C8118D" w:rsidRDefault="00751C03">
      <w:pPr>
        <w:pStyle w:val="Heading1"/>
        <w:spacing w:line="360" w:lineRule="auto"/>
        <w:rPr>
          <w:b/>
          <w:bCs/>
          <w:sz w:val="22"/>
          <w:szCs w:val="22"/>
        </w:rPr>
      </w:pPr>
      <w:bookmarkStart w:id="6" w:name="_Toc215779966"/>
      <w:r w:rsidRPr="00C8118D">
        <w:rPr>
          <w:b/>
          <w:bCs/>
          <w:sz w:val="22"/>
          <w:szCs w:val="22"/>
        </w:rPr>
        <w:t>References:</w:t>
      </w:r>
      <w:bookmarkEnd w:id="6"/>
    </w:p>
    <w:p w14:paraId="14FFBCAF" w14:textId="77777777" w:rsidR="0069187F" w:rsidRDefault="00751C03">
      <w:pPr>
        <w:numPr>
          <w:ilvl w:val="0"/>
          <w:numId w:val="1"/>
        </w:numPr>
        <w:spacing w:line="360" w:lineRule="auto"/>
        <w:rPr>
          <w:color w:val="222222"/>
        </w:rPr>
      </w:pPr>
      <w:proofErr w:type="spellStart"/>
      <w:r>
        <w:rPr>
          <w:color w:val="222222"/>
        </w:rPr>
        <w:t>Agyekum</w:t>
      </w:r>
      <w:proofErr w:type="spellEnd"/>
      <w:r>
        <w:rPr>
          <w:color w:val="222222"/>
        </w:rPr>
        <w:t xml:space="preserve">, E.O., </w:t>
      </w:r>
      <w:proofErr w:type="spellStart"/>
      <w:r>
        <w:rPr>
          <w:color w:val="222222"/>
        </w:rPr>
        <w:t>Kalaris</w:t>
      </w:r>
      <w:proofErr w:type="spellEnd"/>
      <w:r>
        <w:rPr>
          <w:color w:val="222222"/>
        </w:rPr>
        <w:t xml:space="preserve">, K., Maliqi, B., Moran, A.C., </w:t>
      </w:r>
      <w:proofErr w:type="spellStart"/>
      <w:r>
        <w:rPr>
          <w:color w:val="222222"/>
        </w:rPr>
        <w:t>Ayim</w:t>
      </w:r>
      <w:proofErr w:type="spellEnd"/>
      <w:r>
        <w:rPr>
          <w:color w:val="222222"/>
        </w:rPr>
        <w:t xml:space="preserve">, A. and </w:t>
      </w:r>
      <w:proofErr w:type="spellStart"/>
      <w:r>
        <w:rPr>
          <w:color w:val="222222"/>
        </w:rPr>
        <w:t>Roder-DeWan</w:t>
      </w:r>
      <w:proofErr w:type="spellEnd"/>
      <w:r>
        <w:rPr>
          <w:color w:val="222222"/>
        </w:rPr>
        <w:t xml:space="preserve">, S., 2023. Networks of care to strengthen primary healthcare in resource constrained settings. </w:t>
      </w:r>
      <w:proofErr w:type="spellStart"/>
      <w:r>
        <w:rPr>
          <w:i/>
          <w:iCs/>
          <w:color w:val="222222"/>
        </w:rPr>
        <w:t>bmj</w:t>
      </w:r>
      <w:proofErr w:type="spellEnd"/>
      <w:r>
        <w:rPr>
          <w:color w:val="222222"/>
        </w:rPr>
        <w:t xml:space="preserve">, </w:t>
      </w:r>
      <w:r>
        <w:rPr>
          <w:i/>
          <w:iCs/>
          <w:color w:val="222222"/>
        </w:rPr>
        <w:t>380</w:t>
      </w:r>
      <w:r>
        <w:rPr>
          <w:color w:val="222222"/>
        </w:rPr>
        <w:t>.</w:t>
      </w:r>
    </w:p>
    <w:p w14:paraId="31F63DFF" w14:textId="77777777" w:rsidR="0069187F" w:rsidRDefault="00751C03">
      <w:pPr>
        <w:numPr>
          <w:ilvl w:val="0"/>
          <w:numId w:val="1"/>
        </w:numPr>
        <w:spacing w:line="360" w:lineRule="auto"/>
        <w:rPr>
          <w:color w:val="222222"/>
        </w:rPr>
      </w:pPr>
      <w:r>
        <w:rPr>
          <w:color w:val="222222"/>
        </w:rPr>
        <w:t xml:space="preserve">Chen, H., Fang, T., Liu, F., Pang, L., Wen, Y., Chen, S. and Gu, X., 2020. Career adaptability research: A literature review with scientific knowledge mapping in web of science. </w:t>
      </w:r>
      <w:r>
        <w:rPr>
          <w:i/>
          <w:iCs/>
          <w:color w:val="222222"/>
        </w:rPr>
        <w:t>International Journal of Environmental Research and Public Health</w:t>
      </w:r>
      <w:r>
        <w:rPr>
          <w:color w:val="222222"/>
        </w:rPr>
        <w:t xml:space="preserve">, </w:t>
      </w:r>
      <w:r>
        <w:rPr>
          <w:i/>
          <w:iCs/>
          <w:color w:val="222222"/>
        </w:rPr>
        <w:t>17</w:t>
      </w:r>
      <w:r>
        <w:rPr>
          <w:color w:val="222222"/>
        </w:rPr>
        <w:t>(16), p.5986.</w:t>
      </w:r>
    </w:p>
    <w:p w14:paraId="4EB53C5C" w14:textId="77777777" w:rsidR="0069187F" w:rsidRDefault="00751C03">
      <w:pPr>
        <w:numPr>
          <w:ilvl w:val="0"/>
          <w:numId w:val="1"/>
        </w:numPr>
        <w:spacing w:line="360" w:lineRule="auto"/>
        <w:rPr>
          <w:color w:val="222222"/>
        </w:rPr>
      </w:pPr>
      <w:r>
        <w:rPr>
          <w:color w:val="222222"/>
        </w:rPr>
        <w:t xml:space="preserve">Dokko, G. and Jiang, W.Y., 2024. From boundaryless to boundary-crossing: Toward a friction-based model of career transitions and job performance. </w:t>
      </w:r>
      <w:r>
        <w:rPr>
          <w:i/>
          <w:iCs/>
          <w:color w:val="222222"/>
        </w:rPr>
        <w:t>Research in Organizational Behavior</w:t>
      </w:r>
      <w:r>
        <w:rPr>
          <w:color w:val="222222"/>
        </w:rPr>
        <w:t xml:space="preserve">, </w:t>
      </w:r>
      <w:r>
        <w:rPr>
          <w:i/>
          <w:iCs/>
          <w:color w:val="222222"/>
        </w:rPr>
        <w:t>44</w:t>
      </w:r>
      <w:r>
        <w:rPr>
          <w:color w:val="222222"/>
        </w:rPr>
        <w:t>, p.100205.</w:t>
      </w:r>
    </w:p>
    <w:p w14:paraId="19D97A04" w14:textId="77777777" w:rsidR="0069187F" w:rsidRDefault="00751C03">
      <w:pPr>
        <w:numPr>
          <w:ilvl w:val="0"/>
          <w:numId w:val="1"/>
        </w:numPr>
        <w:spacing w:line="360" w:lineRule="auto"/>
        <w:rPr>
          <w:color w:val="222222"/>
        </w:rPr>
      </w:pPr>
      <w:r>
        <w:rPr>
          <w:color w:val="222222"/>
        </w:rPr>
        <w:t xml:space="preserve">Hargroves, D., Lowe, D., Wood, M. and Ray, S., 2022. Networks for future healthcare. </w:t>
      </w:r>
      <w:r>
        <w:rPr>
          <w:i/>
          <w:iCs/>
          <w:color w:val="222222"/>
        </w:rPr>
        <w:t>Future Healthcare Journal</w:t>
      </w:r>
      <w:r>
        <w:rPr>
          <w:color w:val="222222"/>
        </w:rPr>
        <w:t xml:space="preserve">, </w:t>
      </w:r>
      <w:r>
        <w:rPr>
          <w:i/>
          <w:iCs/>
          <w:color w:val="222222"/>
        </w:rPr>
        <w:t>9</w:t>
      </w:r>
      <w:r>
        <w:rPr>
          <w:color w:val="222222"/>
        </w:rPr>
        <w:t>(2), pp.118-124.</w:t>
      </w:r>
    </w:p>
    <w:p w14:paraId="472AAC7E" w14:textId="77777777" w:rsidR="0069187F" w:rsidRDefault="00751C03">
      <w:pPr>
        <w:numPr>
          <w:ilvl w:val="0"/>
          <w:numId w:val="1"/>
        </w:numPr>
        <w:spacing w:line="360" w:lineRule="auto"/>
        <w:rPr>
          <w:color w:val="222222"/>
        </w:rPr>
      </w:pPr>
      <w:r>
        <w:rPr>
          <w:color w:val="222222"/>
        </w:rPr>
        <w:t xml:space="preserve">Haruta, J. and Tsugawa, S., 2021. What Types of Networks Do Professionals Build, and How Are They Affected by the Results of Network Evaluation?. </w:t>
      </w:r>
      <w:r>
        <w:rPr>
          <w:i/>
          <w:iCs/>
          <w:color w:val="222222"/>
        </w:rPr>
        <w:t>Frontiers in Public Health</w:t>
      </w:r>
      <w:r>
        <w:rPr>
          <w:color w:val="222222"/>
        </w:rPr>
        <w:t xml:space="preserve">, </w:t>
      </w:r>
      <w:r>
        <w:rPr>
          <w:i/>
          <w:iCs/>
          <w:color w:val="222222"/>
        </w:rPr>
        <w:t>9</w:t>
      </w:r>
      <w:r>
        <w:rPr>
          <w:color w:val="222222"/>
        </w:rPr>
        <w:t>, p.758809.</w:t>
      </w:r>
    </w:p>
    <w:p w14:paraId="4B282AB9" w14:textId="77777777" w:rsidR="0069187F" w:rsidRDefault="00751C03">
      <w:pPr>
        <w:numPr>
          <w:ilvl w:val="0"/>
          <w:numId w:val="1"/>
        </w:numPr>
        <w:spacing w:line="360" w:lineRule="auto"/>
        <w:rPr>
          <w:color w:val="222222"/>
        </w:rPr>
      </w:pPr>
      <w:r>
        <w:rPr>
          <w:color w:val="222222"/>
        </w:rPr>
        <w:t xml:space="preserve">Hitchcock, C., Hughes, M., McPherson, L. and Whitaker, L., 2025. How social work education fosters professional resilience: Student and newly qualified practitioner perspectives. </w:t>
      </w:r>
      <w:r>
        <w:rPr>
          <w:i/>
          <w:iCs/>
          <w:color w:val="222222"/>
        </w:rPr>
        <w:t>Australian social work</w:t>
      </w:r>
      <w:r>
        <w:rPr>
          <w:color w:val="222222"/>
        </w:rPr>
        <w:t xml:space="preserve">, </w:t>
      </w:r>
      <w:r>
        <w:rPr>
          <w:i/>
          <w:iCs/>
          <w:color w:val="222222"/>
        </w:rPr>
        <w:t>78</w:t>
      </w:r>
      <w:r>
        <w:rPr>
          <w:color w:val="222222"/>
        </w:rPr>
        <w:t>(3), pp.328-340.</w:t>
      </w:r>
    </w:p>
    <w:p w14:paraId="5EFBE9F3" w14:textId="77777777" w:rsidR="0069187F" w:rsidRDefault="00751C03">
      <w:pPr>
        <w:numPr>
          <w:ilvl w:val="0"/>
          <w:numId w:val="1"/>
        </w:numPr>
        <w:spacing w:line="360" w:lineRule="auto"/>
        <w:rPr>
          <w:color w:val="222222"/>
        </w:rPr>
      </w:pPr>
      <w:r>
        <w:rPr>
          <w:color w:val="222222"/>
        </w:rPr>
        <w:t xml:space="preserve">Kinsella, P., Williams, S., Scott, P. and Fontinha, R., 2022. Varying degrees of boundarylessness? The careers of self-employed and directly employed ICT professionals in the UK and Germany. </w:t>
      </w:r>
      <w:r>
        <w:rPr>
          <w:i/>
          <w:iCs/>
          <w:color w:val="222222"/>
        </w:rPr>
        <w:t>The International Journal of Human Resource Management</w:t>
      </w:r>
      <w:r>
        <w:rPr>
          <w:color w:val="222222"/>
        </w:rPr>
        <w:t xml:space="preserve">, </w:t>
      </w:r>
      <w:r>
        <w:rPr>
          <w:i/>
          <w:iCs/>
          <w:color w:val="222222"/>
        </w:rPr>
        <w:t>33</w:t>
      </w:r>
      <w:r>
        <w:rPr>
          <w:color w:val="222222"/>
        </w:rPr>
        <w:t>(8), pp.1696-1717.</w:t>
      </w:r>
    </w:p>
    <w:p w14:paraId="014AFAF4" w14:textId="77777777" w:rsidR="0069187F" w:rsidRDefault="00751C03">
      <w:pPr>
        <w:numPr>
          <w:ilvl w:val="0"/>
          <w:numId w:val="1"/>
        </w:numPr>
        <w:spacing w:line="360" w:lineRule="auto"/>
        <w:rPr>
          <w:color w:val="222222"/>
        </w:rPr>
      </w:pPr>
      <w:r>
        <w:rPr>
          <w:color w:val="222222"/>
        </w:rPr>
        <w:t xml:space="preserve">Kost, D., Fieseler, C. and Wong, S.I., 2020. Boundaryless careers in the gig economy: An oxymoron?. </w:t>
      </w:r>
      <w:r>
        <w:rPr>
          <w:i/>
          <w:iCs/>
          <w:color w:val="222222"/>
        </w:rPr>
        <w:t>Human Resource Management Journal</w:t>
      </w:r>
      <w:r>
        <w:rPr>
          <w:color w:val="222222"/>
        </w:rPr>
        <w:t xml:space="preserve">, </w:t>
      </w:r>
      <w:r>
        <w:rPr>
          <w:i/>
          <w:iCs/>
          <w:color w:val="222222"/>
        </w:rPr>
        <w:t>30</w:t>
      </w:r>
      <w:r>
        <w:rPr>
          <w:color w:val="222222"/>
        </w:rPr>
        <w:t>(1), pp.100-113.</w:t>
      </w:r>
    </w:p>
    <w:p w14:paraId="348A16CB" w14:textId="77777777" w:rsidR="0069187F" w:rsidRDefault="00751C03">
      <w:pPr>
        <w:numPr>
          <w:ilvl w:val="0"/>
          <w:numId w:val="1"/>
        </w:numPr>
        <w:spacing w:line="360" w:lineRule="auto"/>
        <w:rPr>
          <w:color w:val="222222"/>
        </w:rPr>
      </w:pPr>
      <w:r>
        <w:rPr>
          <w:color w:val="222222"/>
        </w:rPr>
        <w:t xml:space="preserve">Rose, S., 2025. A holistic framework of resilience for social workers. </w:t>
      </w:r>
      <w:r>
        <w:rPr>
          <w:i/>
          <w:iCs/>
          <w:color w:val="222222"/>
        </w:rPr>
        <w:t>The British Journal of Social Work</w:t>
      </w:r>
      <w:r>
        <w:rPr>
          <w:color w:val="222222"/>
        </w:rPr>
        <w:t>, p.bcaf246.</w:t>
      </w:r>
    </w:p>
    <w:p w14:paraId="30992D69" w14:textId="77777777" w:rsidR="0069187F" w:rsidRDefault="00751C03">
      <w:pPr>
        <w:numPr>
          <w:ilvl w:val="0"/>
          <w:numId w:val="1"/>
        </w:numPr>
        <w:spacing w:line="360" w:lineRule="auto"/>
        <w:rPr>
          <w:color w:val="222222"/>
        </w:rPr>
      </w:pPr>
      <w:r>
        <w:rPr>
          <w:color w:val="222222"/>
        </w:rPr>
        <w:t xml:space="preserve">Woodcock, J. and Graham, M., 2019. </w:t>
      </w:r>
      <w:r>
        <w:rPr>
          <w:i/>
          <w:iCs/>
          <w:color w:val="222222"/>
        </w:rPr>
        <w:t xml:space="preserve">The gig economy: a critical introduction. Cambridge: </w:t>
      </w:r>
      <w:r>
        <w:rPr>
          <w:color w:val="222222"/>
        </w:rPr>
        <w:t>Polity press.</w:t>
      </w:r>
    </w:p>
    <w:p w14:paraId="7F6FD4F1" w14:textId="77777777" w:rsidR="0069187F" w:rsidRDefault="00751C03">
      <w:pPr>
        <w:numPr>
          <w:ilvl w:val="0"/>
          <w:numId w:val="1"/>
        </w:numPr>
        <w:spacing w:line="360" w:lineRule="auto"/>
        <w:rPr>
          <w:color w:val="222222"/>
        </w:rPr>
      </w:pPr>
      <w:r>
        <w:rPr>
          <w:color w:val="222222"/>
        </w:rPr>
        <w:t xml:space="preserve">Yeo, A., Lee, S.S., Lim, V.K., Godsey, J.A., Kuok, K., Gunawan, J. and Liaw, S.Y., 2025. Strategies to Elevate the Brand Image of Nursing: A Scoping Review. </w:t>
      </w:r>
      <w:r>
        <w:rPr>
          <w:i/>
          <w:iCs/>
          <w:color w:val="222222"/>
        </w:rPr>
        <w:t>International Nursing Review</w:t>
      </w:r>
      <w:r>
        <w:rPr>
          <w:color w:val="222222"/>
        </w:rPr>
        <w:t xml:space="preserve">, </w:t>
      </w:r>
      <w:r>
        <w:rPr>
          <w:i/>
          <w:iCs/>
          <w:color w:val="222222"/>
        </w:rPr>
        <w:t>72</w:t>
      </w:r>
      <w:r>
        <w:rPr>
          <w:color w:val="222222"/>
        </w:rPr>
        <w:t>(2), p.e70026.</w:t>
      </w:r>
    </w:p>
    <w:p w14:paraId="0049282A" w14:textId="77777777" w:rsidR="0069187F" w:rsidRDefault="00751C03">
      <w:pPr>
        <w:numPr>
          <w:ilvl w:val="0"/>
          <w:numId w:val="1"/>
        </w:numPr>
        <w:spacing w:line="360" w:lineRule="auto"/>
        <w:rPr>
          <w:color w:val="222222"/>
        </w:rPr>
      </w:pPr>
      <w:r>
        <w:rPr>
          <w:color w:val="222222"/>
        </w:rPr>
        <w:t xml:space="preserve">Zhang, T., Yan, X., Wang, W.Y.C. and Chen, Q., 2021. Unveiling physicians’ personal branding strategies in online healthcare service platforms. </w:t>
      </w:r>
      <w:r>
        <w:rPr>
          <w:i/>
          <w:iCs/>
          <w:color w:val="222222"/>
        </w:rPr>
        <w:t>Technological Forecasting and Social Change</w:t>
      </w:r>
      <w:r>
        <w:rPr>
          <w:color w:val="222222"/>
        </w:rPr>
        <w:t xml:space="preserve">, </w:t>
      </w:r>
      <w:r>
        <w:rPr>
          <w:i/>
          <w:iCs/>
          <w:color w:val="222222"/>
        </w:rPr>
        <w:t>171</w:t>
      </w:r>
      <w:r>
        <w:rPr>
          <w:color w:val="222222"/>
        </w:rPr>
        <w:t>, p.120964.</w:t>
      </w:r>
    </w:p>
    <w:sectPr w:rsidR="0069187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D9F79" w14:textId="77777777" w:rsidR="0082423D" w:rsidRDefault="0082423D" w:rsidP="0082423D">
      <w:pPr>
        <w:spacing w:line="240" w:lineRule="auto"/>
      </w:pPr>
      <w:r>
        <w:separator/>
      </w:r>
    </w:p>
  </w:endnote>
  <w:endnote w:type="continuationSeparator" w:id="0">
    <w:p w14:paraId="178C85C6" w14:textId="77777777" w:rsidR="0082423D" w:rsidRDefault="0082423D" w:rsidP="008242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86145" w14:textId="77777777" w:rsidR="0082423D" w:rsidRDefault="0082423D" w:rsidP="0082423D">
      <w:pPr>
        <w:spacing w:line="240" w:lineRule="auto"/>
      </w:pPr>
      <w:r>
        <w:separator/>
      </w:r>
    </w:p>
  </w:footnote>
  <w:footnote w:type="continuationSeparator" w:id="0">
    <w:p w14:paraId="6D43AD49" w14:textId="77777777" w:rsidR="0082423D" w:rsidRDefault="0082423D" w:rsidP="008242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3A2CE6"/>
    <w:multiLevelType w:val="multilevel"/>
    <w:tmpl w:val="0994F85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1507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87F"/>
    <w:rsid w:val="000173A3"/>
    <w:rsid w:val="000419E6"/>
    <w:rsid w:val="00045305"/>
    <w:rsid w:val="00077A39"/>
    <w:rsid w:val="000845C9"/>
    <w:rsid w:val="000870FB"/>
    <w:rsid w:val="000871C8"/>
    <w:rsid w:val="000B5333"/>
    <w:rsid w:val="000C27A1"/>
    <w:rsid w:val="000C5429"/>
    <w:rsid w:val="000D32C5"/>
    <w:rsid w:val="000F206E"/>
    <w:rsid w:val="000F365F"/>
    <w:rsid w:val="000F3B3E"/>
    <w:rsid w:val="0010014A"/>
    <w:rsid w:val="001020D4"/>
    <w:rsid w:val="001507F8"/>
    <w:rsid w:val="00150FBC"/>
    <w:rsid w:val="00153BF5"/>
    <w:rsid w:val="00172798"/>
    <w:rsid w:val="001952DE"/>
    <w:rsid w:val="001A2124"/>
    <w:rsid w:val="001D3251"/>
    <w:rsid w:val="001D7498"/>
    <w:rsid w:val="001E3D96"/>
    <w:rsid w:val="001E49A9"/>
    <w:rsid w:val="001F7421"/>
    <w:rsid w:val="00203E27"/>
    <w:rsid w:val="00220C4F"/>
    <w:rsid w:val="00243CF4"/>
    <w:rsid w:val="002511B5"/>
    <w:rsid w:val="0029391B"/>
    <w:rsid w:val="002B1F2C"/>
    <w:rsid w:val="002C0984"/>
    <w:rsid w:val="002D3243"/>
    <w:rsid w:val="0031114E"/>
    <w:rsid w:val="00322279"/>
    <w:rsid w:val="00326968"/>
    <w:rsid w:val="00331E61"/>
    <w:rsid w:val="00332538"/>
    <w:rsid w:val="0035690D"/>
    <w:rsid w:val="003578B9"/>
    <w:rsid w:val="00362875"/>
    <w:rsid w:val="003654F4"/>
    <w:rsid w:val="003A3AE1"/>
    <w:rsid w:val="003A647E"/>
    <w:rsid w:val="003C752E"/>
    <w:rsid w:val="004127B0"/>
    <w:rsid w:val="0047084B"/>
    <w:rsid w:val="004A423C"/>
    <w:rsid w:val="00521E67"/>
    <w:rsid w:val="00523869"/>
    <w:rsid w:val="0054471B"/>
    <w:rsid w:val="00566E56"/>
    <w:rsid w:val="005709E0"/>
    <w:rsid w:val="00571B6E"/>
    <w:rsid w:val="00572DA4"/>
    <w:rsid w:val="00572EF4"/>
    <w:rsid w:val="00584A0D"/>
    <w:rsid w:val="00590A95"/>
    <w:rsid w:val="005A3F26"/>
    <w:rsid w:val="005B2C8D"/>
    <w:rsid w:val="005B436A"/>
    <w:rsid w:val="005C42A7"/>
    <w:rsid w:val="005D571A"/>
    <w:rsid w:val="00631310"/>
    <w:rsid w:val="00636224"/>
    <w:rsid w:val="00641F3D"/>
    <w:rsid w:val="00647A00"/>
    <w:rsid w:val="00665DD6"/>
    <w:rsid w:val="00672622"/>
    <w:rsid w:val="0069187F"/>
    <w:rsid w:val="00693723"/>
    <w:rsid w:val="00697672"/>
    <w:rsid w:val="006B0614"/>
    <w:rsid w:val="006D1BF3"/>
    <w:rsid w:val="00717718"/>
    <w:rsid w:val="00725CF5"/>
    <w:rsid w:val="00735479"/>
    <w:rsid w:val="00751059"/>
    <w:rsid w:val="00751C03"/>
    <w:rsid w:val="00770247"/>
    <w:rsid w:val="00780716"/>
    <w:rsid w:val="00784305"/>
    <w:rsid w:val="007B5C94"/>
    <w:rsid w:val="007D6539"/>
    <w:rsid w:val="007D78D3"/>
    <w:rsid w:val="007F1BA8"/>
    <w:rsid w:val="00807C31"/>
    <w:rsid w:val="0082423D"/>
    <w:rsid w:val="0084051B"/>
    <w:rsid w:val="008500DC"/>
    <w:rsid w:val="008662AA"/>
    <w:rsid w:val="008920D3"/>
    <w:rsid w:val="008C3A22"/>
    <w:rsid w:val="008D4183"/>
    <w:rsid w:val="008E6091"/>
    <w:rsid w:val="008F596F"/>
    <w:rsid w:val="008F7047"/>
    <w:rsid w:val="009038B5"/>
    <w:rsid w:val="00943F9B"/>
    <w:rsid w:val="009831A1"/>
    <w:rsid w:val="00985424"/>
    <w:rsid w:val="009A13E3"/>
    <w:rsid w:val="009A6CF4"/>
    <w:rsid w:val="009D1526"/>
    <w:rsid w:val="009D4202"/>
    <w:rsid w:val="009D6D39"/>
    <w:rsid w:val="009E2C04"/>
    <w:rsid w:val="00A15F8A"/>
    <w:rsid w:val="00A51257"/>
    <w:rsid w:val="00A539A8"/>
    <w:rsid w:val="00A62399"/>
    <w:rsid w:val="00A74110"/>
    <w:rsid w:val="00A84AE2"/>
    <w:rsid w:val="00AD2C9C"/>
    <w:rsid w:val="00AD3316"/>
    <w:rsid w:val="00AE27DA"/>
    <w:rsid w:val="00AE4989"/>
    <w:rsid w:val="00AE7BB0"/>
    <w:rsid w:val="00AF3D73"/>
    <w:rsid w:val="00B26125"/>
    <w:rsid w:val="00B2726E"/>
    <w:rsid w:val="00B47C69"/>
    <w:rsid w:val="00B70805"/>
    <w:rsid w:val="00B82007"/>
    <w:rsid w:val="00BA2FE3"/>
    <w:rsid w:val="00C171FC"/>
    <w:rsid w:val="00C62290"/>
    <w:rsid w:val="00C6496A"/>
    <w:rsid w:val="00C72828"/>
    <w:rsid w:val="00C8118D"/>
    <w:rsid w:val="00C821B6"/>
    <w:rsid w:val="00CA531D"/>
    <w:rsid w:val="00CF08B9"/>
    <w:rsid w:val="00CF194E"/>
    <w:rsid w:val="00D102A5"/>
    <w:rsid w:val="00D25750"/>
    <w:rsid w:val="00D35F44"/>
    <w:rsid w:val="00D37966"/>
    <w:rsid w:val="00D811F4"/>
    <w:rsid w:val="00D85175"/>
    <w:rsid w:val="00D85CB5"/>
    <w:rsid w:val="00D91614"/>
    <w:rsid w:val="00DA200E"/>
    <w:rsid w:val="00DA5368"/>
    <w:rsid w:val="00DC5470"/>
    <w:rsid w:val="00DD3AD6"/>
    <w:rsid w:val="00DE1319"/>
    <w:rsid w:val="00DF55FA"/>
    <w:rsid w:val="00DF6D74"/>
    <w:rsid w:val="00E16FC9"/>
    <w:rsid w:val="00E31633"/>
    <w:rsid w:val="00E353D6"/>
    <w:rsid w:val="00E3752B"/>
    <w:rsid w:val="00EB2DB4"/>
    <w:rsid w:val="00EB71AF"/>
    <w:rsid w:val="00EC2D58"/>
    <w:rsid w:val="00EC37D8"/>
    <w:rsid w:val="00ED3E57"/>
    <w:rsid w:val="00ED4D16"/>
    <w:rsid w:val="00ED5020"/>
    <w:rsid w:val="00EF7FD8"/>
    <w:rsid w:val="00F024FD"/>
    <w:rsid w:val="00F21B46"/>
    <w:rsid w:val="00F36380"/>
    <w:rsid w:val="00F5033F"/>
    <w:rsid w:val="00F72223"/>
    <w:rsid w:val="00FA006C"/>
    <w:rsid w:val="00FA3809"/>
    <w:rsid w:val="00FA73BE"/>
    <w:rsid w:val="00FE5499"/>
    <w:rsid w:val="00FF2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B6302"/>
  <w15:docId w15:val="{F7EBDA6C-DC23-EF48-AB4C-A8FAB4C06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8118D"/>
    <w:pPr>
      <w:spacing w:after="100"/>
    </w:pPr>
  </w:style>
  <w:style w:type="character" w:styleId="Hyperlink">
    <w:name w:val="Hyperlink"/>
    <w:basedOn w:val="DefaultParagraphFont"/>
    <w:uiPriority w:val="99"/>
    <w:unhideWhenUsed/>
    <w:rsid w:val="00C8118D"/>
    <w:rPr>
      <w:color w:val="0000FF" w:themeColor="hyperlink"/>
      <w:u w:val="single"/>
    </w:rPr>
  </w:style>
  <w:style w:type="paragraph" w:styleId="Header">
    <w:name w:val="header"/>
    <w:basedOn w:val="Normal"/>
    <w:link w:val="HeaderChar"/>
    <w:uiPriority w:val="99"/>
    <w:unhideWhenUsed/>
    <w:rsid w:val="0082423D"/>
    <w:pPr>
      <w:tabs>
        <w:tab w:val="center" w:pos="4513"/>
        <w:tab w:val="right" w:pos="9026"/>
      </w:tabs>
      <w:spacing w:line="240" w:lineRule="auto"/>
    </w:pPr>
  </w:style>
  <w:style w:type="character" w:customStyle="1" w:styleId="HeaderChar">
    <w:name w:val="Header Char"/>
    <w:basedOn w:val="DefaultParagraphFont"/>
    <w:link w:val="Header"/>
    <w:uiPriority w:val="99"/>
    <w:rsid w:val="0082423D"/>
  </w:style>
  <w:style w:type="paragraph" w:styleId="Footer">
    <w:name w:val="footer"/>
    <w:basedOn w:val="Normal"/>
    <w:link w:val="FooterChar"/>
    <w:uiPriority w:val="99"/>
    <w:unhideWhenUsed/>
    <w:rsid w:val="0082423D"/>
    <w:pPr>
      <w:tabs>
        <w:tab w:val="center" w:pos="4513"/>
        <w:tab w:val="right" w:pos="9026"/>
      </w:tabs>
      <w:spacing w:line="240" w:lineRule="auto"/>
    </w:pPr>
  </w:style>
  <w:style w:type="character" w:customStyle="1" w:styleId="FooterChar">
    <w:name w:val="Footer Char"/>
    <w:basedOn w:val="DefaultParagraphFont"/>
    <w:link w:val="Footer"/>
    <w:uiPriority w:val="99"/>
    <w:rsid w:val="00824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2513</Words>
  <Characters>14325</Characters>
  <Application>Microsoft Office Word</Application>
  <DocSecurity>0</DocSecurity>
  <Lines>119</Lines>
  <Paragraphs>33</Paragraphs>
  <ScaleCrop>false</ScaleCrop>
  <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Nurul Islam Mohammad Nurul Islam (2327900)</dc:creator>
  <cp:keywords/>
  <cp:lastModifiedBy>Mohammad Nurul Islam Mohammad Nurul Islam (2327900)</cp:lastModifiedBy>
  <cp:revision>2</cp:revision>
  <dcterms:created xsi:type="dcterms:W3CDTF">2025-12-05T10:32:00Z</dcterms:created>
  <dcterms:modified xsi:type="dcterms:W3CDTF">2025-12-05T10:32:00Z</dcterms:modified>
</cp:coreProperties>
</file>