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107C3" w14:textId="34003D08" w:rsidR="000E13A4" w:rsidRPr="00FC713C" w:rsidRDefault="000E13A4">
      <w:pPr>
        <w:rPr>
          <w:i/>
          <w:iCs/>
          <w:sz w:val="18"/>
          <w:szCs w:val="18"/>
        </w:rPr>
      </w:pPr>
      <w:r>
        <w:rPr>
          <w:b/>
          <w:bCs/>
        </w:rPr>
        <w:t>REFLECTIVE ESSAY</w:t>
      </w:r>
      <w:r w:rsidR="00FC713C">
        <w:rPr>
          <w:b/>
          <w:bCs/>
        </w:rPr>
        <w:t xml:space="preserve">                                                                </w:t>
      </w:r>
      <w:r w:rsidR="00FC713C" w:rsidRPr="00FC713C">
        <w:rPr>
          <w:i/>
          <w:iCs/>
          <w:sz w:val="18"/>
          <w:szCs w:val="18"/>
        </w:rPr>
        <w:t>Word Count Excluding References and Quotations: 1</w:t>
      </w:r>
      <w:r w:rsidR="00E522B7">
        <w:rPr>
          <w:i/>
          <w:iCs/>
          <w:sz w:val="18"/>
          <w:szCs w:val="18"/>
        </w:rPr>
        <w:t>098</w:t>
      </w:r>
    </w:p>
    <w:p w14:paraId="213051AF" w14:textId="26E852E6" w:rsidR="00CC4C55" w:rsidRDefault="00E54602">
      <w:r>
        <w:t xml:space="preserve">In this </w:t>
      </w:r>
      <w:r w:rsidR="001231D7">
        <w:t>portfolio</w:t>
      </w:r>
      <w:r w:rsidR="00853D52">
        <w:t xml:space="preserve"> I </w:t>
      </w:r>
      <w:r w:rsidR="001231D7">
        <w:t>aim</w:t>
      </w:r>
      <w:r w:rsidR="00853D52">
        <w:t xml:space="preserve"> to explore </w:t>
      </w:r>
      <w:r w:rsidR="001D0FAC">
        <w:t xml:space="preserve">writing craft in </w:t>
      </w:r>
      <w:r w:rsidR="00853D52">
        <w:t>the genres of science fiction and fantasy. I</w:t>
      </w:r>
      <w:r w:rsidR="001231D7">
        <w:t xml:space="preserve"> am</w:t>
      </w:r>
      <w:r w:rsidR="00853D52">
        <w:t xml:space="preserve"> particularly </w:t>
      </w:r>
      <w:r w:rsidR="00BD2E63">
        <w:t>interested in exploring</w:t>
      </w:r>
      <w:r w:rsidR="00853D52">
        <w:t xml:space="preserve"> narrative craft and worldbuilding in these pieces as I wanted to expand my ability to create alternative places and believable characters within them.</w:t>
      </w:r>
      <w:r w:rsidR="001D0FAC">
        <w:t xml:space="preserve"> </w:t>
      </w:r>
      <w:r w:rsidR="003A3799">
        <w:t>I</w:t>
      </w:r>
      <w:r w:rsidR="00E35AA8">
        <w:t>n this essay I will discuss how other writers shape my creati</w:t>
      </w:r>
      <w:r w:rsidR="00CC274A">
        <w:t xml:space="preserve">ve practice, concepts of queer theory </w:t>
      </w:r>
      <w:r w:rsidR="003A4A61">
        <w:t xml:space="preserve">and </w:t>
      </w:r>
      <w:r w:rsidR="001865B4">
        <w:t xml:space="preserve">challenges </w:t>
      </w:r>
      <w:r w:rsidR="00991F24">
        <w:t>I faced and overcame with feedback I received throughout the process.</w:t>
      </w:r>
      <w:r w:rsidR="0025717A">
        <w:t xml:space="preserve"> </w:t>
      </w:r>
    </w:p>
    <w:p w14:paraId="3A3E78F1" w14:textId="77777777" w:rsidR="000E13A4" w:rsidRDefault="000E13A4">
      <w:pPr>
        <w:rPr>
          <w:b/>
          <w:bCs/>
        </w:rPr>
      </w:pPr>
    </w:p>
    <w:p w14:paraId="15D2C9B1" w14:textId="38088761" w:rsidR="00853D52" w:rsidRPr="00145741" w:rsidRDefault="00CC4C55">
      <w:pPr>
        <w:rPr>
          <w:b/>
          <w:bCs/>
        </w:rPr>
      </w:pPr>
      <w:r w:rsidRPr="00145741">
        <w:rPr>
          <w:b/>
          <w:bCs/>
        </w:rPr>
        <w:t>PIECE ONE:</w:t>
      </w:r>
      <w:r w:rsidR="00A21FDB">
        <w:rPr>
          <w:b/>
          <w:bCs/>
        </w:rPr>
        <w:t xml:space="preserve"> </w:t>
      </w:r>
      <w:r w:rsidR="00A21FDB" w:rsidRPr="00A21FDB">
        <w:rPr>
          <w:b/>
          <w:bCs/>
        </w:rPr>
        <w:t>WHAT IF YOU BELONG IN THE CLOSET?</w:t>
      </w:r>
    </w:p>
    <w:p w14:paraId="5B7AC77D" w14:textId="3FBE240F" w:rsidR="00CC4C55" w:rsidRDefault="007C17D4">
      <w:r>
        <w:t>The primary inspiration for my first piece was Casey Mc</w:t>
      </w:r>
      <w:r w:rsidR="0077769A">
        <w:t>Q</w:t>
      </w:r>
      <w:r>
        <w:t xml:space="preserve">uiston’s </w:t>
      </w:r>
      <w:r w:rsidRPr="007C17D4">
        <w:rPr>
          <w:i/>
          <w:iCs/>
        </w:rPr>
        <w:t>One Last Stop</w:t>
      </w:r>
      <w:r w:rsidR="006D507C">
        <w:rPr>
          <w:i/>
          <w:iCs/>
        </w:rPr>
        <w:t xml:space="preserve">, </w:t>
      </w:r>
      <w:r w:rsidR="006D507C">
        <w:t>where she u</w:t>
      </w:r>
      <w:r>
        <w:t>s</w:t>
      </w:r>
      <w:r w:rsidR="006D507C">
        <w:t>es</w:t>
      </w:r>
      <w:r>
        <w:t xml:space="preserve"> </w:t>
      </w:r>
      <w:r w:rsidR="006D507C">
        <w:t xml:space="preserve">the </w:t>
      </w:r>
      <w:r>
        <w:t xml:space="preserve">time travel </w:t>
      </w:r>
      <w:r w:rsidR="006D507C">
        <w:t>to create</w:t>
      </w:r>
      <w:r>
        <w:t xml:space="preserve"> a sense of belonging as Jane finds a new </w:t>
      </w:r>
      <w:r w:rsidR="006D507C">
        <w:t>home in the 21</w:t>
      </w:r>
      <w:r w:rsidR="006D507C" w:rsidRPr="006D507C">
        <w:rPr>
          <w:vertAlign w:val="superscript"/>
        </w:rPr>
        <w:t>st</w:t>
      </w:r>
      <w:r w:rsidR="006D507C">
        <w:t xml:space="preserve"> century </w:t>
      </w:r>
      <w:r>
        <w:t xml:space="preserve">after being freed from the subway on her </w:t>
      </w:r>
      <w:r w:rsidR="006D507C">
        <w:t xml:space="preserve">accidental </w:t>
      </w:r>
      <w:r>
        <w:t>journey through time</w:t>
      </w:r>
      <w:r w:rsidR="006D507C">
        <w:t xml:space="preserve"> from the 1970s</w:t>
      </w:r>
      <w:r w:rsidR="003E19EE">
        <w:rPr>
          <w:rStyle w:val="FootnoteReference"/>
        </w:rPr>
        <w:footnoteReference w:id="1"/>
      </w:r>
      <w:r>
        <w:t xml:space="preserve">. </w:t>
      </w:r>
      <w:r w:rsidR="006D507C">
        <w:t>Th</w:t>
      </w:r>
      <w:r w:rsidR="001E7624">
        <w:t>e central motif is</w:t>
      </w:r>
      <w:r w:rsidR="006E6357">
        <w:t xml:space="preserve"> “[y]ou gotta make your own place to belong” which </w:t>
      </w:r>
      <w:r w:rsidR="006D507C">
        <w:t xml:space="preserve">explores the concept that </w:t>
      </w:r>
      <w:r w:rsidR="00FB0053">
        <w:t xml:space="preserve">a character can belong in a different time to that in which they started and </w:t>
      </w:r>
      <w:r w:rsidR="00FC713C">
        <w:t xml:space="preserve">a this is a motif </w:t>
      </w:r>
      <w:r w:rsidR="00FB0053">
        <w:t xml:space="preserve">I mirrored in my piece as Adeline </w:t>
      </w:r>
      <w:r w:rsidR="00D23924">
        <w:t>belongs in the 21</w:t>
      </w:r>
      <w:r w:rsidR="00D23924" w:rsidRPr="00D23924">
        <w:rPr>
          <w:vertAlign w:val="superscript"/>
        </w:rPr>
        <w:t>st</w:t>
      </w:r>
      <w:r w:rsidR="00D23924">
        <w:t xml:space="preserve"> century despite being from the 19</w:t>
      </w:r>
      <w:r w:rsidR="00F91363">
        <w:t>2</w:t>
      </w:r>
      <w:r w:rsidR="00D23924">
        <w:t>0s</w:t>
      </w:r>
      <w:r w:rsidR="003E19EE">
        <w:rPr>
          <w:rStyle w:val="FootnoteReference"/>
        </w:rPr>
        <w:footnoteReference w:id="2"/>
      </w:r>
      <w:r w:rsidR="00D23924">
        <w:t>. The queer representation was also key here, as time travel stories often feature LGBTQ+ characters, as I will explore later.</w:t>
      </w:r>
    </w:p>
    <w:p w14:paraId="282680D9" w14:textId="04E407AA" w:rsidR="005E2CA8" w:rsidRDefault="00D23924" w:rsidP="00C97695">
      <w:r>
        <w:t>The inspiration for the machine itself came from HG Wells’</w:t>
      </w:r>
      <w:r w:rsidR="00A65FA4">
        <w:t>s</w:t>
      </w:r>
      <w:r>
        <w:t xml:space="preserve"> </w:t>
      </w:r>
      <w:r w:rsidR="00C97695" w:rsidRPr="00D23924">
        <w:rPr>
          <w:i/>
          <w:iCs/>
        </w:rPr>
        <w:t>The Time Machine</w:t>
      </w:r>
      <w:r w:rsidR="00C97695">
        <w:t xml:space="preserve"> </w:t>
      </w:r>
      <w:r w:rsidR="00265BA1">
        <w:t xml:space="preserve">which has a detailed scientific </w:t>
      </w:r>
      <w:r>
        <w:t xml:space="preserve">description </w:t>
      </w:r>
      <w:r w:rsidR="00265BA1">
        <w:t xml:space="preserve">and </w:t>
      </w:r>
      <w:r w:rsidR="002E4271">
        <w:t xml:space="preserve">in terms of modern fictional </w:t>
      </w:r>
      <w:r w:rsidR="00F85B47">
        <w:t>time machine</w:t>
      </w:r>
      <w:r w:rsidR="002E4271">
        <w:t>s, Wells sets a good example</w:t>
      </w:r>
      <w:r w:rsidR="003E19EE">
        <w:rPr>
          <w:rStyle w:val="FootnoteReference"/>
        </w:rPr>
        <w:footnoteReference w:id="3"/>
      </w:r>
      <w:r w:rsidR="002E4271">
        <w:t xml:space="preserve">. </w:t>
      </w:r>
      <w:r w:rsidR="00F85B47">
        <w:t xml:space="preserve"> </w:t>
      </w:r>
      <w:r w:rsidR="002E4271">
        <w:t xml:space="preserve">I combined this idea with </w:t>
      </w:r>
      <w:r w:rsidR="00265BA1">
        <w:t xml:space="preserve">CS Lewis’s </w:t>
      </w:r>
      <w:r w:rsidR="005E2CA8">
        <w:t>The Lion The Witch and The Wardrobe</w:t>
      </w:r>
      <w:r w:rsidR="002556A9">
        <w:t>, using the wardrobe as our point through which we travel</w:t>
      </w:r>
      <w:r w:rsidR="003E19EE">
        <w:rPr>
          <w:rStyle w:val="FootnoteReference"/>
        </w:rPr>
        <w:footnoteReference w:id="4"/>
      </w:r>
      <w:r w:rsidR="002556A9">
        <w:t>. This also sparked a metaphor about close</w:t>
      </w:r>
      <w:r w:rsidR="00204843">
        <w:t xml:space="preserve">ts, </w:t>
      </w:r>
      <w:r w:rsidR="0069038E">
        <w:t xml:space="preserve">as queer people come out of the closet and hope to find a place in which to belong, </w:t>
      </w:r>
      <w:r w:rsidR="00204843">
        <w:t>linking again to the queer theory</w:t>
      </w:r>
      <w:r w:rsidR="0034750A">
        <w:t xml:space="preserve"> I researched while writing. </w:t>
      </w:r>
    </w:p>
    <w:p w14:paraId="34064BA4" w14:textId="4A488E92" w:rsidR="00853D52" w:rsidRDefault="004C606A" w:rsidP="00853D52">
      <w:r>
        <w:t>James Baldwin</w:t>
      </w:r>
      <w:r w:rsidR="00C86BAD">
        <w:t>’s</w:t>
      </w:r>
      <w:r>
        <w:t xml:space="preserve"> </w:t>
      </w:r>
      <w:r w:rsidR="00C86BAD" w:rsidRPr="00C86BAD">
        <w:rPr>
          <w:i/>
          <w:iCs/>
        </w:rPr>
        <w:t>Giovanni’s Room</w:t>
      </w:r>
      <w:r w:rsidR="00C86BAD">
        <w:t xml:space="preserve"> </w:t>
      </w:r>
      <w:r w:rsidR="00113C2E">
        <w:t xml:space="preserve">inspects the relationship between queerness and social acceptance in 1950s Paris, following </w:t>
      </w:r>
      <w:r w:rsidR="006231CD">
        <w:t>David, an American waiting for his fiancée to return from a holiday</w:t>
      </w:r>
      <w:r w:rsidR="003E19EE">
        <w:rPr>
          <w:rStyle w:val="FootnoteReference"/>
        </w:rPr>
        <w:footnoteReference w:id="5"/>
      </w:r>
      <w:r w:rsidR="006231CD">
        <w:t xml:space="preserve">. In the time she is away, </w:t>
      </w:r>
      <w:r w:rsidR="00F07A0E">
        <w:t>he has an affair with an Italian bartender</w:t>
      </w:r>
      <w:r w:rsidR="003E19EE">
        <w:t xml:space="preserve"> bringing c</w:t>
      </w:r>
      <w:r w:rsidR="00F07A0E">
        <w:t xml:space="preserve">ultural ideals and queer </w:t>
      </w:r>
      <w:r w:rsidR="000A7A8C">
        <w:t>lives under the spotlight</w:t>
      </w:r>
      <w:r w:rsidR="0028332F">
        <w:rPr>
          <w:rStyle w:val="FootnoteReference"/>
        </w:rPr>
        <w:footnoteReference w:id="6"/>
      </w:r>
      <w:r w:rsidR="0028332F">
        <w:t>. E</w:t>
      </w:r>
      <w:r w:rsidR="000A7A8C">
        <w:t xml:space="preserve">ventually David’s decision to </w:t>
      </w:r>
      <w:r w:rsidR="00282962">
        <w:t>marry</w:t>
      </w:r>
      <w:r w:rsidR="000A7A8C">
        <w:t xml:space="preserve"> brings tragedy</w:t>
      </w:r>
      <w:r w:rsidR="0028332F">
        <w:t xml:space="preserve"> and t</w:t>
      </w:r>
      <w:r w:rsidR="000A7A8C">
        <w:t xml:space="preserve">he suggestion that it is important to be yourself </w:t>
      </w:r>
      <w:r w:rsidR="00282962">
        <w:t>is</w:t>
      </w:r>
      <w:r w:rsidR="000A7A8C">
        <w:t xml:space="preserve"> an idea I mirrored in my first piece as Adeline leaves the 1920s to pursue a future with </w:t>
      </w:r>
      <w:r w:rsidR="00282962">
        <w:t>Lindsey in the 2020s. She chooses to be her</w:t>
      </w:r>
      <w:r w:rsidR="005631C6">
        <w:t xml:space="preserve">self </w:t>
      </w:r>
      <w:r w:rsidR="00282962">
        <w:t xml:space="preserve">and escape her engagement </w:t>
      </w:r>
      <w:r w:rsidR="005631C6">
        <w:t>i</w:t>
      </w:r>
      <w:r w:rsidR="00282962">
        <w:t xml:space="preserve">n favour of authenticity, reimagining David’s story had he made the alternative choice. </w:t>
      </w:r>
    </w:p>
    <w:p w14:paraId="1AB63E1E" w14:textId="45C7A409" w:rsidR="00CC4C55" w:rsidRDefault="00374287" w:rsidP="00853D52">
      <w:r>
        <w:t>I discovered whilst writing that speculative fiction and q</w:t>
      </w:r>
      <w:r w:rsidR="00853D52">
        <w:t xml:space="preserve">ueer </w:t>
      </w:r>
      <w:r w:rsidR="008E3E0B">
        <w:t>stories</w:t>
      </w:r>
      <w:r>
        <w:t xml:space="preserve"> are often intertwined, as queer writers imagine a world where </w:t>
      </w:r>
      <w:r w:rsidR="000C7056">
        <w:t xml:space="preserve">heteronormativity is not a societal expectation </w:t>
      </w:r>
      <w:r>
        <w:t xml:space="preserve">or </w:t>
      </w:r>
      <w:r w:rsidR="000C7056">
        <w:t xml:space="preserve">create worlds so strange that it is normal to be queer. This is particularly common in time travel fiction as </w:t>
      </w:r>
      <w:r w:rsidR="00891EBE">
        <w:t>J</w:t>
      </w:r>
      <w:r w:rsidR="00CD1358">
        <w:t xml:space="preserve">ack Halberstam </w:t>
      </w:r>
      <w:r w:rsidR="000C7056">
        <w:t xml:space="preserve">writes: “[q]ueer time and space are useful frameworks in assessing </w:t>
      </w:r>
      <w:r w:rsidR="0068063D">
        <w:t>political and cultural change in the late 20</w:t>
      </w:r>
      <w:r w:rsidR="0068063D" w:rsidRPr="0068063D">
        <w:rPr>
          <w:vertAlign w:val="superscript"/>
        </w:rPr>
        <w:t>th</w:t>
      </w:r>
      <w:r w:rsidR="0068063D">
        <w:t xml:space="preserve"> and 21</w:t>
      </w:r>
      <w:r w:rsidR="0068063D" w:rsidRPr="0068063D">
        <w:rPr>
          <w:vertAlign w:val="superscript"/>
        </w:rPr>
        <w:t>st</w:t>
      </w:r>
      <w:r w:rsidR="0068063D">
        <w:t xml:space="preserve"> centuries (both what has changed and what must change)</w:t>
      </w:r>
      <w:r w:rsidR="001027A1">
        <w:t>”</w:t>
      </w:r>
      <w:r w:rsidR="0028332F">
        <w:rPr>
          <w:rStyle w:val="FootnoteReference"/>
        </w:rPr>
        <w:footnoteReference w:id="7"/>
      </w:r>
      <w:r w:rsidR="001027A1">
        <w:t xml:space="preserve">. </w:t>
      </w:r>
      <w:r w:rsidR="00F15BF3">
        <w:t>B</w:t>
      </w:r>
      <w:r w:rsidR="00B52C7F">
        <w:t xml:space="preserve">reaking </w:t>
      </w:r>
      <w:r w:rsidR="00DB3E30">
        <w:t>“</w:t>
      </w:r>
      <w:r w:rsidR="00B52C7F">
        <w:t>c</w:t>
      </w:r>
      <w:r w:rsidR="00CD1358">
        <w:t>hrononormativ</w:t>
      </w:r>
      <w:r w:rsidR="00B52C7F">
        <w:t>e</w:t>
      </w:r>
      <w:r w:rsidR="00DB3E30">
        <w:t xml:space="preserve">” </w:t>
      </w:r>
      <w:r w:rsidR="00B52C7F">
        <w:t xml:space="preserve">patterns </w:t>
      </w:r>
      <w:r w:rsidR="00D37179">
        <w:t>allow</w:t>
      </w:r>
      <w:r w:rsidR="00F15BF3">
        <w:t>ed</w:t>
      </w:r>
      <w:r w:rsidR="00F15BF3" w:rsidRPr="00F15BF3">
        <w:t xml:space="preserve"> </w:t>
      </w:r>
      <w:r w:rsidR="00F15BF3">
        <w:t>me to subvert expectations of linear time to bring representatives of the two periods together for a vivid comparison</w:t>
      </w:r>
      <w:r w:rsidR="0028332F">
        <w:rPr>
          <w:rStyle w:val="FootnoteReference"/>
        </w:rPr>
        <w:footnoteReference w:id="8"/>
      </w:r>
      <w:r w:rsidR="00F15BF3">
        <w:t xml:space="preserve">. </w:t>
      </w:r>
      <w:r w:rsidR="004F5A8A">
        <w:t>For example, “</w:t>
      </w:r>
      <w:r w:rsidR="004F5A8A" w:rsidRPr="004F5A8A">
        <w:t xml:space="preserve">short hair and leather jacket a vast contradiction to her femininity in her </w:t>
      </w:r>
      <w:r w:rsidR="004F5A8A">
        <w:t xml:space="preserve">[…] </w:t>
      </w:r>
      <w:r w:rsidR="004F5A8A" w:rsidRPr="004F5A8A">
        <w:t>dress</w:t>
      </w:r>
      <w:r w:rsidR="004F5A8A">
        <w:t>”</w:t>
      </w:r>
      <w:r w:rsidR="00563D54">
        <w:t xml:space="preserve"> Using </w:t>
      </w:r>
      <w:r w:rsidR="00F15BF3">
        <w:t>female characters</w:t>
      </w:r>
      <w:r w:rsidR="00563D54">
        <w:t xml:space="preserve"> in my </w:t>
      </w:r>
      <w:r w:rsidR="00563D54">
        <w:lastRenderedPageBreak/>
        <w:t xml:space="preserve">piece allowed me to explore the changes in </w:t>
      </w:r>
      <w:r w:rsidR="00204C7E">
        <w:t xml:space="preserve">femininity and expectations of womanhood over time alongside </w:t>
      </w:r>
      <w:r w:rsidR="00F15BF3">
        <w:t xml:space="preserve">that </w:t>
      </w:r>
      <w:r w:rsidR="00204C7E">
        <w:t xml:space="preserve">of the LGBTQ+ community. </w:t>
      </w:r>
    </w:p>
    <w:p w14:paraId="471E4FF7" w14:textId="79E42329" w:rsidR="00CC4C55" w:rsidRDefault="00D12708" w:rsidP="00853D52">
      <w:r>
        <w:t>Feedback I received through workshopping my piece indicated that I was struggling with n</w:t>
      </w:r>
      <w:r w:rsidR="00CC4C55">
        <w:t>arrative point of view</w:t>
      </w:r>
      <w:r>
        <w:t xml:space="preserve"> as I was writing from Lindsey’s perspective but appeared to be inside Adeline’s head, making it read as omniscient narration. I tried some different types of narration including third person Adeline/Lindsey’s perspective, omniscient and first person Adeline/ Lindsey’s perspective. I decided that first person Lindsey’s perspective felt most authentic as her character was closest to myself time/ identity wise so I edited the sections where Adeline’s internal voice came through too strongly. For example, “[s]he feels underdressed in her polka dot dress” became “</w:t>
      </w:r>
      <w:r w:rsidRPr="00D12708">
        <w:t>I suddenly feel underdressed</w:t>
      </w:r>
      <w:r w:rsidR="00E44668">
        <w:t>, my short hair</w:t>
      </w:r>
      <w:r w:rsidR="00C432B0">
        <w:t xml:space="preserve"> […] </w:t>
      </w:r>
      <w:r w:rsidR="00C432B0" w:rsidRPr="00C432B0">
        <w:t>a vast contradiction to her femininity in her […] dress</w:t>
      </w:r>
      <w:r w:rsidR="00F15BF3">
        <w:t>”</w:t>
      </w:r>
    </w:p>
    <w:p w14:paraId="39E3E8E0" w14:textId="77777777" w:rsidR="00CC4C55" w:rsidRDefault="00CC4C55" w:rsidP="00CC4C55"/>
    <w:p w14:paraId="358AFEAC" w14:textId="2994442F" w:rsidR="00CC4C55" w:rsidRPr="00E944C6" w:rsidRDefault="00CC4C55" w:rsidP="00CC4C55">
      <w:pPr>
        <w:rPr>
          <w:b/>
          <w:bCs/>
        </w:rPr>
      </w:pPr>
      <w:r w:rsidRPr="00E944C6">
        <w:rPr>
          <w:b/>
          <w:bCs/>
        </w:rPr>
        <w:t>PIECE TWO:</w:t>
      </w:r>
      <w:r w:rsidR="000E13A4">
        <w:rPr>
          <w:b/>
          <w:bCs/>
        </w:rPr>
        <w:t xml:space="preserve"> </w:t>
      </w:r>
      <w:r w:rsidR="000E13A4" w:rsidRPr="000E13A4">
        <w:rPr>
          <w:b/>
          <w:bCs/>
        </w:rPr>
        <w:t>THE STATION ALCHEMIST AND HIS CHILD OF THE STARS</w:t>
      </w:r>
    </w:p>
    <w:p w14:paraId="096271E4" w14:textId="73A12C8A" w:rsidR="00A90D7D" w:rsidRDefault="004133FC" w:rsidP="00CC4C55">
      <w:r>
        <w:t xml:space="preserve">It is evident in this piece that I am attempting to emulate the craft of </w:t>
      </w:r>
      <w:r w:rsidR="00976336">
        <w:t xml:space="preserve">Susanna Clarke’s </w:t>
      </w:r>
      <w:r w:rsidR="00976336" w:rsidRPr="000E5907">
        <w:rPr>
          <w:i/>
          <w:iCs/>
        </w:rPr>
        <w:t>Piranesi</w:t>
      </w:r>
      <w:r w:rsidR="00976336">
        <w:rPr>
          <w:i/>
          <w:iCs/>
        </w:rPr>
        <w:t xml:space="preserve"> </w:t>
      </w:r>
      <w:r w:rsidR="00E719C2">
        <w:t>and her</w:t>
      </w:r>
      <w:r w:rsidR="00976336">
        <w:t xml:space="preserve"> use of adult innocence and exploration of surroundings</w:t>
      </w:r>
      <w:r w:rsidR="0028332F">
        <w:rPr>
          <w:rStyle w:val="FootnoteReference"/>
        </w:rPr>
        <w:footnoteReference w:id="9"/>
      </w:r>
      <w:r w:rsidR="00976336">
        <w:t xml:space="preserve">. </w:t>
      </w:r>
      <w:r w:rsidR="006F1A40">
        <w:t>Creating an alternative world where the c</w:t>
      </w:r>
      <w:r w:rsidR="006B4DBC">
        <w:t>ha</w:t>
      </w:r>
      <w:r w:rsidR="006F1A40">
        <w:t xml:space="preserve">racters are </w:t>
      </w:r>
      <w:r w:rsidR="006B4DBC">
        <w:t xml:space="preserve">mostly </w:t>
      </w:r>
      <w:r w:rsidR="006F1A40">
        <w:t>solitary</w:t>
      </w:r>
      <w:r w:rsidR="006B4DBC">
        <w:t xml:space="preserve"> was interesting as one character knows much more than the other in terms of the outside and the names of things</w:t>
      </w:r>
      <w:r w:rsidR="0028332F">
        <w:rPr>
          <w:rStyle w:val="FootnoteReference"/>
        </w:rPr>
        <w:footnoteReference w:id="10"/>
      </w:r>
      <w:r w:rsidR="00E6027D">
        <w:t xml:space="preserve">. In Piranesi, </w:t>
      </w:r>
      <w:r w:rsidR="00C45ECA">
        <w:t>T</w:t>
      </w:r>
      <w:r w:rsidR="00E6027D">
        <w:t xml:space="preserve">he </w:t>
      </w:r>
      <w:r w:rsidR="00C45ECA">
        <w:t>O</w:t>
      </w:r>
      <w:r w:rsidR="00E6027D">
        <w:t>ther seems to have access to things such as shoes and food, whereas Piranesi himself dries out seaweed for fuel and makes shoes from fish leather</w:t>
      </w:r>
      <w:r w:rsidR="00C45ECA">
        <w:t xml:space="preserve">, and in my piece The Alchemist knows </w:t>
      </w:r>
      <w:r w:rsidR="0097273C">
        <w:t>the names of places and of the bird, whereas Percy does not, and does not seem to know why the Alchemist has different views on the world because as far as she is concerned the world is only Here</w:t>
      </w:r>
      <w:r w:rsidR="0028332F">
        <w:rPr>
          <w:rStyle w:val="FootnoteReference"/>
        </w:rPr>
        <w:footnoteReference w:id="11"/>
      </w:r>
      <w:r w:rsidR="0097273C">
        <w:t xml:space="preserve">. </w:t>
      </w:r>
      <w:r w:rsidR="00D9731F">
        <w:t xml:space="preserve">I also used Clarke’s capitalisation style, </w:t>
      </w:r>
      <w:r w:rsidR="00CA7BF6">
        <w:t>as she capitalises the first letters of important things</w:t>
      </w:r>
      <w:r w:rsidR="006E1351">
        <w:t xml:space="preserve">, for example “[s]cattered about the House are </w:t>
      </w:r>
      <w:r w:rsidR="004A15A5">
        <w:t>Statues in which People or Gods or Beasts”</w:t>
      </w:r>
      <w:r w:rsidR="0028332F">
        <w:rPr>
          <w:rStyle w:val="FootnoteReference"/>
        </w:rPr>
        <w:footnoteReference w:id="12"/>
      </w:r>
      <w:r w:rsidR="00CA4537">
        <w:t xml:space="preserve">. I used this in </w:t>
      </w:r>
      <w:r w:rsidR="00E44FF1">
        <w:t>my piece: “</w:t>
      </w:r>
      <w:r w:rsidR="00E44FF1" w:rsidRPr="00E44FF1">
        <w:t>I looked at myself in the new reflections, my eyelids, my lips, covered in Stardust.</w:t>
      </w:r>
      <w:r w:rsidR="00E44FF1">
        <w:t>”</w:t>
      </w:r>
    </w:p>
    <w:p w14:paraId="6D2FE923" w14:textId="74D11AA3" w:rsidR="00853D52" w:rsidRDefault="00D7104B" w:rsidP="00FF4A77">
      <w:r>
        <w:t xml:space="preserve">In </w:t>
      </w:r>
      <w:r w:rsidR="004D3553">
        <w:t xml:space="preserve">Erin Morgernstern’s </w:t>
      </w:r>
      <w:r w:rsidR="00CC4C55" w:rsidRPr="004D3553">
        <w:rPr>
          <w:i/>
          <w:iCs/>
        </w:rPr>
        <w:t>The Starless Sea</w:t>
      </w:r>
      <w:r w:rsidR="00CC4C55">
        <w:t xml:space="preserve"> </w:t>
      </w:r>
      <w:r>
        <w:t>the surreal, almost magical feeling is created through worldbuilding</w:t>
      </w:r>
      <w:r w:rsidR="006E3CFF">
        <w:t xml:space="preserve"> and sensory description</w:t>
      </w:r>
      <w:r w:rsidR="0028332F">
        <w:rPr>
          <w:rStyle w:val="FootnoteReference"/>
        </w:rPr>
        <w:footnoteReference w:id="13"/>
      </w:r>
      <w:r w:rsidR="006E3CFF">
        <w:t>. I used the senses in my description of The Sinking Place</w:t>
      </w:r>
      <w:r w:rsidR="00001145">
        <w:t xml:space="preserve"> and I was particularly inspired by Morgernstern’s focus on Zachary’s lungs as he drowns in the Starless Sea</w:t>
      </w:r>
      <w:r w:rsidR="006E3CFF">
        <w:t>:</w:t>
      </w:r>
      <w:r w:rsidR="00755E45" w:rsidRPr="00755E45">
        <w:t xml:space="preserve"> </w:t>
      </w:r>
      <w:r w:rsidR="00A9208C">
        <w:t>“[t]he last thing he remembers is honey, so much honey</w:t>
      </w:r>
      <w:r w:rsidR="00C13DC6">
        <w:t xml:space="preserve"> filling his lungs and pulling him down to the bottom”</w:t>
      </w:r>
      <w:r w:rsidR="0028332F">
        <w:rPr>
          <w:rStyle w:val="FootnoteReference"/>
        </w:rPr>
        <w:footnoteReference w:id="14"/>
      </w:r>
      <w:r w:rsidR="005C4C4E">
        <w:t xml:space="preserve">. I used this idea in my piece </w:t>
      </w:r>
      <w:r w:rsidR="00E944C6">
        <w:t xml:space="preserve">describing the water vapour in the air: </w:t>
      </w:r>
      <w:r w:rsidR="00755E45">
        <w:t>“</w:t>
      </w:r>
      <w:r w:rsidR="00001145">
        <w:t>[t]</w:t>
      </w:r>
      <w:r w:rsidR="00755E45" w:rsidRPr="00755E45">
        <w:t xml:space="preserve">asting the water suspended in the air, it was </w:t>
      </w:r>
      <w:r w:rsidR="0057019E">
        <w:t xml:space="preserve">warm and </w:t>
      </w:r>
      <w:r w:rsidR="00755E45" w:rsidRPr="00755E45">
        <w:t>heavy on my tongue and as I breathed, it crawled down into my lungs, making a nest there.</w:t>
      </w:r>
      <w:r w:rsidR="00755E45">
        <w:t>”</w:t>
      </w:r>
      <w:r w:rsidR="00001145">
        <w:t xml:space="preserve"> </w:t>
      </w:r>
    </w:p>
    <w:p w14:paraId="03748214" w14:textId="58A2B05F" w:rsidR="00853D52" w:rsidRDefault="001D5022" w:rsidP="00853D52">
      <w:r>
        <w:t>S</w:t>
      </w:r>
      <w:r w:rsidRPr="001D5022">
        <w:t xml:space="preserve">hklovsky </w:t>
      </w:r>
      <w:r>
        <w:t>s</w:t>
      </w:r>
      <w:r w:rsidR="00442F72">
        <w:t>tates</w:t>
      </w:r>
      <w:r>
        <w:t xml:space="preserve"> that the p</w:t>
      </w:r>
      <w:r w:rsidR="003F67D0">
        <w:t>ur</w:t>
      </w:r>
      <w:r>
        <w:t xml:space="preserve">pose of art is </w:t>
      </w:r>
      <w:r w:rsidR="003F67D0">
        <w:t>to “recover the sensation of life”</w:t>
      </w:r>
      <w:r w:rsidR="00AF3524">
        <w:t>, and the technique of doing so is to “make objects unfamiliar”</w:t>
      </w:r>
      <w:r w:rsidR="00AF3524">
        <w:rPr>
          <w:rStyle w:val="FootnoteReference"/>
        </w:rPr>
        <w:footnoteReference w:id="15"/>
      </w:r>
      <w:r w:rsidR="00AF3524">
        <w:t xml:space="preserve">. </w:t>
      </w:r>
      <w:r w:rsidR="00843B09">
        <w:t>I use</w:t>
      </w:r>
      <w:r w:rsidR="00B701C1">
        <w:t>d</w:t>
      </w:r>
      <w:r w:rsidR="00843B09">
        <w:t xml:space="preserve"> </w:t>
      </w:r>
      <w:r w:rsidR="00AF3524">
        <w:t>defamiliarisation</w:t>
      </w:r>
      <w:r w:rsidR="00843B09">
        <w:t xml:space="preserve"> in my description of the bird as I want</w:t>
      </w:r>
      <w:r w:rsidR="00B701C1">
        <w:t>ed</w:t>
      </w:r>
      <w:r w:rsidR="00843B09">
        <w:t xml:space="preserve"> the reader to understand what it was that Percy found, even though she did not.</w:t>
      </w:r>
      <w:r w:rsidR="00E42488" w:rsidRPr="00E42488">
        <w:t xml:space="preserve"> </w:t>
      </w:r>
      <w:r w:rsidR="00E42488">
        <w:t>I describe</w:t>
      </w:r>
      <w:r w:rsidR="00B701C1">
        <w:t xml:space="preserve">d </w:t>
      </w:r>
      <w:r w:rsidR="00E42488">
        <w:t>the starling as “</w:t>
      </w:r>
      <w:r w:rsidR="00E42488" w:rsidRPr="00CA6491">
        <w:t>A fresh bruise or an oil slick in the moonlight.</w:t>
      </w:r>
      <w:r w:rsidR="00E42488">
        <w:t>”, and continue</w:t>
      </w:r>
      <w:r w:rsidR="00B701C1">
        <w:t xml:space="preserve">d </w:t>
      </w:r>
      <w:r w:rsidR="00E42488">
        <w:t>to refer to i</w:t>
      </w:r>
      <w:r w:rsidR="00B701C1">
        <w:t xml:space="preserve">t </w:t>
      </w:r>
      <w:r w:rsidR="00E42488">
        <w:t xml:space="preserve">as the “oil slick Not-Pigeon” until Percy discovers its name. </w:t>
      </w:r>
      <w:r w:rsidR="0081109B">
        <w:t>This was intended to add to the feeling of innocence and unawareness</w:t>
      </w:r>
      <w:r w:rsidR="00306F1D">
        <w:t xml:space="preserve">, and feedback I have received has indicated that this was successful. </w:t>
      </w:r>
    </w:p>
    <w:p w14:paraId="548E8BE4" w14:textId="77777777" w:rsidR="00E944C6" w:rsidRDefault="000D6FB9" w:rsidP="00C97695">
      <w:r>
        <w:lastRenderedPageBreak/>
        <w:t>Workshopping this piece indicated that I was struggling with t</w:t>
      </w:r>
      <w:r w:rsidR="00CC4C55">
        <w:t>ense</w:t>
      </w:r>
      <w:r w:rsidR="00F47E45">
        <w:t xml:space="preserve"> as I originally chose to write in present tense, but wanted to include elements of knowledge the character would not yet have had in that moment. I made the decision to write in past tense instead </w:t>
      </w:r>
      <w:r w:rsidR="001541D0">
        <w:t xml:space="preserve">so that I could include those sections. </w:t>
      </w:r>
    </w:p>
    <w:p w14:paraId="4EC37D97" w14:textId="77777777" w:rsidR="00E944C6" w:rsidRDefault="00E944C6" w:rsidP="00C97695"/>
    <w:p w14:paraId="499C18FA" w14:textId="5061B0AB" w:rsidR="00212D64" w:rsidRDefault="00212D64" w:rsidP="00C97695">
      <w:r>
        <w:t>In conclusion,</w:t>
      </w:r>
      <w:r w:rsidR="00E944C6" w:rsidRPr="00E944C6">
        <w:t xml:space="preserve"> I </w:t>
      </w:r>
      <w:r w:rsidR="00E944C6">
        <w:t xml:space="preserve">achieved my </w:t>
      </w:r>
      <w:r w:rsidR="00E944C6" w:rsidRPr="00E944C6">
        <w:t>aim to explore writing craft in the genres of science fiction and fantasy. I explor</w:t>
      </w:r>
      <w:r w:rsidR="00E944C6">
        <w:t xml:space="preserve">ed </w:t>
      </w:r>
      <w:r w:rsidR="00E944C6" w:rsidRPr="00E944C6">
        <w:t xml:space="preserve">narrative craft and worldbuilding in these pieces </w:t>
      </w:r>
      <w:r w:rsidR="00E944C6">
        <w:t xml:space="preserve">and </w:t>
      </w:r>
      <w:r w:rsidR="00E944C6" w:rsidRPr="00E944C6">
        <w:t>expand</w:t>
      </w:r>
      <w:r w:rsidR="00E944C6">
        <w:t>ed</w:t>
      </w:r>
      <w:r w:rsidR="00E944C6" w:rsidRPr="00E944C6">
        <w:t xml:space="preserve"> my ability to create alternative places and believable characters within them.</w:t>
      </w:r>
    </w:p>
    <w:p w14:paraId="6EF3F3C5" w14:textId="017274E6" w:rsidR="00C97695" w:rsidRDefault="00C97695" w:rsidP="00B45C46"/>
    <w:p w14:paraId="6F5B00ED" w14:textId="77777777" w:rsidR="00B20A12" w:rsidRDefault="00B20A12" w:rsidP="00B45C46"/>
    <w:p w14:paraId="3EB59D64" w14:textId="1531CD72" w:rsidR="00880FB0" w:rsidRDefault="00880FB0" w:rsidP="0077769A">
      <w:pPr>
        <w:rPr>
          <w:b/>
          <w:bCs/>
          <w:sz w:val="24"/>
          <w:szCs w:val="24"/>
          <w:u w:val="single"/>
        </w:rPr>
      </w:pPr>
      <w:r>
        <w:rPr>
          <w:b/>
          <w:bCs/>
          <w:sz w:val="24"/>
          <w:szCs w:val="24"/>
          <w:u w:val="single"/>
        </w:rPr>
        <w:t>References List</w:t>
      </w:r>
    </w:p>
    <w:p w14:paraId="65DB7409" w14:textId="2ADEC198" w:rsidR="0077769A" w:rsidRDefault="0077769A" w:rsidP="0077769A">
      <w:r>
        <w:t>Baldwin, James</w:t>
      </w:r>
      <w:r w:rsidRPr="00665884">
        <w:rPr>
          <w:i/>
          <w:iCs/>
        </w:rPr>
        <w:t>, Giovanni’s Room</w:t>
      </w:r>
      <w:r>
        <w:t>, (London, The Penguin Group, 1956)</w:t>
      </w:r>
    </w:p>
    <w:p w14:paraId="63688651" w14:textId="77777777" w:rsidR="0077769A" w:rsidRDefault="0077769A" w:rsidP="0077769A">
      <w:r>
        <w:t xml:space="preserve">Clarke, Susanna, </w:t>
      </w:r>
      <w:r w:rsidRPr="00665884">
        <w:rPr>
          <w:i/>
          <w:iCs/>
        </w:rPr>
        <w:t>Piranesi</w:t>
      </w:r>
      <w:r>
        <w:t>, (London, Bloomsbury Publishing PLC, 2020) p.121</w:t>
      </w:r>
    </w:p>
    <w:p w14:paraId="25A5737B" w14:textId="387D3056" w:rsidR="0077769A" w:rsidRPr="00EA4900" w:rsidRDefault="0077769A" w:rsidP="0077769A">
      <w:r>
        <w:t xml:space="preserve">Lewis, CS, </w:t>
      </w:r>
      <w:r w:rsidRPr="00665884">
        <w:rPr>
          <w:i/>
          <w:iCs/>
        </w:rPr>
        <w:t>The Lion, The Witch And The Wardrobe</w:t>
      </w:r>
      <w:r w:rsidRPr="00EA4900">
        <w:t>,</w:t>
      </w:r>
      <w:r w:rsidR="0065321C">
        <w:t xml:space="preserve"> Ful</w:t>
      </w:r>
      <w:r w:rsidR="00E225DF">
        <w:t>l-c</w:t>
      </w:r>
      <w:r w:rsidR="0065321C">
        <w:t>olour Collector’s Edition</w:t>
      </w:r>
      <w:r w:rsidRPr="00EA4900">
        <w:t xml:space="preserve"> (</w:t>
      </w:r>
      <w:r w:rsidR="00424D2B">
        <w:t>London</w:t>
      </w:r>
      <w:r w:rsidRPr="00EA4900">
        <w:t xml:space="preserve">, </w:t>
      </w:r>
      <w:r w:rsidR="00424D2B">
        <w:t>Collins</w:t>
      </w:r>
      <w:r w:rsidRPr="00EA4900">
        <w:t xml:space="preserve">, </w:t>
      </w:r>
      <w:r w:rsidR="00E225DF">
        <w:t>1998</w:t>
      </w:r>
      <w:r w:rsidRPr="00EA4900">
        <w:t>)</w:t>
      </w:r>
    </w:p>
    <w:p w14:paraId="08EF0F55" w14:textId="44AB12DF" w:rsidR="007C163F" w:rsidRPr="0034628D" w:rsidRDefault="007C163F" w:rsidP="007C163F">
      <w:pPr>
        <w:rPr>
          <w:b/>
          <w:bCs/>
          <w:sz w:val="24"/>
          <w:szCs w:val="24"/>
          <w:u w:val="single"/>
        </w:rPr>
      </w:pPr>
      <w:r>
        <w:t>Mc</w:t>
      </w:r>
      <w:r w:rsidR="0077769A">
        <w:t>Q</w:t>
      </w:r>
      <w:r>
        <w:t xml:space="preserve">uiston, </w:t>
      </w:r>
      <w:r w:rsidR="002D6D3D">
        <w:t>Casey</w:t>
      </w:r>
      <w:r w:rsidR="002D6D3D" w:rsidRPr="00665884">
        <w:rPr>
          <w:i/>
          <w:iCs/>
        </w:rPr>
        <w:t xml:space="preserve">, </w:t>
      </w:r>
      <w:r w:rsidRPr="00665884">
        <w:rPr>
          <w:i/>
          <w:iCs/>
        </w:rPr>
        <w:t>One Last Stop</w:t>
      </w:r>
      <w:r>
        <w:t>, (London, Macmillan, 2021) p.393</w:t>
      </w:r>
    </w:p>
    <w:p w14:paraId="32D36FE2" w14:textId="77777777" w:rsidR="0077769A" w:rsidRDefault="0077769A" w:rsidP="0077769A">
      <w:r>
        <w:t xml:space="preserve">Morgernstern, Erin, </w:t>
      </w:r>
      <w:r w:rsidRPr="00665884">
        <w:rPr>
          <w:i/>
          <w:iCs/>
        </w:rPr>
        <w:t>The Starless Sea</w:t>
      </w:r>
      <w:r>
        <w:t>, (London, Penguin Random House UK, 2019) p.492</w:t>
      </w:r>
    </w:p>
    <w:p w14:paraId="4A29083A" w14:textId="2C84F0F4" w:rsidR="0034628D" w:rsidRDefault="007C163F" w:rsidP="007C163F">
      <w:r>
        <w:t xml:space="preserve">Pearson, </w:t>
      </w:r>
      <w:r w:rsidR="0077769A">
        <w:t xml:space="preserve">Wendy Gay, </w:t>
      </w:r>
      <w:r w:rsidRPr="00665884">
        <w:rPr>
          <w:i/>
          <w:iCs/>
        </w:rPr>
        <w:t>Speculative Fiction and Queer Theory</w:t>
      </w:r>
      <w:r>
        <w:t>, (Published online, 2022)</w:t>
      </w:r>
      <w:r w:rsidR="000C2EB0">
        <w:t xml:space="preserve"> </w:t>
      </w:r>
      <w:hyperlink r:id="rId7" w:anchor=":~:text=Queer%20theory%20illuminates%20depictions%20of,speculative%20fictions%20of%20all%20kinds" w:history="1">
        <w:r w:rsidR="002D6D3D" w:rsidRPr="00DA5828">
          <w:rPr>
            <w:rStyle w:val="Hyperlink"/>
          </w:rPr>
          <w:t>https://oxfordre.com/communication/display/10.1093/acrefore/9780190228613.001.0001/acrefore-9780190228613-e 1214#:~:text=Queer%20theory%20illuminates%20depictions%20of,speculative%20fictions%20of%20all%20kinds</w:t>
        </w:r>
      </w:hyperlink>
      <w:r w:rsidR="000C2EB0" w:rsidRPr="000C2EB0">
        <w:t>.</w:t>
      </w:r>
      <w:r w:rsidR="000C2EB0">
        <w:t xml:space="preserve"> </w:t>
      </w:r>
    </w:p>
    <w:p w14:paraId="5DDA132C" w14:textId="77777777" w:rsidR="0077769A" w:rsidRDefault="007C163F" w:rsidP="0077769A">
      <w:r>
        <w:t xml:space="preserve">Shklovsky, </w:t>
      </w:r>
      <w:r w:rsidR="0077769A">
        <w:t>Viktor, ‘</w:t>
      </w:r>
      <w:r w:rsidRPr="00665884">
        <w:rPr>
          <w:i/>
          <w:iCs/>
        </w:rPr>
        <w:t>Art as Technique’</w:t>
      </w:r>
      <w:r>
        <w:t xml:space="preserve"> (Warwick University website, Originally published in 1917)</w:t>
      </w:r>
      <w:r w:rsidR="000C2EB0" w:rsidRPr="000C2EB0">
        <w:t xml:space="preserve"> </w:t>
      </w:r>
      <w:hyperlink r:id="rId8" w:history="1">
        <w:r w:rsidR="000C2EB0" w:rsidRPr="00DA5828">
          <w:rPr>
            <w:rStyle w:val="Hyperlink"/>
          </w:rPr>
          <w:t>https://warwick.ac.uk/fac/arts/english/currentstudents/undergraduate/modules/fulllist/first/en122/lecturelist-2015-16-2/shklovsky.pdf</w:t>
        </w:r>
      </w:hyperlink>
      <w:r w:rsidR="000C2EB0">
        <w:t xml:space="preserve"> </w:t>
      </w:r>
    </w:p>
    <w:p w14:paraId="04F5B524" w14:textId="2226D98F" w:rsidR="0077769A" w:rsidRDefault="0077769A" w:rsidP="0077769A">
      <w:r>
        <w:t>Wells, HG</w:t>
      </w:r>
      <w:r w:rsidRPr="007B67BE">
        <w:rPr>
          <w:i/>
          <w:iCs/>
        </w:rPr>
        <w:t>, The Time Machine</w:t>
      </w:r>
      <w:r>
        <w:t>, (</w:t>
      </w:r>
      <w:r w:rsidR="005A0089">
        <w:t>Oxford, Oxford University Press</w:t>
      </w:r>
      <w:r>
        <w:t xml:space="preserve">, </w:t>
      </w:r>
      <w:r w:rsidR="005A0089">
        <w:t>2017</w:t>
      </w:r>
      <w:r>
        <w:t>)</w:t>
      </w:r>
    </w:p>
    <w:p w14:paraId="0789352E" w14:textId="6132CAA4" w:rsidR="007C163F" w:rsidRPr="007C163F" w:rsidRDefault="007C163F" w:rsidP="007C163F"/>
    <w:sectPr w:rsidR="007C163F" w:rsidRPr="007C16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C11F4" w14:textId="77777777" w:rsidR="00446AA1" w:rsidRDefault="00446AA1" w:rsidP="003E19EE">
      <w:pPr>
        <w:spacing w:after="0" w:line="240" w:lineRule="auto"/>
      </w:pPr>
      <w:r>
        <w:separator/>
      </w:r>
    </w:p>
  </w:endnote>
  <w:endnote w:type="continuationSeparator" w:id="0">
    <w:p w14:paraId="755C0583" w14:textId="77777777" w:rsidR="00446AA1" w:rsidRDefault="00446AA1" w:rsidP="003E1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BF91E" w14:textId="77777777" w:rsidR="00446AA1" w:rsidRDefault="00446AA1" w:rsidP="003E19EE">
      <w:pPr>
        <w:spacing w:after="0" w:line="240" w:lineRule="auto"/>
      </w:pPr>
      <w:r>
        <w:separator/>
      </w:r>
    </w:p>
  </w:footnote>
  <w:footnote w:type="continuationSeparator" w:id="0">
    <w:p w14:paraId="47A4D879" w14:textId="77777777" w:rsidR="00446AA1" w:rsidRDefault="00446AA1" w:rsidP="003E19EE">
      <w:pPr>
        <w:spacing w:after="0" w:line="240" w:lineRule="auto"/>
      </w:pPr>
      <w:r>
        <w:continuationSeparator/>
      </w:r>
    </w:p>
  </w:footnote>
  <w:footnote w:id="1">
    <w:p w14:paraId="4E151870" w14:textId="7D8FB449" w:rsidR="003E19EE" w:rsidRPr="007D0981" w:rsidRDefault="003E19EE">
      <w:pPr>
        <w:pStyle w:val="FootnoteText"/>
      </w:pPr>
      <w:r>
        <w:rPr>
          <w:rStyle w:val="FootnoteReference"/>
        </w:rPr>
        <w:footnoteRef/>
      </w:r>
      <w:r>
        <w:t xml:space="preserve"> Casey Mc</w:t>
      </w:r>
      <w:r w:rsidR="0077769A">
        <w:t>Q</w:t>
      </w:r>
      <w:r>
        <w:t>uiston</w:t>
      </w:r>
      <w:r w:rsidR="001C4DA6">
        <w:t xml:space="preserve">, </w:t>
      </w:r>
      <w:r w:rsidR="001C4DA6" w:rsidRPr="00120EC2">
        <w:rPr>
          <w:i/>
          <w:iCs/>
        </w:rPr>
        <w:t>One Last Stop</w:t>
      </w:r>
      <w:r w:rsidR="00120EC2">
        <w:rPr>
          <w:i/>
          <w:iCs/>
        </w:rPr>
        <w:t xml:space="preserve">, </w:t>
      </w:r>
      <w:r w:rsidR="007D0981">
        <w:t>(London, Macmillan, 202</w:t>
      </w:r>
      <w:r w:rsidR="00FE52C7">
        <w:t>1</w:t>
      </w:r>
      <w:r w:rsidR="007D0981">
        <w:t>)</w:t>
      </w:r>
    </w:p>
  </w:footnote>
  <w:footnote w:id="2">
    <w:p w14:paraId="12AA6763" w14:textId="7B300392" w:rsidR="003E19EE" w:rsidRDefault="003E19EE">
      <w:pPr>
        <w:pStyle w:val="FootnoteText"/>
      </w:pPr>
      <w:r>
        <w:rPr>
          <w:rStyle w:val="FootnoteReference"/>
        </w:rPr>
        <w:footnoteRef/>
      </w:r>
      <w:r>
        <w:t xml:space="preserve"> Casey Mc</w:t>
      </w:r>
      <w:r w:rsidR="0077769A">
        <w:t>Q</w:t>
      </w:r>
      <w:r>
        <w:t>uiston</w:t>
      </w:r>
      <w:r w:rsidR="001C4DA6">
        <w:t xml:space="preserve">, </w:t>
      </w:r>
      <w:r w:rsidR="002E5CF8" w:rsidRPr="00B133E4">
        <w:rPr>
          <w:i/>
          <w:iCs/>
        </w:rPr>
        <w:t>One Last Stop</w:t>
      </w:r>
      <w:r w:rsidR="002E5CF8" w:rsidRPr="002E5CF8">
        <w:t>,</w:t>
      </w:r>
      <w:r w:rsidR="00C128F8">
        <w:t xml:space="preserve"> </w:t>
      </w:r>
      <w:r w:rsidR="002E5CF8" w:rsidRPr="002E5CF8">
        <w:t>(London, Macmillan, 202</w:t>
      </w:r>
      <w:r w:rsidR="00FE52C7">
        <w:t>1</w:t>
      </w:r>
      <w:r w:rsidR="002E5CF8" w:rsidRPr="002E5CF8">
        <w:t>)</w:t>
      </w:r>
      <w:r w:rsidR="00F15CE8">
        <w:t>, p.393</w:t>
      </w:r>
    </w:p>
  </w:footnote>
  <w:footnote w:id="3">
    <w:p w14:paraId="2659D614" w14:textId="2B2CBCEF" w:rsidR="003E19EE" w:rsidRDefault="003E19EE">
      <w:pPr>
        <w:pStyle w:val="FootnoteText"/>
      </w:pPr>
      <w:r>
        <w:rPr>
          <w:rStyle w:val="FootnoteReference"/>
        </w:rPr>
        <w:footnoteRef/>
      </w:r>
      <w:r>
        <w:t xml:space="preserve"> HG Wells</w:t>
      </w:r>
      <w:r w:rsidR="001C4DA6">
        <w:t xml:space="preserve">, </w:t>
      </w:r>
      <w:r w:rsidR="001C4DA6" w:rsidRPr="00FE52C7">
        <w:rPr>
          <w:i/>
          <w:iCs/>
        </w:rPr>
        <w:t>The Time Machine</w:t>
      </w:r>
      <w:r w:rsidR="00B133E4">
        <w:t>,</w:t>
      </w:r>
      <w:r w:rsidR="00BD69B6">
        <w:t xml:space="preserve"> </w:t>
      </w:r>
      <w:r w:rsidR="00BD69B6" w:rsidRPr="00BD69B6">
        <w:t>(Oxford, Oxford University Press, 2017)</w:t>
      </w:r>
    </w:p>
  </w:footnote>
  <w:footnote w:id="4">
    <w:p w14:paraId="3B06AA86" w14:textId="6D4D8ADE" w:rsidR="003E19EE" w:rsidRDefault="003E19EE">
      <w:pPr>
        <w:pStyle w:val="FootnoteText"/>
      </w:pPr>
      <w:r>
        <w:rPr>
          <w:rStyle w:val="FootnoteReference"/>
        </w:rPr>
        <w:footnoteRef/>
      </w:r>
      <w:r>
        <w:t xml:space="preserve"> CS Lewis</w:t>
      </w:r>
      <w:r w:rsidR="001C4DA6">
        <w:t xml:space="preserve">, The Lion, </w:t>
      </w:r>
      <w:r w:rsidR="001C4DA6" w:rsidRPr="00FE52C7">
        <w:rPr>
          <w:i/>
          <w:iCs/>
        </w:rPr>
        <w:t>The Witch And The Wardrobe</w:t>
      </w:r>
      <w:r w:rsidR="00B133E4">
        <w:t xml:space="preserve">, </w:t>
      </w:r>
      <w:r w:rsidR="00BD69B6" w:rsidRPr="00BD69B6">
        <w:t>Full-colour Collector’s Edition (London, Collins, 1998)</w:t>
      </w:r>
    </w:p>
  </w:footnote>
  <w:footnote w:id="5">
    <w:p w14:paraId="6D9919C3" w14:textId="4481BCB4" w:rsidR="003E19EE" w:rsidRDefault="003E19EE">
      <w:pPr>
        <w:pStyle w:val="FootnoteText"/>
      </w:pPr>
      <w:r>
        <w:rPr>
          <w:rStyle w:val="FootnoteReference"/>
        </w:rPr>
        <w:footnoteRef/>
      </w:r>
      <w:r>
        <w:t xml:space="preserve"> James Baldwin</w:t>
      </w:r>
      <w:r w:rsidR="001C4DA6">
        <w:t xml:space="preserve">, </w:t>
      </w:r>
      <w:r w:rsidR="001C4DA6" w:rsidRPr="00FE52C7">
        <w:rPr>
          <w:i/>
          <w:iCs/>
        </w:rPr>
        <w:t>Giovanni’s Room</w:t>
      </w:r>
      <w:r w:rsidR="001C4DA6">
        <w:t>,</w:t>
      </w:r>
      <w:r w:rsidR="003B41DB">
        <w:t xml:space="preserve"> (London, The Penguin Group, </w:t>
      </w:r>
      <w:r w:rsidR="00FE52C7">
        <w:t>1956)</w:t>
      </w:r>
    </w:p>
  </w:footnote>
  <w:footnote w:id="6">
    <w:p w14:paraId="5C9262C9" w14:textId="64AEC6F5" w:rsidR="0028332F" w:rsidRDefault="0028332F">
      <w:pPr>
        <w:pStyle w:val="FootnoteText"/>
      </w:pPr>
      <w:r>
        <w:rPr>
          <w:rStyle w:val="FootnoteReference"/>
        </w:rPr>
        <w:footnoteRef/>
      </w:r>
      <w:r>
        <w:t xml:space="preserve"> James Baldwin</w:t>
      </w:r>
      <w:r w:rsidR="001C4DA6">
        <w:t xml:space="preserve">, </w:t>
      </w:r>
      <w:r w:rsidR="001C4DA6" w:rsidRPr="00FE52C7">
        <w:rPr>
          <w:i/>
          <w:iCs/>
        </w:rPr>
        <w:t>Giovanni’s Room</w:t>
      </w:r>
      <w:r w:rsidR="001C4DA6">
        <w:t xml:space="preserve">, </w:t>
      </w:r>
      <w:r w:rsidR="00FE52C7" w:rsidRPr="00FE52C7">
        <w:t>(London, The Penguin Group, 1956)</w:t>
      </w:r>
    </w:p>
  </w:footnote>
  <w:footnote w:id="7">
    <w:p w14:paraId="6DA748E8" w14:textId="0AF34400" w:rsidR="0028332F" w:rsidRDefault="0028332F">
      <w:pPr>
        <w:pStyle w:val="FootnoteText"/>
      </w:pPr>
      <w:r>
        <w:rPr>
          <w:rStyle w:val="FootnoteReference"/>
        </w:rPr>
        <w:footnoteRef/>
      </w:r>
      <w:r>
        <w:t xml:space="preserve"> Wendy Gay Pearson</w:t>
      </w:r>
      <w:r w:rsidR="00374886">
        <w:t xml:space="preserve">, </w:t>
      </w:r>
      <w:r w:rsidR="00374886" w:rsidRPr="00374886">
        <w:t>Speculative Fiction and Queer Theory</w:t>
      </w:r>
      <w:r w:rsidR="00FE52C7">
        <w:t>,</w:t>
      </w:r>
      <w:r w:rsidR="001D351A">
        <w:t xml:space="preserve"> (Published online, 2022)</w:t>
      </w:r>
    </w:p>
  </w:footnote>
  <w:footnote w:id="8">
    <w:p w14:paraId="16ECBCEC" w14:textId="1943B59E" w:rsidR="0028332F" w:rsidRDefault="0028332F">
      <w:pPr>
        <w:pStyle w:val="FootnoteText"/>
      </w:pPr>
      <w:r>
        <w:rPr>
          <w:rStyle w:val="FootnoteReference"/>
        </w:rPr>
        <w:footnoteRef/>
      </w:r>
      <w:r>
        <w:t xml:space="preserve"> Wendy Gay Pearson</w:t>
      </w:r>
      <w:r w:rsidR="00374886">
        <w:t xml:space="preserve">, </w:t>
      </w:r>
      <w:r w:rsidR="00374886" w:rsidRPr="00374886">
        <w:t>Speculative Fiction and Queer Theory</w:t>
      </w:r>
      <w:r w:rsidR="00FE52C7">
        <w:t>,</w:t>
      </w:r>
      <w:r w:rsidR="001D351A">
        <w:t xml:space="preserve"> (Published online, 2022) </w:t>
      </w:r>
    </w:p>
  </w:footnote>
  <w:footnote w:id="9">
    <w:p w14:paraId="5633304C" w14:textId="721C0B09" w:rsidR="0028332F" w:rsidRDefault="0028332F">
      <w:pPr>
        <w:pStyle w:val="FootnoteText"/>
      </w:pPr>
      <w:r>
        <w:rPr>
          <w:rStyle w:val="FootnoteReference"/>
        </w:rPr>
        <w:footnoteRef/>
      </w:r>
      <w:r>
        <w:t xml:space="preserve"> Susanna Clarke</w:t>
      </w:r>
      <w:r w:rsidR="001C4DA6">
        <w:t xml:space="preserve">, </w:t>
      </w:r>
      <w:bookmarkStart w:id="0" w:name="_Hlk150953537"/>
      <w:r w:rsidR="001C4DA6" w:rsidRPr="00923696">
        <w:rPr>
          <w:i/>
          <w:iCs/>
        </w:rPr>
        <w:t>Piranesi</w:t>
      </w:r>
      <w:r w:rsidR="00F815C9">
        <w:t xml:space="preserve">, (London, Bloomsbury Publishing PLC, </w:t>
      </w:r>
      <w:r w:rsidR="00923696">
        <w:t>2020)</w:t>
      </w:r>
      <w:bookmarkEnd w:id="0"/>
    </w:p>
  </w:footnote>
  <w:footnote w:id="10">
    <w:p w14:paraId="5DE1DF2B" w14:textId="551DDBC4" w:rsidR="0028332F" w:rsidRDefault="0028332F">
      <w:pPr>
        <w:pStyle w:val="FootnoteText"/>
      </w:pPr>
      <w:r>
        <w:rPr>
          <w:rStyle w:val="FootnoteReference"/>
        </w:rPr>
        <w:footnoteRef/>
      </w:r>
      <w:r>
        <w:t xml:space="preserve"> Susanna Clarke</w:t>
      </w:r>
      <w:r w:rsidR="001C4DA6">
        <w:t>,</w:t>
      </w:r>
      <w:r w:rsidR="001C4DA6" w:rsidRPr="001C4DA6">
        <w:t xml:space="preserve"> </w:t>
      </w:r>
      <w:r w:rsidR="00923696" w:rsidRPr="00923696">
        <w:rPr>
          <w:i/>
          <w:iCs/>
        </w:rPr>
        <w:t>Piranesi</w:t>
      </w:r>
      <w:r w:rsidR="00923696">
        <w:t>, (London, Bloomsbury Publishing PLC, 2020)</w:t>
      </w:r>
    </w:p>
  </w:footnote>
  <w:footnote w:id="11">
    <w:p w14:paraId="14D15280" w14:textId="7584E436" w:rsidR="0028332F" w:rsidRDefault="0028332F">
      <w:pPr>
        <w:pStyle w:val="FootnoteText"/>
      </w:pPr>
      <w:r>
        <w:rPr>
          <w:rStyle w:val="FootnoteReference"/>
        </w:rPr>
        <w:footnoteRef/>
      </w:r>
      <w:r>
        <w:t xml:space="preserve"> Susanna Clarke</w:t>
      </w:r>
      <w:r w:rsidR="001C4DA6">
        <w:t>,</w:t>
      </w:r>
      <w:r w:rsidR="001C4DA6" w:rsidRPr="001C4DA6">
        <w:t xml:space="preserve"> </w:t>
      </w:r>
      <w:r w:rsidR="00923696" w:rsidRPr="00923696">
        <w:rPr>
          <w:i/>
          <w:iCs/>
        </w:rPr>
        <w:t>Piranesi</w:t>
      </w:r>
      <w:r w:rsidR="00923696">
        <w:t>, (London, Bloomsbury Publishing PLC, 2020)</w:t>
      </w:r>
    </w:p>
  </w:footnote>
  <w:footnote w:id="12">
    <w:p w14:paraId="0936A159" w14:textId="30CEE62F" w:rsidR="0028332F" w:rsidRDefault="0028332F">
      <w:pPr>
        <w:pStyle w:val="FootnoteText"/>
      </w:pPr>
      <w:r>
        <w:rPr>
          <w:rStyle w:val="FootnoteReference"/>
        </w:rPr>
        <w:footnoteRef/>
      </w:r>
      <w:r>
        <w:t xml:space="preserve"> Susanna Clarke</w:t>
      </w:r>
      <w:r w:rsidR="001C4DA6">
        <w:t>,</w:t>
      </w:r>
      <w:r w:rsidR="00923696" w:rsidRPr="00923696">
        <w:rPr>
          <w:i/>
          <w:iCs/>
        </w:rPr>
        <w:t xml:space="preserve"> Piranesi</w:t>
      </w:r>
      <w:r w:rsidR="00923696">
        <w:t>, (London, Bloomsbury Publishing PLC, 2020), p.121</w:t>
      </w:r>
    </w:p>
  </w:footnote>
  <w:footnote w:id="13">
    <w:p w14:paraId="1025CB78" w14:textId="47BB9659" w:rsidR="0028332F" w:rsidRDefault="0028332F">
      <w:pPr>
        <w:pStyle w:val="FootnoteText"/>
      </w:pPr>
      <w:r>
        <w:rPr>
          <w:rStyle w:val="FootnoteReference"/>
        </w:rPr>
        <w:footnoteRef/>
      </w:r>
      <w:r>
        <w:t xml:space="preserve"> Erin Morgernstern</w:t>
      </w:r>
      <w:r w:rsidR="001C4DA6">
        <w:t xml:space="preserve">, </w:t>
      </w:r>
      <w:bookmarkStart w:id="1" w:name="_Hlk150953617"/>
      <w:r w:rsidR="001C4DA6" w:rsidRPr="00923696">
        <w:rPr>
          <w:i/>
          <w:iCs/>
        </w:rPr>
        <w:t>The Starless Sea</w:t>
      </w:r>
      <w:r w:rsidR="001C4DA6">
        <w:t>,</w:t>
      </w:r>
      <w:r w:rsidR="00923696">
        <w:t xml:space="preserve"> (</w:t>
      </w:r>
      <w:r w:rsidR="00442F72">
        <w:t>London, Penguin Random House UK, 2019)</w:t>
      </w:r>
      <w:bookmarkEnd w:id="1"/>
    </w:p>
  </w:footnote>
  <w:footnote w:id="14">
    <w:p w14:paraId="14F7DD3F" w14:textId="23E54D3C" w:rsidR="0028332F" w:rsidRDefault="0028332F">
      <w:pPr>
        <w:pStyle w:val="FootnoteText"/>
      </w:pPr>
      <w:r>
        <w:rPr>
          <w:rStyle w:val="FootnoteReference"/>
        </w:rPr>
        <w:footnoteRef/>
      </w:r>
      <w:r>
        <w:t xml:space="preserve"> Erin Morgernstern</w:t>
      </w:r>
      <w:r w:rsidR="001C4DA6" w:rsidRPr="001C4DA6">
        <w:t xml:space="preserve">, </w:t>
      </w:r>
      <w:r w:rsidR="00442F72" w:rsidRPr="00923696">
        <w:rPr>
          <w:i/>
          <w:iCs/>
        </w:rPr>
        <w:t>The Starless Sea</w:t>
      </w:r>
      <w:r w:rsidR="00442F72">
        <w:t>, (London, Penguin Random House UK, 2019) p.492</w:t>
      </w:r>
    </w:p>
  </w:footnote>
  <w:footnote w:id="15">
    <w:p w14:paraId="40A0905D" w14:textId="4D922778" w:rsidR="00AF3524" w:rsidRDefault="00AF3524" w:rsidP="001C4DA6">
      <w:pPr>
        <w:pStyle w:val="FootnoteText"/>
      </w:pPr>
      <w:r>
        <w:rPr>
          <w:rStyle w:val="FootnoteReference"/>
        </w:rPr>
        <w:footnoteRef/>
      </w:r>
      <w:r>
        <w:t xml:space="preserve"> </w:t>
      </w:r>
      <w:r w:rsidR="001C4DA6">
        <w:t>Viktor Shklovsky</w:t>
      </w:r>
      <w:r w:rsidR="001C4DA6" w:rsidRPr="00442F72">
        <w:rPr>
          <w:i/>
          <w:iCs/>
        </w:rPr>
        <w:t>, ‘Art as Technique’</w:t>
      </w:r>
      <w:r w:rsidR="001C4DA6">
        <w:t xml:space="preserve"> (</w:t>
      </w:r>
      <w:r w:rsidR="00AE0050">
        <w:t xml:space="preserve">Warwick University </w:t>
      </w:r>
      <w:r w:rsidR="00B20A12">
        <w:t>webs</w:t>
      </w:r>
      <w:r w:rsidR="00AE0050">
        <w:t xml:space="preserve">ite, </w:t>
      </w:r>
      <w:r w:rsidR="00B20A12">
        <w:t xml:space="preserve">Originally published in </w:t>
      </w:r>
      <w:r w:rsidR="001C4DA6">
        <w:t xml:space="preserve">1917)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695"/>
    <w:rsid w:val="00001145"/>
    <w:rsid w:val="00025F9F"/>
    <w:rsid w:val="000A7A8C"/>
    <w:rsid w:val="000C2EB0"/>
    <w:rsid w:val="000C7056"/>
    <w:rsid w:val="000D6FB9"/>
    <w:rsid w:val="000E13A4"/>
    <w:rsid w:val="000E3E51"/>
    <w:rsid w:val="000E5907"/>
    <w:rsid w:val="001027A1"/>
    <w:rsid w:val="00113C2E"/>
    <w:rsid w:val="00120EC2"/>
    <w:rsid w:val="001231D7"/>
    <w:rsid w:val="00145741"/>
    <w:rsid w:val="001541D0"/>
    <w:rsid w:val="001865B4"/>
    <w:rsid w:val="001C4DA6"/>
    <w:rsid w:val="001D0FAC"/>
    <w:rsid w:val="001D351A"/>
    <w:rsid w:val="001D5022"/>
    <w:rsid w:val="001E7624"/>
    <w:rsid w:val="00204843"/>
    <w:rsid w:val="00204C7E"/>
    <w:rsid w:val="00212D64"/>
    <w:rsid w:val="0022798E"/>
    <w:rsid w:val="002556A9"/>
    <w:rsid w:val="0025717A"/>
    <w:rsid w:val="00265BA1"/>
    <w:rsid w:val="00282962"/>
    <w:rsid w:val="0028332F"/>
    <w:rsid w:val="00286F46"/>
    <w:rsid w:val="0029037F"/>
    <w:rsid w:val="002A2A4C"/>
    <w:rsid w:val="002D6D3D"/>
    <w:rsid w:val="002E1A70"/>
    <w:rsid w:val="002E4271"/>
    <w:rsid w:val="002E5CF8"/>
    <w:rsid w:val="00306F1D"/>
    <w:rsid w:val="003260C7"/>
    <w:rsid w:val="00332A06"/>
    <w:rsid w:val="0034628D"/>
    <w:rsid w:val="0034750A"/>
    <w:rsid w:val="00374287"/>
    <w:rsid w:val="00374886"/>
    <w:rsid w:val="0038336D"/>
    <w:rsid w:val="003A02B9"/>
    <w:rsid w:val="003A3799"/>
    <w:rsid w:val="003A4A61"/>
    <w:rsid w:val="003B41DB"/>
    <w:rsid w:val="003E19EE"/>
    <w:rsid w:val="003F27CC"/>
    <w:rsid w:val="003F67D0"/>
    <w:rsid w:val="00404460"/>
    <w:rsid w:val="004133FC"/>
    <w:rsid w:val="00424D2B"/>
    <w:rsid w:val="00442F72"/>
    <w:rsid w:val="00446AA1"/>
    <w:rsid w:val="004A15A5"/>
    <w:rsid w:val="004C606A"/>
    <w:rsid w:val="004D3553"/>
    <w:rsid w:val="004F5A8A"/>
    <w:rsid w:val="0052780A"/>
    <w:rsid w:val="005631C6"/>
    <w:rsid w:val="00563D54"/>
    <w:rsid w:val="0057019E"/>
    <w:rsid w:val="005A0089"/>
    <w:rsid w:val="005C4C4E"/>
    <w:rsid w:val="005C5144"/>
    <w:rsid w:val="005E2CA8"/>
    <w:rsid w:val="006231CD"/>
    <w:rsid w:val="0065321C"/>
    <w:rsid w:val="00665884"/>
    <w:rsid w:val="0068063D"/>
    <w:rsid w:val="0069038E"/>
    <w:rsid w:val="006B4DBC"/>
    <w:rsid w:val="006D507C"/>
    <w:rsid w:val="006E1351"/>
    <w:rsid w:val="006E3CFF"/>
    <w:rsid w:val="006E6357"/>
    <w:rsid w:val="006F1A40"/>
    <w:rsid w:val="007227AE"/>
    <w:rsid w:val="007312D4"/>
    <w:rsid w:val="00755E45"/>
    <w:rsid w:val="00757245"/>
    <w:rsid w:val="00776187"/>
    <w:rsid w:val="0077769A"/>
    <w:rsid w:val="007B67BE"/>
    <w:rsid w:val="007C163F"/>
    <w:rsid w:val="007C17D4"/>
    <w:rsid w:val="007D0981"/>
    <w:rsid w:val="007E23B6"/>
    <w:rsid w:val="0081109B"/>
    <w:rsid w:val="00843B09"/>
    <w:rsid w:val="00853D52"/>
    <w:rsid w:val="00880FB0"/>
    <w:rsid w:val="00891EBE"/>
    <w:rsid w:val="008C6769"/>
    <w:rsid w:val="008E3E0B"/>
    <w:rsid w:val="00923696"/>
    <w:rsid w:val="0097273C"/>
    <w:rsid w:val="00976336"/>
    <w:rsid w:val="00991F24"/>
    <w:rsid w:val="009A412C"/>
    <w:rsid w:val="009C556D"/>
    <w:rsid w:val="00A21FDB"/>
    <w:rsid w:val="00A54838"/>
    <w:rsid w:val="00A65FA4"/>
    <w:rsid w:val="00A90D7D"/>
    <w:rsid w:val="00A9208C"/>
    <w:rsid w:val="00AB76CF"/>
    <w:rsid w:val="00AE0050"/>
    <w:rsid w:val="00AF3524"/>
    <w:rsid w:val="00AF6914"/>
    <w:rsid w:val="00B133E4"/>
    <w:rsid w:val="00B20A12"/>
    <w:rsid w:val="00B34FEA"/>
    <w:rsid w:val="00B45C46"/>
    <w:rsid w:val="00B52C7F"/>
    <w:rsid w:val="00B701C1"/>
    <w:rsid w:val="00B822E2"/>
    <w:rsid w:val="00B84E39"/>
    <w:rsid w:val="00BC62D4"/>
    <w:rsid w:val="00BD2E63"/>
    <w:rsid w:val="00BD69B6"/>
    <w:rsid w:val="00C128F8"/>
    <w:rsid w:val="00C13DC6"/>
    <w:rsid w:val="00C3735B"/>
    <w:rsid w:val="00C432B0"/>
    <w:rsid w:val="00C45ECA"/>
    <w:rsid w:val="00C521AB"/>
    <w:rsid w:val="00C61D89"/>
    <w:rsid w:val="00C86BAD"/>
    <w:rsid w:val="00C97695"/>
    <w:rsid w:val="00CA4537"/>
    <w:rsid w:val="00CA6491"/>
    <w:rsid w:val="00CA7BF6"/>
    <w:rsid w:val="00CC274A"/>
    <w:rsid w:val="00CC2982"/>
    <w:rsid w:val="00CC4C55"/>
    <w:rsid w:val="00CD1358"/>
    <w:rsid w:val="00D12708"/>
    <w:rsid w:val="00D2229C"/>
    <w:rsid w:val="00D23924"/>
    <w:rsid w:val="00D37179"/>
    <w:rsid w:val="00D7104B"/>
    <w:rsid w:val="00D9731F"/>
    <w:rsid w:val="00DB3E30"/>
    <w:rsid w:val="00DE0272"/>
    <w:rsid w:val="00E225DF"/>
    <w:rsid w:val="00E30DD6"/>
    <w:rsid w:val="00E35AA8"/>
    <w:rsid w:val="00E42488"/>
    <w:rsid w:val="00E44668"/>
    <w:rsid w:val="00E44FF1"/>
    <w:rsid w:val="00E522B7"/>
    <w:rsid w:val="00E54602"/>
    <w:rsid w:val="00E6027D"/>
    <w:rsid w:val="00E719C2"/>
    <w:rsid w:val="00E944C6"/>
    <w:rsid w:val="00EA4900"/>
    <w:rsid w:val="00EC0E74"/>
    <w:rsid w:val="00F07A0E"/>
    <w:rsid w:val="00F15BF3"/>
    <w:rsid w:val="00F15CE8"/>
    <w:rsid w:val="00F47E45"/>
    <w:rsid w:val="00F57DC5"/>
    <w:rsid w:val="00F815C9"/>
    <w:rsid w:val="00F85B47"/>
    <w:rsid w:val="00F91363"/>
    <w:rsid w:val="00FB0053"/>
    <w:rsid w:val="00FB3ADF"/>
    <w:rsid w:val="00FC713C"/>
    <w:rsid w:val="00FE52C7"/>
    <w:rsid w:val="00FF4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96DFC"/>
  <w15:chartTrackingRefBased/>
  <w15:docId w15:val="{CCBA12EE-2414-4BE6-9DEB-FD26B29D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E1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19EE"/>
    <w:rPr>
      <w:sz w:val="20"/>
      <w:szCs w:val="20"/>
    </w:rPr>
  </w:style>
  <w:style w:type="character" w:styleId="FootnoteReference">
    <w:name w:val="footnote reference"/>
    <w:basedOn w:val="DefaultParagraphFont"/>
    <w:uiPriority w:val="99"/>
    <w:semiHidden/>
    <w:unhideWhenUsed/>
    <w:rsid w:val="003E19EE"/>
    <w:rPr>
      <w:vertAlign w:val="superscript"/>
    </w:rPr>
  </w:style>
  <w:style w:type="character" w:styleId="Hyperlink">
    <w:name w:val="Hyperlink"/>
    <w:basedOn w:val="DefaultParagraphFont"/>
    <w:uiPriority w:val="99"/>
    <w:unhideWhenUsed/>
    <w:rsid w:val="000C2EB0"/>
    <w:rPr>
      <w:color w:val="0563C1" w:themeColor="hyperlink"/>
      <w:u w:val="single"/>
    </w:rPr>
  </w:style>
  <w:style w:type="character" w:styleId="UnresolvedMention">
    <w:name w:val="Unresolved Mention"/>
    <w:basedOn w:val="DefaultParagraphFont"/>
    <w:uiPriority w:val="99"/>
    <w:semiHidden/>
    <w:unhideWhenUsed/>
    <w:rsid w:val="000C2EB0"/>
    <w:rPr>
      <w:color w:val="605E5C"/>
      <w:shd w:val="clear" w:color="auto" w:fill="E1DFDD"/>
    </w:rPr>
  </w:style>
  <w:style w:type="character" w:styleId="FollowedHyperlink">
    <w:name w:val="FollowedHyperlink"/>
    <w:basedOn w:val="DefaultParagraphFont"/>
    <w:uiPriority w:val="99"/>
    <w:semiHidden/>
    <w:unhideWhenUsed/>
    <w:rsid w:val="00FC71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rwick.ac.uk/fac/arts/english/currentstudents/undergraduate/modules/fulllist/first/en122/lecturelist-2015-16-2/shklovsky.pdf" TargetMode="External"/><Relationship Id="rId3" Type="http://schemas.openxmlformats.org/officeDocument/2006/relationships/settings" Target="settings.xml"/><Relationship Id="rId7" Type="http://schemas.openxmlformats.org/officeDocument/2006/relationships/hyperlink" Target="https://oxfordre.com/communication/display/10.1093/acrefore/9780190228613.001.0001/acrefore-9780190228613-e%2012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AEB9-B23E-48FA-973E-E3EF22F1A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3</Pages>
  <Words>1276</Words>
  <Characters>7276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Collins (2200448)</dc:creator>
  <cp:keywords/>
  <dc:description/>
  <cp:lastModifiedBy>Alia Collins</cp:lastModifiedBy>
  <cp:revision>173</cp:revision>
  <dcterms:created xsi:type="dcterms:W3CDTF">2023-11-09T09:57:00Z</dcterms:created>
  <dcterms:modified xsi:type="dcterms:W3CDTF">2023-11-17T21:04:00Z</dcterms:modified>
</cp:coreProperties>
</file>