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212" w:after="160"/>
        <w:jc w:val="center"/>
        <w:rPr>
          <w:rFonts w:ascii="Arial" w:hAnsi="Arial" w:cs="Arial"/>
          <w:b/>
          <w:b/>
          <w:bCs/>
          <w:sz w:val="48"/>
          <w:szCs w:val="48"/>
        </w:rPr>
      </w:pPr>
      <w:r>
        <w:rPr/>
        <w:drawing>
          <wp:inline distT="0" distB="0" distL="0" distR="0">
            <wp:extent cx="2980690" cy="1188085"/>
            <wp:effectExtent l="0" t="0" r="0" b="0"/>
            <wp:docPr id="1"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A close-up of black text&#10;&#10;AI-generated content may be incorrect."/>
                    <pic:cNvPicPr>
                      <a:picLocks noChangeAspect="1" noChangeArrowheads="1"/>
                    </pic:cNvPicPr>
                  </pic:nvPicPr>
                  <pic:blipFill>
                    <a:blip r:embed="rId2"/>
                    <a:stretch>
                      <a:fillRect/>
                    </a:stretch>
                  </pic:blipFill>
                  <pic:spPr bwMode="auto">
                    <a:xfrm>
                      <a:off x="0" y="0"/>
                      <a:ext cx="2980690" cy="1188085"/>
                    </a:xfrm>
                    <a:prstGeom prst="rect">
                      <a:avLst/>
                    </a:prstGeom>
                  </pic:spPr>
                </pic:pic>
              </a:graphicData>
            </a:graphic>
          </wp:inline>
        </w:drawing>
      </w:r>
    </w:p>
    <w:p>
      <w:pPr>
        <w:pStyle w:val="Normal"/>
        <w:spacing w:before="212" w:after="160"/>
        <w:rPr>
          <w:rFonts w:ascii="Arial" w:hAnsi="Arial" w:asciiTheme="minorBidi" w:hAnsiTheme="minorBidi"/>
          <w:sz w:val="48"/>
          <w:szCs w:val="48"/>
        </w:rPr>
      </w:pPr>
      <w:r>
        <w:rPr>
          <w:rFonts w:ascii="Arial" w:hAnsi="Arial" w:asciiTheme="minorBidi" w:hAnsiTheme="minorBidi"/>
          <w:b/>
          <w:bCs/>
          <w:sz w:val="48"/>
          <w:szCs w:val="48"/>
        </w:rPr>
        <w:t xml:space="preserve">Module Name: </w:t>
      </w:r>
      <w:r>
        <w:rPr>
          <w:rFonts w:ascii="Arial" w:hAnsi="Arial" w:asciiTheme="minorBidi" w:hAnsiTheme="minorBidi"/>
          <w:sz w:val="48"/>
          <w:szCs w:val="48"/>
        </w:rPr>
        <w:t>Academic Skills in the Digital Era</w:t>
      </w:r>
    </w:p>
    <w:p>
      <w:pPr>
        <w:pStyle w:val="Normal"/>
        <w:spacing w:before="212" w:after="160"/>
        <w:rPr>
          <w:rFonts w:ascii="Arial" w:hAnsi="Arial" w:asciiTheme="minorBidi" w:hAnsiTheme="minorBidi"/>
          <w:b/>
          <w:b/>
          <w:bCs/>
          <w:sz w:val="48"/>
          <w:szCs w:val="48"/>
        </w:rPr>
      </w:pPr>
      <w:r>
        <w:rPr>
          <w:rFonts w:ascii="Arial" w:hAnsi="Arial" w:asciiTheme="minorBidi" w:hAnsiTheme="minorBidi"/>
          <w:b/>
          <w:bCs/>
          <w:sz w:val="48"/>
          <w:szCs w:val="48"/>
        </w:rPr>
        <w:t xml:space="preserve">Module Code:  </w:t>
      </w:r>
      <w:r>
        <w:rPr>
          <w:rFonts w:ascii="Arial" w:hAnsi="Arial" w:asciiTheme="minorBidi" w:hAnsiTheme="minorBidi"/>
          <w:sz w:val="48"/>
          <w:szCs w:val="48"/>
        </w:rPr>
        <w:t>BMSW4013</w:t>
      </w:r>
    </w:p>
    <w:p>
      <w:pPr>
        <w:pStyle w:val="Normal"/>
        <w:spacing w:before="212" w:after="160"/>
        <w:rPr>
          <w:rFonts w:ascii="Arial" w:hAnsi="Arial" w:asciiTheme="minorBidi" w:hAnsiTheme="minorBidi"/>
          <w:sz w:val="48"/>
          <w:szCs w:val="48"/>
        </w:rPr>
      </w:pPr>
      <w:r>
        <w:rPr>
          <w:rFonts w:ascii="Arial" w:hAnsi="Arial" w:asciiTheme="minorBidi" w:hAnsiTheme="minorBidi"/>
          <w:b/>
          <w:bCs/>
          <w:sz w:val="48"/>
          <w:szCs w:val="48"/>
        </w:rPr>
        <w:t xml:space="preserve">Assessment 1: </w:t>
      </w:r>
      <w:r>
        <w:rPr>
          <w:rFonts w:ascii="Arial" w:hAnsi="Arial" w:asciiTheme="minorBidi" w:hAnsiTheme="minorBidi"/>
          <w:sz w:val="48"/>
          <w:szCs w:val="48"/>
        </w:rPr>
        <w:t>E-Portfolio</w:t>
      </w:r>
    </w:p>
    <w:p>
      <w:pPr>
        <w:pStyle w:val="Normal"/>
        <w:spacing w:before="3" w:after="160"/>
        <w:rPr>
          <w:rFonts w:ascii="Arial" w:hAnsi="Arial" w:asciiTheme="minorBidi" w:hAnsiTheme="minorBidi"/>
          <w:b/>
          <w:b/>
          <w:sz w:val="48"/>
          <w:szCs w:val="48"/>
        </w:rPr>
      </w:pPr>
      <w:r>
        <w:rPr>
          <w:rFonts w:ascii="Arial" w:hAnsi="Arial" w:asciiTheme="minorBidi" w:hAnsiTheme="minorBidi"/>
          <w:b/>
          <w:sz w:val="48"/>
          <w:szCs w:val="48"/>
        </w:rPr>
        <w:t xml:space="preserve">Student Name: </w:t>
      </w:r>
      <w:r>
        <w:rPr>
          <w:rFonts w:ascii="Arial" w:hAnsi="Arial" w:asciiTheme="minorBidi" w:hAnsiTheme="minorBidi"/>
          <w:b w:val="false"/>
          <w:bCs w:val="false"/>
          <w:sz w:val="48"/>
          <w:szCs w:val="48"/>
        </w:rPr>
        <w:t>Veronica Gomez</w:t>
      </w:r>
    </w:p>
    <w:p>
      <w:pPr>
        <w:pStyle w:val="Normal"/>
        <w:spacing w:before="3" w:after="160"/>
        <w:rPr>
          <w:rFonts w:ascii="Arial" w:hAnsi="Arial" w:asciiTheme="minorBidi" w:hAnsiTheme="minorBidi"/>
          <w:b/>
          <w:b/>
          <w:sz w:val="48"/>
          <w:szCs w:val="48"/>
        </w:rPr>
      </w:pPr>
      <w:r>
        <w:rPr>
          <w:rFonts w:ascii="Arial" w:hAnsi="Arial" w:asciiTheme="minorBidi" w:hAnsiTheme="minorBidi"/>
          <w:b/>
          <w:sz w:val="48"/>
          <w:szCs w:val="48"/>
        </w:rPr>
        <w:t xml:space="preserve">Student Number: </w:t>
      </w:r>
      <w:r>
        <w:rPr>
          <w:rFonts w:ascii="Arial" w:hAnsi="Arial" w:asciiTheme="minorBidi" w:hAnsiTheme="minorBidi"/>
          <w:b w:val="false"/>
          <w:bCs w:val="false"/>
          <w:sz w:val="48"/>
          <w:szCs w:val="48"/>
        </w:rPr>
        <w:t>2511807</w:t>
      </w:r>
    </w:p>
    <w:p>
      <w:pPr>
        <w:pStyle w:val="Normal"/>
        <w:rPr>
          <w:rFonts w:ascii="Arial" w:hAnsi="Arial" w:asciiTheme="minorBidi" w:hAnsiTheme="minorBidi"/>
          <w:b/>
          <w:b/>
          <w:sz w:val="48"/>
          <w:szCs w:val="48"/>
        </w:rPr>
      </w:pPr>
      <w:r>
        <w:rPr>
          <w:rFonts w:ascii="Arial" w:hAnsi="Arial" w:asciiTheme="minorBidi" w:hAnsiTheme="minorBidi"/>
          <w:b/>
          <w:sz w:val="48"/>
          <w:szCs w:val="48"/>
        </w:rPr>
        <w:t xml:space="preserve">Lecturer: </w:t>
      </w:r>
      <w:r>
        <w:rPr>
          <w:rFonts w:ascii="Arial" w:hAnsi="Arial" w:asciiTheme="minorBidi" w:hAnsiTheme="minorBidi"/>
          <w:bCs/>
          <w:sz w:val="48"/>
          <w:szCs w:val="48"/>
        </w:rPr>
        <w:t>Scott James</w:t>
      </w:r>
      <w:r>
        <w:rPr>
          <w:rFonts w:ascii="Arial" w:hAnsi="Arial" w:asciiTheme="minorBidi" w:hAnsiTheme="minorBidi"/>
          <w:b/>
          <w:sz w:val="48"/>
          <w:szCs w:val="48"/>
        </w:rPr>
        <w:br/>
        <w:t xml:space="preserve">Deadline: </w:t>
      </w:r>
      <w:r>
        <w:rPr>
          <w:rFonts w:ascii="Arial" w:hAnsi="Arial" w:asciiTheme="minorBidi" w:hAnsiTheme="minorBidi"/>
          <w:bCs/>
          <w:sz w:val="48"/>
          <w:szCs w:val="48"/>
        </w:rPr>
        <w:t>Friday 21</w:t>
      </w:r>
      <w:r>
        <w:rPr>
          <w:rFonts w:ascii="Arial" w:hAnsi="Arial" w:asciiTheme="minorBidi" w:hAnsiTheme="minorBidi"/>
          <w:bCs/>
          <w:sz w:val="48"/>
          <w:szCs w:val="48"/>
          <w:vertAlign w:val="superscript"/>
        </w:rPr>
        <w:t>st</w:t>
      </w:r>
      <w:r>
        <w:rPr>
          <w:rFonts w:ascii="Arial" w:hAnsi="Arial" w:asciiTheme="minorBidi" w:hAnsiTheme="minorBidi"/>
          <w:bCs/>
          <w:sz w:val="48"/>
          <w:szCs w:val="48"/>
        </w:rPr>
        <w:t xml:space="preserve"> November 23:59PM</w:t>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jc w:val="both"/>
        <w:rPr>
          <w:rFonts w:ascii="Arial" w:hAnsi="Arial" w:asciiTheme="minorBidi" w:hAnsiTheme="minorBidi"/>
          <w:b/>
          <w:b/>
          <w:bCs/>
          <w:sz w:val="32"/>
          <w:szCs w:val="32"/>
        </w:rPr>
      </w:pPr>
      <w:r>
        <w:rPr>
          <w:rFonts w:ascii="Arial" w:hAnsi="Arial" w:asciiTheme="minorBidi" w:hAnsiTheme="minorBidi"/>
          <w:b/>
          <w:bCs/>
          <w:sz w:val="32"/>
          <w:szCs w:val="32"/>
        </w:rPr>
        <w:t>AI Acknowledgement</w:t>
      </w:r>
    </w:p>
    <w:p>
      <w:pPr>
        <w:pStyle w:val="Normal"/>
        <w:jc w:val="both"/>
        <w:rPr>
          <w:rFonts w:ascii="Arial" w:hAnsi="Arial"/>
          <w:b w:val="false"/>
          <w:b w:val="false"/>
          <w:bCs w:val="false"/>
          <w:color w:val="000000"/>
          <w:sz w:val="24"/>
          <w:szCs w:val="24"/>
        </w:rPr>
      </w:pPr>
      <w:r>
        <w:rPr>
          <w:rFonts w:ascii="Arial" w:hAnsi="Arial" w:asciiTheme="minorBidi" w:hAnsiTheme="minorBidi"/>
          <w:b w:val="false"/>
          <w:bCs w:val="false"/>
          <w:color w:val="000000"/>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pPr>
        <w:pStyle w:val="Normal"/>
        <w:jc w:val="both"/>
        <w:rPr>
          <w:rFonts w:ascii="Arial" w:hAnsi="Arial" w:asciiTheme="minorBidi" w:hAnsiTheme="minorBidi"/>
          <w:b w:val="false"/>
          <w:b w:val="false"/>
          <w:bCs w:val="false"/>
          <w:color w:val="000000"/>
          <w:sz w:val="24"/>
          <w:szCs w:val="24"/>
        </w:rPr>
      </w:pPr>
      <w:r>
        <w:rPr>
          <w:rFonts w:asciiTheme="minorBidi" w:hAnsiTheme="minorBidi" w:ascii="Arial" w:hAnsi="Arial"/>
          <w:b w:val="false"/>
          <w:bCs w:val="false"/>
          <w:color w:val="000000"/>
          <w:sz w:val="24"/>
          <w:szCs w:val="24"/>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sdt>
      <w:sdtPr>
        <w:docPartObj>
          <w:docPartGallery w:val="Table of Contents"/>
          <w:docPartUnique w:val="true"/>
        </w:docPartObj>
      </w:sdtPr>
      <w:sdtContent>
        <w:p>
          <w:pPr>
            <w:pStyle w:val="Ttulodelsumario"/>
            <w:spacing w:lineRule="auto" w:line="259" w:before="240" w:after="0"/>
            <w:rPr>
              <w:kern w:val="0"/>
              <w:sz w:val="32"/>
              <w:szCs w:val="32"/>
              <w:lang w:val="en-US" w:eastAsia="en-US"/>
              <w14:ligatures w14:val="none"/>
            </w:rPr>
          </w:pPr>
          <w:r>
            <w:rPr>
              <w:kern w:val="0"/>
              <w:sz w:val="32"/>
              <w:szCs w:val="32"/>
              <w:lang w:val="en-US" w:eastAsia="en-US"/>
              <w14:ligatures w14:val="none"/>
            </w:rPr>
            <w:t>Contents</w:t>
          </w:r>
        </w:p>
        <w:p>
          <w:pPr>
            <w:pStyle w:val="Sumario1"/>
            <w:tabs>
              <w:tab w:val="clear" w:pos="720"/>
              <w:tab w:val="right" w:pos="9026" w:leader="dot"/>
            </w:tabs>
            <w:rPr/>
          </w:pPr>
          <w:r>
            <w:fldChar w:fldCharType="begin"/>
          </w:r>
          <w:r>
            <w:rPr>
              <w:webHidden/>
              <w:rStyle w:val="Enlacedelndice"/>
              <w:vanish w:val="false"/>
            </w:rPr>
            <w:instrText xml:space="preserve"> TOC \z \o "1-3" \u \h</w:instrText>
          </w:r>
          <w:r>
            <w:rPr>
              <w:webHidden/>
              <w:rStyle w:val="Enlacedelndice"/>
              <w:vanish w:val="false"/>
            </w:rPr>
            <w:fldChar w:fldCharType="separate"/>
          </w:r>
          <w:hyperlink w:anchor="__RefHeading___Toc5376_3890661439">
            <w:r>
              <w:rPr>
                <w:webHidden/>
                <w:rStyle w:val="Enlacedelndice"/>
                <w:vanish w:val="false"/>
              </w:rPr>
              <w:t>Component 1.</w:t>
              <w:tab/>
              <w:t>4</w:t>
            </w:r>
          </w:hyperlink>
        </w:p>
        <w:p>
          <w:pPr>
            <w:pStyle w:val="Sumario2"/>
            <w:tabs>
              <w:tab w:val="clear" w:pos="720"/>
              <w:tab w:val="right" w:pos="9026" w:leader="dot"/>
            </w:tabs>
            <w:rPr/>
          </w:pPr>
          <w:hyperlink w:anchor="__RefHeading___Toc5378_3890661439">
            <w:r>
              <w:rPr>
                <w:webHidden/>
                <w:rStyle w:val="Enlacedelndice"/>
                <w:vanish w:val="false"/>
              </w:rPr>
              <w:t>Source Exploration.</w:t>
              <w:tab/>
              <w:t>4</w:t>
            </w:r>
          </w:hyperlink>
        </w:p>
        <w:p>
          <w:pPr>
            <w:pStyle w:val="Sumario2"/>
            <w:tabs>
              <w:tab w:val="clear" w:pos="720"/>
              <w:tab w:val="right" w:pos="9026" w:leader="dot"/>
            </w:tabs>
            <w:rPr/>
          </w:pPr>
          <w:hyperlink w:anchor="__RefHeading___Toc5380_3890661439">
            <w:r>
              <w:rPr>
                <w:webHidden/>
                <w:rStyle w:val="Enlacedelndice"/>
                <w:vanish w:val="false"/>
              </w:rPr>
              <w:t>Key Challenge for Students.</w:t>
              <w:tab/>
              <w:t>4</w:t>
            </w:r>
          </w:hyperlink>
        </w:p>
        <w:p>
          <w:pPr>
            <w:pStyle w:val="Sumario2"/>
            <w:tabs>
              <w:tab w:val="clear" w:pos="720"/>
              <w:tab w:val="right" w:pos="9026" w:leader="dot"/>
            </w:tabs>
            <w:rPr/>
          </w:pPr>
          <w:hyperlink w:anchor="__RefHeading___Toc5382_3890661439">
            <w:r>
              <w:rPr>
                <w:webHidden/>
                <w:rStyle w:val="Enlacedelndice"/>
                <w:vanish w:val="false"/>
              </w:rPr>
              <w:t>Key Opportunity for Students.</w:t>
              <w:tab/>
              <w:t>5</w:t>
            </w:r>
          </w:hyperlink>
        </w:p>
        <w:p>
          <w:pPr>
            <w:pStyle w:val="Sumario2"/>
            <w:tabs>
              <w:tab w:val="clear" w:pos="720"/>
              <w:tab w:val="right" w:pos="9026" w:leader="dot"/>
            </w:tabs>
            <w:rPr/>
          </w:pPr>
          <w:hyperlink w:anchor="__RefHeading___Toc5386_3890661439">
            <w:r>
              <w:rPr>
                <w:webHidden/>
                <w:rStyle w:val="Enlacedelndice"/>
                <w:vanish w:val="false"/>
              </w:rPr>
              <w:t>Planning Your Report.</w:t>
              <w:tab/>
              <w:t>5</w:t>
            </w:r>
          </w:hyperlink>
        </w:p>
        <w:p>
          <w:pPr>
            <w:pStyle w:val="Sumario2"/>
            <w:tabs>
              <w:tab w:val="clear" w:pos="720"/>
              <w:tab w:val="right" w:pos="9026" w:leader="dot"/>
            </w:tabs>
            <w:rPr/>
          </w:pPr>
          <w:hyperlink w:anchor="__RefHeading___Toc5388_3890661439">
            <w:r>
              <w:rPr>
                <w:webHidden/>
                <w:rStyle w:val="Enlacedelndice"/>
                <w:vanish w:val="false"/>
              </w:rPr>
              <w:t>Timeline for Component 2</w:t>
              <w:tab/>
              <w:t>5</w:t>
            </w:r>
          </w:hyperlink>
        </w:p>
        <w:p>
          <w:pPr>
            <w:pStyle w:val="Sumario1"/>
            <w:tabs>
              <w:tab w:val="clear" w:pos="720"/>
              <w:tab w:val="right" w:pos="9026" w:leader="dot"/>
            </w:tabs>
            <w:rPr/>
          </w:pPr>
          <w:hyperlink w:anchor="__RefHeading___Toc5390_3890661439">
            <w:r>
              <w:rPr>
                <w:webHidden/>
                <w:rStyle w:val="Enlacedelndice"/>
                <w:vanish w:val="false"/>
              </w:rPr>
              <w:t>Component 2.</w:t>
              <w:tab/>
              <w:t>6</w:t>
            </w:r>
          </w:hyperlink>
        </w:p>
        <w:p>
          <w:pPr>
            <w:pStyle w:val="Sumario2"/>
            <w:tabs>
              <w:tab w:val="clear" w:pos="720"/>
              <w:tab w:val="right" w:pos="9026" w:leader="dot"/>
            </w:tabs>
            <w:rPr/>
          </w:pPr>
          <w:hyperlink w:anchor="__RefHeading___Toc5392_3890661439">
            <w:r>
              <w:rPr>
                <w:webHidden/>
                <w:rStyle w:val="Enlacedelndice"/>
                <w:vanish w:val="false"/>
              </w:rPr>
              <w:t>Introduction</w:t>
              <w:tab/>
              <w:t>6</w:t>
            </w:r>
          </w:hyperlink>
        </w:p>
        <w:p>
          <w:pPr>
            <w:pStyle w:val="Sumario2"/>
            <w:tabs>
              <w:tab w:val="clear" w:pos="720"/>
              <w:tab w:val="right" w:pos="9026" w:leader="dot"/>
            </w:tabs>
            <w:rPr/>
          </w:pPr>
          <w:hyperlink w:anchor="__RefHeading___Toc5394_3890661439">
            <w:r>
              <w:rPr>
                <w:webHidden/>
                <w:rStyle w:val="Enlacedelndice"/>
                <w:vanish w:val="false"/>
              </w:rPr>
              <w:t>Challenges Students Face.</w:t>
              <w:tab/>
              <w:t>6</w:t>
            </w:r>
          </w:hyperlink>
        </w:p>
        <w:p>
          <w:pPr>
            <w:pStyle w:val="Sumario2"/>
            <w:tabs>
              <w:tab w:val="clear" w:pos="720"/>
              <w:tab w:val="right" w:pos="9026" w:leader="dot"/>
            </w:tabs>
            <w:rPr/>
          </w:pPr>
          <w:hyperlink w:anchor="__RefHeading___Toc5400_3890661439">
            <w:r>
              <w:rPr>
                <w:webHidden/>
                <w:rStyle w:val="Enlacedelndice"/>
                <w:vanish w:val="false"/>
              </w:rPr>
              <w:t>Opportunities Digital Tools Provide.</w:t>
              <w:tab/>
              <w:t>6</w:t>
            </w:r>
          </w:hyperlink>
        </w:p>
        <w:p>
          <w:pPr>
            <w:pStyle w:val="Sumario2"/>
            <w:tabs>
              <w:tab w:val="clear" w:pos="720"/>
              <w:tab w:val="right" w:pos="9026" w:leader="dot"/>
            </w:tabs>
            <w:rPr/>
          </w:pPr>
          <w:hyperlink w:anchor="__RefHeading___Toc5402_3890661439">
            <w:r>
              <w:rPr>
                <w:webHidden/>
                <w:rStyle w:val="Enlacedelndice"/>
                <w:vanish w:val="false"/>
              </w:rPr>
              <w:t xml:space="preserve"> </w:t>
            </w:r>
            <w:r>
              <w:rPr>
                <w:rStyle w:val="Enlacedelndice"/>
              </w:rPr>
              <w:t>How Students Can Adapt.</w:t>
              <w:tab/>
              <w:t>7</w:t>
            </w:r>
          </w:hyperlink>
        </w:p>
        <w:p>
          <w:pPr>
            <w:pStyle w:val="Sumario2"/>
            <w:tabs>
              <w:tab w:val="clear" w:pos="720"/>
              <w:tab w:val="right" w:pos="9026" w:leader="dot"/>
            </w:tabs>
            <w:rPr/>
          </w:pPr>
          <w:hyperlink w:anchor="__RefHeading___Toc5404_3890661439">
            <w:r>
              <w:rPr>
                <w:webHidden/>
                <w:rStyle w:val="Enlacedelndice"/>
                <w:vanish w:val="false"/>
              </w:rPr>
              <w:t>Conclusion.</w:t>
              <w:tab/>
              <w:t>7</w:t>
            </w:r>
          </w:hyperlink>
        </w:p>
        <w:p>
          <w:pPr>
            <w:pStyle w:val="Sumario1"/>
            <w:tabs>
              <w:tab w:val="clear" w:pos="720"/>
              <w:tab w:val="right" w:pos="9026" w:leader="dot"/>
            </w:tabs>
            <w:rPr/>
          </w:pPr>
          <w:hyperlink w:anchor="__RefHeading___Toc5408_3890661439">
            <w:r>
              <w:rPr>
                <w:webHidden/>
                <w:rStyle w:val="Enlacedelndice"/>
                <w:vanish w:val="false"/>
              </w:rPr>
              <w:t>Component 3 – Reflective Presentation</w:t>
              <w:tab/>
              <w:t>8</w:t>
            </w:r>
          </w:hyperlink>
        </w:p>
        <w:p>
          <w:pPr>
            <w:pStyle w:val="Sumario2"/>
            <w:tabs>
              <w:tab w:val="clear" w:pos="720"/>
              <w:tab w:val="right" w:pos="9026" w:leader="dot"/>
            </w:tabs>
            <w:rPr/>
          </w:pPr>
          <w:hyperlink w:anchor="__RefHeading___Toc5410_3890661439">
            <w:r>
              <w:rPr>
                <w:webHidden/>
                <w:rStyle w:val="Enlacedelndice"/>
                <w:vanish w:val="false"/>
              </w:rPr>
              <w:t>Slide 1 (Overview)</w:t>
              <w:tab/>
              <w:t>8</w:t>
            </w:r>
          </w:hyperlink>
        </w:p>
        <w:p>
          <w:pPr>
            <w:pStyle w:val="Sumario2"/>
            <w:tabs>
              <w:tab w:val="clear" w:pos="720"/>
              <w:tab w:val="right" w:pos="9026" w:leader="dot"/>
            </w:tabs>
            <w:rPr/>
          </w:pPr>
          <w:hyperlink w:anchor="__RefHeading___Toc5412_3890661439">
            <w:r>
              <w:rPr>
                <w:webHidden/>
                <w:rStyle w:val="Enlacedelndice"/>
                <w:vanish w:val="false"/>
              </w:rPr>
              <w:t>Slide 2 (Introduction)</w:t>
              <w:tab/>
              <w:t>8</w:t>
            </w:r>
          </w:hyperlink>
        </w:p>
        <w:p>
          <w:pPr>
            <w:pStyle w:val="Sumario2"/>
            <w:tabs>
              <w:tab w:val="clear" w:pos="720"/>
              <w:tab w:val="right" w:pos="9026" w:leader="dot"/>
            </w:tabs>
            <w:rPr/>
          </w:pPr>
          <w:hyperlink w:anchor="__RefHeading___Toc5414_3890661439">
            <w:r>
              <w:rPr>
                <w:webHidden/>
                <w:rStyle w:val="Enlacedelndice"/>
                <w:vanish w:val="false"/>
              </w:rPr>
              <w:t>Slide 3 ((Challenges &amp; Opportunities)</w:t>
              <w:tab/>
              <w:t>9</w:t>
            </w:r>
          </w:hyperlink>
        </w:p>
        <w:p>
          <w:pPr>
            <w:pStyle w:val="Sumario2"/>
            <w:tabs>
              <w:tab w:val="clear" w:pos="720"/>
              <w:tab w:val="right" w:pos="9026" w:leader="dot"/>
            </w:tabs>
            <w:rPr/>
          </w:pPr>
          <w:hyperlink w:anchor="__RefHeading___Toc5416_3890661439">
            <w:r>
              <w:rPr>
                <w:webHidden/>
                <w:rStyle w:val="Enlacedelndice"/>
                <w:vanish w:val="false"/>
              </w:rPr>
              <w:t>Slide 4 (Research)</w:t>
              <w:tab/>
              <w:t>9</w:t>
            </w:r>
          </w:hyperlink>
        </w:p>
        <w:p>
          <w:pPr>
            <w:pStyle w:val="Sumario2"/>
            <w:tabs>
              <w:tab w:val="clear" w:pos="720"/>
              <w:tab w:val="right" w:pos="9026" w:leader="dot"/>
            </w:tabs>
            <w:rPr/>
          </w:pPr>
          <w:hyperlink w:anchor="__RefHeading___Toc5418_3890661439">
            <w:r>
              <w:rPr>
                <w:webHidden/>
                <w:rStyle w:val="Enlacedelndice"/>
                <w:vanish w:val="false"/>
              </w:rPr>
              <w:t>Slide 5 (Planning &amp; Writing)</w:t>
              <w:tab/>
              <w:t>10</w:t>
            </w:r>
          </w:hyperlink>
        </w:p>
        <w:p>
          <w:pPr>
            <w:pStyle w:val="Sumario2"/>
            <w:tabs>
              <w:tab w:val="clear" w:pos="720"/>
              <w:tab w:val="right" w:pos="9026" w:leader="dot"/>
            </w:tabs>
            <w:rPr/>
          </w:pPr>
          <w:hyperlink w:anchor="__RefHeading___Toc5420_3890661439">
            <w:r>
              <w:rPr>
                <w:webHidden/>
                <w:rStyle w:val="Enlacedelndice"/>
                <w:vanish w:val="false"/>
              </w:rPr>
              <w:t>Slide 6 (Successes)</w:t>
              <w:tab/>
              <w:t>10</w:t>
            </w:r>
          </w:hyperlink>
        </w:p>
        <w:p>
          <w:pPr>
            <w:pStyle w:val="Sumario2"/>
            <w:tabs>
              <w:tab w:val="clear" w:pos="720"/>
              <w:tab w:val="right" w:pos="9026" w:leader="dot"/>
            </w:tabs>
            <w:rPr/>
          </w:pPr>
          <w:hyperlink w:anchor="__RefHeading___Toc5422_3890661439">
            <w:r>
              <w:rPr>
                <w:webHidden/>
                <w:rStyle w:val="Enlacedelndice"/>
                <w:vanish w:val="false"/>
              </w:rPr>
              <w:t>Slide 7 (Looking Towards)</w:t>
              <w:tab/>
              <w:t>11</w:t>
            </w:r>
          </w:hyperlink>
        </w:p>
        <w:p>
          <w:pPr>
            <w:pStyle w:val="Sumario1"/>
            <w:tabs>
              <w:tab w:val="clear" w:pos="720"/>
              <w:tab w:val="right" w:pos="9026" w:leader="dot"/>
            </w:tabs>
            <w:rPr/>
          </w:pPr>
          <w:hyperlink w:anchor="__RefHeading___Toc5424_3890661439">
            <w:r>
              <w:rPr>
                <w:webHidden/>
                <w:rStyle w:val="Enlacedelndice"/>
                <w:vanish w:val="false"/>
              </w:rPr>
              <w:t>Reference List</w:t>
              <w:tab/>
              <w:t>12</w:t>
            </w:r>
          </w:hyperlink>
          <w:r>
            <w:rPr>
              <w:rStyle w:val="Enlacedelndice"/>
              <w:vanish w:val="false"/>
            </w:rPr>
            <w:fldChar w:fldCharType="end"/>
          </w:r>
        </w:p>
      </w:sdtContent>
    </w:sdt>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Ttulo1"/>
        <w:rPr>
          <w:rFonts w:ascii="Arial" w:hAnsi="Arial" w:cs="Arial" w:asciiTheme="minorBidi" w:cstheme="minorBidi" w:hAnsiTheme="minorBidi"/>
          <w:sz w:val="32"/>
          <w:szCs w:val="32"/>
        </w:rPr>
      </w:pPr>
      <w:bookmarkStart w:id="0" w:name="__RefHeading___Toc5376_3890661439"/>
      <w:bookmarkStart w:id="1" w:name="_Toc213233668"/>
      <w:bookmarkEnd w:id="0"/>
      <w:r>
        <w:rPr>
          <w:rFonts w:cs="Arial" w:ascii="Arial" w:hAnsi="Arial" w:asciiTheme="minorBidi" w:cstheme="minorBidi" w:hAnsiTheme="minorBidi"/>
          <w:sz w:val="32"/>
          <w:szCs w:val="32"/>
        </w:rPr>
        <w:t>Component 1</w:t>
      </w:r>
      <w:bookmarkEnd w:id="1"/>
      <w:r>
        <w:rPr>
          <w:rFonts w:cs="Arial" w:ascii="Arial" w:hAnsi="Arial" w:asciiTheme="minorBidi" w:cstheme="minorBidi" w:hAnsiTheme="minorBidi"/>
          <w:sz w:val="32"/>
          <w:szCs w:val="32"/>
        </w:rPr>
        <w:t>.</w:t>
      </w:r>
    </w:p>
    <w:p>
      <w:pPr>
        <w:pStyle w:val="Ttulo2"/>
        <w:rPr>
          <w:rFonts w:ascii="Arial" w:hAnsi="Arial" w:cs="Arial" w:asciiTheme="minorBidi" w:cstheme="minorBidi" w:hAnsiTheme="minorBidi"/>
          <w:sz w:val="28"/>
          <w:szCs w:val="28"/>
        </w:rPr>
      </w:pPr>
      <w:bookmarkStart w:id="2" w:name="__RefHeading___Toc5378_3890661439"/>
      <w:bookmarkStart w:id="3" w:name="_Toc213233669"/>
      <w:bookmarkEnd w:id="2"/>
      <w:r>
        <w:rPr>
          <w:rFonts w:cs="Arial" w:ascii="Arial" w:hAnsi="Arial" w:asciiTheme="minorBidi" w:cstheme="minorBidi" w:hAnsiTheme="minorBidi"/>
          <w:sz w:val="28"/>
          <w:szCs w:val="28"/>
        </w:rPr>
        <w:t>Source Exploration</w:t>
      </w:r>
      <w:bookmarkEnd w:id="3"/>
      <w:r>
        <w:rPr>
          <w:rFonts w:cs="Arial" w:ascii="Arial" w:hAnsi="Arial" w:asciiTheme="minorBidi" w:cstheme="minorBidi" w:hAnsiTheme="minorBidi"/>
          <w:sz w:val="28"/>
          <w:szCs w:val="28"/>
        </w:rPr>
        <w:t>.</w:t>
      </w:r>
    </w:p>
    <w:p>
      <w:pPr>
        <w:pStyle w:val="Normal"/>
        <w:jc w:val="both"/>
        <w:rPr/>
      </w:pPr>
      <w:r>
        <w:rPr>
          <w:rFonts w:ascii="Arial" w:hAnsi="Arial"/>
        </w:rPr>
        <w:t>In this assignment, I chosen a book called "The Study Skills Handbook," 6th edition, written by Stella Cottrell and published in 2024.</w:t>
      </w:r>
    </w:p>
    <w:p>
      <w:pPr>
        <w:pStyle w:val="Normal"/>
        <w:jc w:val="both"/>
        <w:rPr/>
      </w:pPr>
      <w:r>
        <w:rPr>
          <w:rFonts w:ascii="Arial" w:hAnsi="Arial"/>
        </w:rPr>
        <w:t>The central theme of this work is to demonstrate the advantages, approaches, strategies, techniques, and challenges that students face and how their experience, understanding, and learning about the digital age can be more effective.</w:t>
      </w:r>
    </w:p>
    <w:p>
      <w:pPr>
        <w:pStyle w:val="Normal"/>
        <w:jc w:val="both"/>
        <w:rPr/>
      </w:pPr>
      <w:r>
        <w:rPr>
          <w:rFonts w:ascii="Arial" w:hAnsi="Arial"/>
        </w:rPr>
        <w:t>This resource was selected because it was developed from practical work with hundreds of students over many years, is written in simple language, is recent, and has the trust of educators. The CRAAP test (see Appendix 1) was used to verify that the resource was current and relevant to learning.</w:t>
      </w:r>
    </w:p>
    <w:p>
      <w:pPr>
        <w:pStyle w:val="Normal"/>
        <w:jc w:val="both"/>
        <w:rPr/>
      </w:pPr>
      <w:r>
        <w:rPr>
          <w:rFonts w:ascii="Arial" w:hAnsi="Arial" w:asciiTheme="minorBidi" w:hAnsiTheme="minorBidi"/>
          <w:sz w:val="24"/>
          <w:szCs w:val="24"/>
          <w:lang w:val="en-GB"/>
        </w:rPr>
        <w:t>This source will help me answer the main question, as it focuses on the challenges and opportunities as well as the different techniques for adapting to the digital era. In addition, it also offers real-world examples that I can use in my report.</w:t>
      </w:r>
    </w:p>
    <w:p>
      <w:pPr>
        <w:pStyle w:val="ListParagraph"/>
        <w:numPr>
          <w:ilvl w:val="0"/>
          <w:numId w:val="0"/>
        </w:numPr>
        <w:ind w:left="0" w:hanging="0"/>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sz w:val="28"/>
          <w:szCs w:val="28"/>
        </w:rPr>
      </w:pPr>
      <w:bookmarkStart w:id="4" w:name="__RefHeading___Toc5380_3890661439"/>
      <w:bookmarkStart w:id="5" w:name="_Toc213233670"/>
      <w:bookmarkEnd w:id="4"/>
      <w:r>
        <w:rPr>
          <w:rFonts w:cs="Arial" w:ascii="Arial" w:hAnsi="Arial" w:asciiTheme="minorBidi" w:cstheme="minorBidi" w:hAnsiTheme="minorBidi"/>
          <w:sz w:val="28"/>
          <w:szCs w:val="28"/>
        </w:rPr>
        <w:t>Key Challenge for Students</w:t>
      </w:r>
      <w:bookmarkEnd w:id="5"/>
      <w:r>
        <w:rPr>
          <w:rFonts w:cs="Arial" w:ascii="Arial" w:hAnsi="Arial" w:asciiTheme="minorBidi" w:cstheme="minorBidi" w:hAnsiTheme="minorBidi"/>
          <w:sz w:val="28"/>
          <w:szCs w:val="28"/>
        </w:rPr>
        <w:t>.</w:t>
      </w:r>
    </w:p>
    <w:p>
      <w:pPr>
        <w:pStyle w:val="ListParagraph"/>
        <w:numPr>
          <w:ilvl w:val="0"/>
          <w:numId w:val="0"/>
        </w:numPr>
        <w:spacing w:lineRule="auto" w:line="360"/>
        <w:ind w:left="0" w:right="0" w:hanging="0"/>
        <w:jc w:val="both"/>
        <w:rPr/>
      </w:pPr>
      <w:r>
        <w:rPr>
          <w:rFonts w:ascii="Arial" w:hAnsi="Arial"/>
          <w:sz w:val="24"/>
          <w:szCs w:val="24"/>
        </w:rPr>
        <w:t>One of the biggest challenges for students using digital tools is digital illiteracy. According to the article I read(</w:t>
      </w:r>
      <w:r>
        <w:rPr>
          <w:rStyle w:val="Destaquemayor"/>
          <w:rFonts w:ascii="Arial" w:hAnsi="Arial"/>
          <w:b w:val="false"/>
          <w:bCs w:val="false"/>
          <w:color w:val="000000"/>
          <w:sz w:val="24"/>
          <w:szCs w:val="24"/>
          <w:u w:val="none"/>
          <w:shd w:fill="auto" w:val="clear"/>
          <w14:ligatures w14:val="standardContextual"/>
        </w:rPr>
        <w:t>Fernando, J.G. &amp; Jain, S.K. (2022)</w:t>
      </w:r>
      <w:r>
        <w:rPr>
          <w:rFonts w:ascii="Arial" w:hAnsi="Arial"/>
          <w:sz w:val="24"/>
          <w:szCs w:val="24"/>
        </w:rPr>
        <w:t xml:space="preserve"> it has been proven that a lack of digital efficiency hinders the performance of a quality learning education, taking this into account, a set of effective strategies has been suggested that further support the improvement of digital literacy.</w:t>
      </w:r>
    </w:p>
    <w:p>
      <w:pPr>
        <w:pStyle w:val="ListParagraph"/>
        <w:numPr>
          <w:ilvl w:val="0"/>
          <w:numId w:val="0"/>
        </w:numPr>
        <w:spacing w:lineRule="auto" w:line="360"/>
        <w:ind w:left="0" w:right="0" w:hanging="0"/>
        <w:jc w:val="both"/>
        <w:rPr/>
      </w:pPr>
      <w:r>
        <w:rPr>
          <w:rFonts w:ascii="Arial" w:hAnsi="Arial"/>
          <w:sz w:val="24"/>
          <w:szCs w:val="24"/>
        </w:rPr>
        <w:t>Some students lack the basic skills needed to use digital tools. This refers not only to not knowing how to use devices like computers and smartphones, but also how to navigate the internet, evaluate information, and communicate through digital platforms.</w:t>
      </w:r>
    </w:p>
    <w:p>
      <w:pPr>
        <w:pStyle w:val="Normal"/>
        <w:numPr>
          <w:ilvl w:val="0"/>
          <w:numId w:val="0"/>
        </w:numPr>
        <w:spacing w:lineRule="auto" w:line="360"/>
        <w:ind w:left="0" w:right="0" w:hanging="0"/>
        <w:jc w:val="both"/>
        <w:rPr/>
      </w:pPr>
      <w:r>
        <w:rPr>
          <w:rFonts w:ascii="Arial" w:hAnsi="Arial"/>
          <w:sz w:val="24"/>
          <w:szCs w:val="24"/>
          <w:lang w:val="en-GB"/>
        </w:rPr>
        <w:t xml:space="preserve">For example, We need to create a presentation. My university classmate doesn't know how to insert a video, or even how to change the style of each page. He also doesn't know how to work with an Excel spreadsheet, but he can use his social media, upload photos, and videos. So, at this point, I consider it a challenge we face every day. </w:t>
      </w:r>
      <w:r>
        <w:rPr>
          <w:rFonts w:ascii="Arial" w:hAnsi="Arial"/>
          <w:sz w:val="24"/>
          <w:szCs w:val="24"/>
        </w:rPr>
        <w:t>The article I read also mentions that students may be able to use social media, but lack the digital skills to study, research, or work professionally.</w:t>
      </w:r>
    </w:p>
    <w:p>
      <w:pPr>
        <w:pStyle w:val="Normal"/>
        <w:numPr>
          <w:ilvl w:val="0"/>
          <w:numId w:val="0"/>
        </w:numPr>
        <w:spacing w:lineRule="auto" w:line="360"/>
        <w:ind w:left="0" w:right="0" w:hanging="0"/>
        <w:jc w:val="both"/>
        <w:rPr/>
      </w:pPr>
      <w:r>
        <w:rPr>
          <w:rFonts w:ascii="Arial" w:hAnsi="Arial" w:asciiTheme="minorBidi" w:hAnsiTheme="minorBidi"/>
          <w:sz w:val="24"/>
          <w:szCs w:val="24"/>
        </w:rPr>
        <w:t>This challenge is important because digital tools are increasingly prevalent today, and most of us depend on them. If students cannot use them properly, they will not improve and may feel frustrated</w:t>
      </w:r>
      <w:r>
        <w:rPr>
          <w:rFonts w:ascii="Arial" w:hAnsi="Arial" w:asciiTheme="minorBidi" w:hAnsiTheme="minorBidi"/>
        </w:rPr>
        <w:t xml:space="preserve">. </w:t>
      </w:r>
    </w:p>
    <w:p>
      <w:pPr>
        <w:pStyle w:val="Normal"/>
        <w:numPr>
          <w:ilvl w:val="0"/>
          <w:numId w:val="0"/>
        </w:numPr>
        <w:spacing w:lineRule="auto" w:line="360"/>
        <w:ind w:left="0" w:right="0" w:hanging="0"/>
        <w:jc w:val="both"/>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sz w:val="28"/>
          <w:szCs w:val="28"/>
        </w:rPr>
      </w:pPr>
      <w:bookmarkStart w:id="6" w:name="__RefHeading___Toc5382_3890661439"/>
      <w:bookmarkStart w:id="7" w:name="_Toc213233671"/>
      <w:bookmarkEnd w:id="6"/>
      <w:r>
        <w:rPr>
          <w:rFonts w:cs="Arial" w:ascii="Arial" w:hAnsi="Arial" w:asciiTheme="minorBidi" w:cstheme="minorBidi" w:hAnsiTheme="minorBidi"/>
          <w:sz w:val="28"/>
          <w:szCs w:val="28"/>
        </w:rPr>
        <w:t>Key Opportunity for Students</w:t>
      </w:r>
      <w:bookmarkEnd w:id="7"/>
      <w:r>
        <w:rPr>
          <w:rFonts w:cs="Arial" w:ascii="Arial" w:hAnsi="Arial" w:asciiTheme="minorBidi" w:cstheme="minorBidi" w:hAnsiTheme="minorBidi"/>
          <w:sz w:val="28"/>
          <w:szCs w:val="28"/>
        </w:rPr>
        <w:t>.</w:t>
      </w:r>
    </w:p>
    <w:p>
      <w:pPr>
        <w:pStyle w:val="Normal"/>
        <w:spacing w:lineRule="auto" w:line="360"/>
        <w:ind w:hanging="0"/>
        <w:jc w:val="both"/>
        <w:rPr/>
      </w:pPr>
      <w:r>
        <w:rPr>
          <w:rFonts w:cs="Arial" w:ascii="Arial" w:hAnsi="Arial"/>
          <w:sz w:val="24"/>
          <w:szCs w:val="24"/>
          <w:lang w:val="en-GB"/>
        </w:rPr>
        <w:t xml:space="preserve">A </w:t>
      </w:r>
      <w:r>
        <w:rPr>
          <w:rFonts w:cs="Arial" w:ascii="Arial" w:hAnsi="Arial"/>
          <w:color w:val="000000"/>
          <w:sz w:val="24"/>
          <w:szCs w:val="24"/>
          <w:lang w:val="en-GB"/>
        </w:rPr>
        <w:t>major advantage of digital tools for students is access to digital literacy, as it provides support across all areas of life, both daily and academic. It prepares them for a technological world with diverse learning styles. Currently, there are many ways to learn that adapt to each student's needs, allowing them to feel comfortable. Knowing how to identify sources helps students obtain better search results. In past decades, methods were limited; for example, there was only the dictionary, where students had to look up the meaning to verify the information provided by the teacher in class.</w:t>
      </w:r>
    </w:p>
    <w:p>
      <w:pPr>
        <w:pStyle w:val="Normal"/>
        <w:spacing w:lineRule="auto" w:line="360"/>
        <w:ind w:hanging="0"/>
        <w:jc w:val="both"/>
        <w:rPr/>
      </w:pPr>
      <w:r>
        <w:rPr>
          <w:rFonts w:cs="Arial" w:ascii="Arial" w:hAnsi="Arial"/>
          <w:sz w:val="24"/>
          <w:szCs w:val="24"/>
          <w:lang w:val="en-GB"/>
        </w:rPr>
        <w:t xml:space="preserve">This opportunity is valuable because each student learns differently. Some people learn best by watching, others by reading, and others by doing. Digital tools offer us many ways to learn in the way that works best for each individual. </w:t>
      </w:r>
    </w:p>
    <w:p>
      <w:pPr>
        <w:pStyle w:val="Ttulo2"/>
        <w:rPr>
          <w:rFonts w:ascii="Arial" w:hAnsi="Arial" w:cs="Arial" w:asciiTheme="minorBidi" w:cstheme="minorBidi" w:hAnsiTheme="minorBidi"/>
          <w:sz w:val="28"/>
          <w:szCs w:val="28"/>
        </w:rPr>
      </w:pPr>
      <w:bookmarkStart w:id="8" w:name="__RefHeading___Toc5386_3890661439"/>
      <w:bookmarkStart w:id="9" w:name="_Toc213233672"/>
      <w:bookmarkEnd w:id="8"/>
      <w:r>
        <w:rPr>
          <w:rFonts w:cs="Arial" w:ascii="Arial" w:hAnsi="Arial" w:asciiTheme="minorBidi" w:cstheme="minorBidi" w:hAnsiTheme="minorBidi"/>
          <w:sz w:val="28"/>
          <w:szCs w:val="28"/>
        </w:rPr>
        <w:t>Planning Your Report</w:t>
      </w:r>
      <w:bookmarkEnd w:id="9"/>
      <w:r>
        <w:rPr>
          <w:rFonts w:cs="Arial" w:ascii="Arial" w:hAnsi="Arial" w:asciiTheme="minorBidi" w:cstheme="minorBidi" w:hAnsiTheme="minorBidi"/>
          <w:sz w:val="28"/>
          <w:szCs w:val="28"/>
        </w:rPr>
        <w:t>.</w:t>
      </w:r>
    </w:p>
    <w:p>
      <w:pPr>
        <w:pStyle w:val="Normal"/>
        <w:jc w:val="both"/>
        <w:rPr/>
      </w:pPr>
      <w:r>
        <w:rPr>
          <w:rFonts w:cs="Arial" w:ascii="Arial" w:hAnsi="Arial" w:asciiTheme="minorBidi" w:cstheme="minorBidi" w:hAnsiTheme="minorBidi"/>
          <w:color w:val="000000"/>
          <w:sz w:val="24"/>
          <w:szCs w:val="24"/>
        </w:rPr>
        <w:t>In Component 2, both challenges and opportunities will be addressed, as both are important in the digital era. It is crucial to highlight that while digital tools can be extremely helpful, they also present risks for students.</w:t>
      </w:r>
    </w:p>
    <w:p>
      <w:pPr>
        <w:pStyle w:val="Normal"/>
        <w:jc w:val="both"/>
        <w:rPr/>
      </w:pPr>
      <w:r>
        <w:rPr>
          <w:rFonts w:cs="Arial" w:ascii="Arial" w:hAnsi="Arial"/>
          <w:sz w:val="24"/>
          <w:szCs w:val="24"/>
        </w:rPr>
        <w:t>Digital tools allow students to complete university assignments more efficiently, in a more organized way, and more accessibly. These tools not only help improve academic performance but also foster creativity and collaboration among peers.</w:t>
      </w:r>
    </w:p>
    <w:p>
      <w:pPr>
        <w:pStyle w:val="Normal"/>
        <w:jc w:val="both"/>
        <w:rPr/>
      </w:pPr>
      <w:r>
        <w:rPr>
          <w:rFonts w:cs="Arial" w:ascii="Arial" w:hAnsi="Arial"/>
          <w:color w:val="000000"/>
          <w:sz w:val="24"/>
          <w:szCs w:val="24"/>
        </w:rPr>
        <w:t>This report plans to include tools such as learning management systems (Moodle), time management strategies, digital planners, access to support services, digital skills workshops, online library training, and improved digital literacy.</w:t>
      </w:r>
    </w:p>
    <w:p>
      <w:pPr>
        <w:pStyle w:val="Normal"/>
        <w:rPr>
          <w:highlight w:val="none"/>
          <w:shd w:fill="FFFF00" w:val="clear"/>
        </w:rPr>
      </w:pPr>
      <w:r>
        <w:rPr>
          <w:shd w:fill="FFFF00" w:val="clear"/>
        </w:rPr>
      </w:r>
    </w:p>
    <w:p>
      <w:pPr>
        <w:pStyle w:val="Ttulo2"/>
        <w:rPr>
          <w:rFonts w:ascii="Arial" w:hAnsi="Arial" w:cs="Arial" w:asciiTheme="minorBidi" w:cstheme="minorBidi" w:hAnsiTheme="minorBidi"/>
          <w:sz w:val="28"/>
          <w:szCs w:val="28"/>
        </w:rPr>
      </w:pPr>
      <w:bookmarkStart w:id="10" w:name="__RefHeading___Toc5388_3890661439"/>
      <w:bookmarkStart w:id="11" w:name="_Toc213233673"/>
      <w:bookmarkEnd w:id="10"/>
      <w:r>
        <w:rPr>
          <w:rFonts w:cs="Arial" w:ascii="Arial" w:hAnsi="Arial" w:asciiTheme="minorBidi" w:cstheme="minorBidi" w:hAnsiTheme="minorBidi"/>
          <w:sz w:val="28"/>
          <w:szCs w:val="28"/>
        </w:rPr>
        <w:t>Timeline for Component 2</w:t>
      </w:r>
      <w:bookmarkEnd w:id="11"/>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510"/>
        <w:gridCol w:w="4505"/>
      </w:tblGrid>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b/>
                <w:b/>
                <w:bCs/>
              </w:rPr>
            </w:pPr>
            <w:r>
              <w:rPr>
                <w:rFonts w:eastAsia="等线" w:cs="Arial" w:ascii="Arial" w:hAnsi="Arial" w:asciiTheme="minorBidi" w:hAnsiTheme="minorBidi"/>
                <w:b/>
                <w:bCs/>
                <w:kern w:val="2"/>
                <w:sz w:val="24"/>
                <w:szCs w:val="24"/>
                <w:lang w:val="en-GB" w:eastAsia="zh-CN" w:bidi="ar-SA"/>
              </w:rPr>
              <w:t>Task</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b/>
                <w:b/>
                <w:bCs/>
              </w:rPr>
            </w:pPr>
            <w:r>
              <w:rPr>
                <w:rFonts w:eastAsia="等线" w:cs="Arial" w:ascii="Arial" w:hAnsi="Arial" w:asciiTheme="minorBidi" w:hAnsiTheme="minorBidi"/>
                <w:b/>
                <w:bCs/>
                <w:kern w:val="2"/>
                <w:sz w:val="24"/>
                <w:szCs w:val="24"/>
                <w:lang w:val="en-GB" w:eastAsia="zh-CN" w:bidi="ar-SA"/>
              </w:rPr>
              <w:t>Date/ Deadline</w:t>
            </w:r>
          </w:p>
        </w:tc>
      </w:tr>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asciiTheme="minorBidi" w:hAnsiTheme="minorBidi"/>
                <w:kern w:val="2"/>
                <w:sz w:val="24"/>
                <w:szCs w:val="24"/>
                <w:lang w:val="en-GB" w:eastAsia="zh-CN" w:bidi="ar-SA"/>
              </w:rPr>
              <w:t>Finish research</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kern w:val="2"/>
                <w:sz w:val="24"/>
                <w:szCs w:val="24"/>
                <w:lang w:val="en-GB" w:eastAsia="zh-CN" w:bidi="ar-SA"/>
              </w:rPr>
              <w:t>17/10/2025</w:t>
            </w:r>
          </w:p>
        </w:tc>
      </w:tr>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asciiTheme="minorBidi" w:hAnsiTheme="minorBidi"/>
                <w:kern w:val="2"/>
                <w:sz w:val="24"/>
                <w:szCs w:val="24"/>
                <w:lang w:val="en-GB" w:eastAsia="zh-CN" w:bidi="ar-SA"/>
              </w:rPr>
              <w:t>Draft first section</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kern w:val="2"/>
                <w:sz w:val="24"/>
                <w:szCs w:val="24"/>
                <w:lang w:val="en-GB" w:eastAsia="zh-CN" w:bidi="ar-SA"/>
              </w:rPr>
              <w:t>6/11/2025</w:t>
            </w:r>
          </w:p>
        </w:tc>
      </w:tr>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asciiTheme="minorBidi" w:hAnsiTheme="minorBidi"/>
                <w:kern w:val="2"/>
                <w:sz w:val="24"/>
                <w:szCs w:val="24"/>
                <w:lang w:val="en-GB" w:eastAsia="zh-CN" w:bidi="ar-SA"/>
              </w:rPr>
              <w:t>Complete first draft</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kern w:val="2"/>
                <w:sz w:val="24"/>
                <w:szCs w:val="24"/>
                <w:lang w:val="en-GB" w:eastAsia="zh-CN" w:bidi="ar-SA"/>
              </w:rPr>
              <w:t>17/11/2025</w:t>
            </w:r>
          </w:p>
        </w:tc>
      </w:tr>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asciiTheme="minorBidi" w:hAnsiTheme="minorBidi"/>
                <w:kern w:val="2"/>
                <w:sz w:val="24"/>
                <w:szCs w:val="24"/>
                <w:lang w:val="en-GB" w:eastAsia="zh-CN" w:bidi="ar-SA"/>
              </w:rPr>
              <w:t>Final editing</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kern w:val="2"/>
                <w:sz w:val="24"/>
                <w:szCs w:val="24"/>
                <w:lang w:val="en-GB" w:eastAsia="zh-CN" w:bidi="ar-SA"/>
              </w:rPr>
              <w:t>20/11/2025</w:t>
            </w:r>
          </w:p>
        </w:tc>
      </w:tr>
    </w:tbl>
    <w:p>
      <w:pPr>
        <w:pStyle w:val="Normal"/>
        <w:rPr>
          <w:rFonts w:ascii="Arial" w:hAnsi="Arial" w:asciiTheme="minorBidi" w:hAnsiTheme="minorBidi"/>
          <w:b/>
          <w:b/>
          <w:bCs/>
        </w:rPr>
      </w:pPr>
      <w:r>
        <w:rPr>
          <w:rFonts w:asciiTheme="minorBidi" w:hAnsiTheme="minorBidi" w:ascii="Arial" w:hAnsi="Arial"/>
          <w:b/>
          <w:bCs/>
        </w:rPr>
      </w:r>
    </w:p>
    <w:p>
      <w:pPr>
        <w:pStyle w:val="Normal"/>
        <w:rPr>
          <w:rFonts w:ascii="Arial" w:hAnsi="Arial" w:asciiTheme="minorBidi" w:hAnsiTheme="minorBidi"/>
          <w:b/>
          <w:b/>
          <w:bCs/>
        </w:rPr>
      </w:pPr>
      <w:r>
        <w:rPr>
          <w:rFonts w:asciiTheme="minorBidi" w:hAnsiTheme="minorBidi" w:ascii="Arial" w:hAnsi="Arial"/>
          <w:b/>
          <w:bCs/>
        </w:rPr>
      </w:r>
    </w:p>
    <w:p>
      <w:pPr>
        <w:pStyle w:val="Ttulo1"/>
        <w:rPr>
          <w:rFonts w:ascii="Arial" w:hAnsi="Arial" w:cs="Arial" w:asciiTheme="minorBidi" w:cstheme="minorBidi" w:hAnsiTheme="minorBidi"/>
          <w:sz w:val="32"/>
          <w:szCs w:val="32"/>
        </w:rPr>
      </w:pPr>
      <w:bookmarkStart w:id="12" w:name="__RefHeading___Toc5390_3890661439"/>
      <w:bookmarkStart w:id="13" w:name="_Toc213233674"/>
      <w:bookmarkEnd w:id="12"/>
      <w:r>
        <w:rPr>
          <w:rFonts w:cs="Arial" w:ascii="Arial" w:hAnsi="Arial" w:asciiTheme="minorBidi" w:cstheme="minorBidi" w:hAnsiTheme="minorBidi"/>
          <w:sz w:val="32"/>
          <w:szCs w:val="32"/>
        </w:rPr>
        <w:t>Component 2</w:t>
      </w:r>
      <w:bookmarkEnd w:id="13"/>
      <w:r>
        <w:rPr>
          <w:rFonts w:cs="Arial" w:ascii="Arial" w:hAnsi="Arial" w:asciiTheme="minorBidi" w:cstheme="minorBidi" w:hAnsiTheme="minorBidi"/>
          <w:sz w:val="32"/>
          <w:szCs w:val="32"/>
        </w:rPr>
        <w:t>.</w:t>
      </w:r>
    </w:p>
    <w:p>
      <w:pPr>
        <w:pStyle w:val="Ttulo2"/>
        <w:rPr>
          <w:rFonts w:ascii="Arial" w:hAnsi="Arial" w:cs="Arial" w:asciiTheme="minorBidi" w:cstheme="minorBidi" w:hAnsiTheme="minorBidi"/>
          <w:sz w:val="28"/>
          <w:szCs w:val="28"/>
        </w:rPr>
      </w:pPr>
      <w:bookmarkStart w:id="14" w:name="__RefHeading___Toc5392_3890661439"/>
      <w:bookmarkStart w:id="15" w:name="_Toc213233675"/>
      <w:bookmarkEnd w:id="14"/>
      <w:r>
        <w:rPr>
          <w:rFonts w:cs="Arial" w:ascii="Arial" w:hAnsi="Arial" w:asciiTheme="minorBidi" w:cstheme="minorBidi" w:hAnsiTheme="minorBidi"/>
          <w:sz w:val="28"/>
          <w:szCs w:val="28"/>
        </w:rPr>
        <w:t>Introduction</w:t>
      </w:r>
      <w:bookmarkEnd w:id="15"/>
    </w:p>
    <w:p>
      <w:pPr>
        <w:pStyle w:val="Normal"/>
        <w:numPr>
          <w:ilvl w:val="0"/>
          <w:numId w:val="0"/>
        </w:numPr>
        <w:ind w:left="0" w:hanging="0"/>
        <w:jc w:val="both"/>
        <w:rPr/>
      </w:pPr>
      <w:r>
        <w:rPr>
          <w:rFonts w:cs="Arial" w:ascii="Arial" w:hAnsi="Arial"/>
          <w:sz w:val="24"/>
          <w:szCs w:val="24"/>
        </w:rPr>
        <w:t>This article focuses on how university students develop digital skills during their academic training, considering their self-assessment and the factors that influence their digital literacy. It examines digital tools such as applications, platforms, and software used on electronic devices like computers, tablets, and smartphones, designed to optimize easy access to technology in education. The article considers the advantages and disadvantages of their use to avoid difficulties in understanding and learning these tools.</w:t>
      </w:r>
    </w:p>
    <w:p>
      <w:pPr>
        <w:pStyle w:val="ListParagraph"/>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sz w:val="28"/>
          <w:szCs w:val="28"/>
        </w:rPr>
      </w:pPr>
      <w:bookmarkStart w:id="16" w:name="__RefHeading___Toc5394_3890661439"/>
      <w:bookmarkStart w:id="17" w:name="_Toc213233676"/>
      <w:bookmarkEnd w:id="16"/>
      <w:r>
        <w:rPr>
          <w:rFonts w:cs="Arial" w:ascii="Arial" w:hAnsi="Arial" w:asciiTheme="minorBidi" w:cstheme="minorBidi" w:hAnsiTheme="minorBidi"/>
          <w:sz w:val="28"/>
          <w:szCs w:val="28"/>
        </w:rPr>
        <w:t>Challenges Students Face</w:t>
      </w:r>
      <w:bookmarkEnd w:id="17"/>
      <w:r>
        <w:rPr>
          <w:rFonts w:cs="Arial" w:ascii="Arial" w:hAnsi="Arial" w:asciiTheme="minorBidi" w:cstheme="minorBidi" w:hAnsiTheme="minorBidi"/>
          <w:sz w:val="28"/>
          <w:szCs w:val="28"/>
        </w:rPr>
        <w:t>.</w:t>
      </w:r>
    </w:p>
    <w:p>
      <w:pPr>
        <w:pStyle w:val="Normal"/>
        <w:numPr>
          <w:ilvl w:val="0"/>
          <w:numId w:val="0"/>
        </w:numPr>
        <w:ind w:left="0" w:hanging="0"/>
        <w:jc w:val="both"/>
        <w:rPr/>
      </w:pPr>
      <w:r>
        <w:rPr>
          <w:rFonts w:cs="Arial" w:ascii="Arial" w:hAnsi="Arial"/>
          <w:color w:val="000000"/>
          <w:sz w:val="24"/>
          <w:szCs w:val="24"/>
        </w:rPr>
        <w:t>A major challenge for many students is digital illiteracy. Digital illiteracy is the lack of skills to use information and communication technologies effectively. This includes the inability to navigate the internet, use reliable sources, and know how to use basic computer programs, among other things. For example, when searching for information online, the sheer volume of information found makes it difficult to investigate further and identify reliable sources, leading to stress or a lack of interest.</w:t>
      </w:r>
    </w:p>
    <w:p>
      <w:pPr>
        <w:pStyle w:val="Normal"/>
        <w:numPr>
          <w:ilvl w:val="0"/>
          <w:numId w:val="0"/>
        </w:numPr>
        <w:ind w:left="0" w:hanging="0"/>
        <w:jc w:val="both"/>
        <w:rPr>
          <w:rFonts w:ascii="Arial" w:hAnsi="Arial" w:cs="Arial"/>
          <w:sz w:val="24"/>
          <w:szCs w:val="24"/>
        </w:rPr>
      </w:pPr>
      <w:r>
        <w:rPr>
          <w:rFonts w:cs="Arial" w:ascii="Arial" w:hAnsi="Arial"/>
          <w:sz w:val="24"/>
          <w:szCs w:val="24"/>
        </w:rPr>
        <w:t>Another challenge is the constant use of social media. It's a distraction that makes it easy to lose concentration and be unable to pay attention in class because you receive a notification. The article "How Technology Affects Student Learning" by Smith (2022) explains that spending many hours in front of devices can reduce attention spans and decrease the quality of learning. These challenges are significant because they affect students' ability to concentrate and perform well academically.</w:t>
      </w:r>
    </w:p>
    <w:p>
      <w:pPr>
        <w:pStyle w:val="ListParagraph"/>
        <w:jc w:val="both"/>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sz w:val="28"/>
          <w:szCs w:val="28"/>
        </w:rPr>
      </w:pPr>
      <w:bookmarkStart w:id="18" w:name="__RefHeading___Toc5400_3890661439"/>
      <w:bookmarkStart w:id="19" w:name="_Toc213233677"/>
      <w:bookmarkEnd w:id="18"/>
      <w:r>
        <w:rPr>
          <w:rFonts w:cs="Arial" w:ascii="Arial" w:hAnsi="Arial" w:asciiTheme="minorBidi" w:cstheme="minorBidi" w:hAnsiTheme="minorBidi"/>
          <w:sz w:val="28"/>
          <w:szCs w:val="28"/>
        </w:rPr>
        <w:t>Opportunities Digital Tools Provide</w:t>
      </w:r>
      <w:bookmarkEnd w:id="19"/>
      <w:r>
        <w:rPr>
          <w:rFonts w:cs="Arial" w:ascii="Arial" w:hAnsi="Arial" w:asciiTheme="minorBidi" w:cstheme="minorBidi" w:hAnsiTheme="minorBidi"/>
          <w:sz w:val="28"/>
          <w:szCs w:val="28"/>
        </w:rPr>
        <w:t>.</w:t>
      </w:r>
    </w:p>
    <w:p>
      <w:pPr>
        <w:pStyle w:val="Normal"/>
        <w:jc w:val="both"/>
        <w:rPr/>
      </w:pPr>
      <w:r>
        <w:rPr>
          <w:rFonts w:cs="Arial" w:ascii="Arial" w:hAnsi="Arial"/>
          <w:sz w:val="24"/>
          <w:szCs w:val="24"/>
        </w:rPr>
        <w:t>Digital tools also offer many opportunities for students. A major advantage is easy access to learning resources and the ability to quickly access information.</w:t>
      </w:r>
    </w:p>
    <w:p>
      <w:pPr>
        <w:pStyle w:val="Normal"/>
        <w:jc w:val="both"/>
        <w:rPr/>
      </w:pPr>
      <w:r>
        <w:rPr>
          <w:rFonts w:cs="Arial" w:ascii="Arial" w:hAnsi="Arial"/>
          <w:sz w:val="24"/>
          <w:szCs w:val="24"/>
        </w:rPr>
        <w:t>For example, when working on an assignment for Academic Skills, I used the university's online library to find books, articles, and sources, which made the process easier and helped me understand the topic better.</w:t>
      </w:r>
    </w:p>
    <w:p>
      <w:pPr>
        <w:pStyle w:val="Normal"/>
        <w:jc w:val="both"/>
        <w:rPr/>
      </w:pPr>
      <w:r>
        <w:rPr>
          <w:rFonts w:cs="Arial" w:ascii="Arial" w:hAnsi="Arial"/>
          <w:sz w:val="24"/>
          <w:szCs w:val="24"/>
        </w:rPr>
        <w:t>According to Smith (2025), students who use digital resources can improve their research skills and gain a deeper understanding of their learning.</w:t>
      </w:r>
    </w:p>
    <w:p>
      <w:pPr>
        <w:pStyle w:val="Normal"/>
        <w:jc w:val="both"/>
        <w:rPr/>
      </w:pPr>
      <w:r>
        <w:rPr>
          <w:rFonts w:cs="Arial" w:ascii="Arial" w:hAnsi="Arial"/>
          <w:sz w:val="24"/>
          <w:szCs w:val="24"/>
        </w:rPr>
        <w:t>Another opportunity is personalized learning. Digital tools adapt to each student's needs. According to Lee (2023), apps and platforms can offer exercises and feedback based on student performance, allowing them to improve at their own pace. These opportunities are valuable because they make learning more flexible and engaging. When used correctly, digital tools can help students better understand their subjects and learn in a way that best suits them.</w:t>
      </w:r>
    </w:p>
    <w:p>
      <w:pPr>
        <w:pStyle w:val="Normal"/>
        <w:ind w:hanging="0"/>
        <w:jc w:val="both"/>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rPr>
      </w:pPr>
      <w:bookmarkStart w:id="20" w:name="__RefHeading___Toc5402_3890661439"/>
      <w:bookmarkEnd w:id="20"/>
      <w:r>
        <w:rPr/>
        <w:t xml:space="preserve"> </w:t>
      </w:r>
      <w:bookmarkStart w:id="21" w:name="_Toc213233678"/>
      <w:r>
        <w:rPr>
          <w:rFonts w:cs="Arial" w:ascii="Arial" w:hAnsi="Arial" w:asciiTheme="minorBidi" w:cstheme="minorBidi" w:hAnsiTheme="minorBidi"/>
          <w:sz w:val="28"/>
          <w:szCs w:val="28"/>
        </w:rPr>
        <w:t>How Students Can Adapt</w:t>
      </w:r>
      <w:bookmarkEnd w:id="21"/>
      <w:r>
        <w:rPr>
          <w:rFonts w:cs="Arial" w:ascii="Arial" w:hAnsi="Arial" w:asciiTheme="minorBidi" w:cstheme="minorBidi" w:hAnsiTheme="minorBidi"/>
          <w:sz w:val="28"/>
          <w:szCs w:val="28"/>
        </w:rPr>
        <w:t>.</w:t>
      </w:r>
    </w:p>
    <w:p>
      <w:pPr>
        <w:pStyle w:val="ListParagraph"/>
        <w:numPr>
          <w:ilvl w:val="0"/>
          <w:numId w:val="0"/>
        </w:numPr>
        <w:ind w:left="0" w:hanging="0"/>
        <w:jc w:val="both"/>
        <w:rPr>
          <w:rFonts w:ascii="Arial" w:hAnsi="Arial" w:asciiTheme="minorBidi" w:hAnsiTheme="minorBidi"/>
        </w:rPr>
      </w:pPr>
      <w:r>
        <w:rPr>
          <w:rFonts w:cs="Arial" w:ascii="Arial" w:hAnsi="Arial"/>
          <w:sz w:val="24"/>
          <w:szCs w:val="24"/>
          <w:lang w:val="en-GB"/>
        </w:rPr>
        <w:t>To succeed in the digital era, students need to learn how to use technology wisely. Here are three ways they can adapt:</w:t>
      </w:r>
    </w:p>
    <w:p>
      <w:pPr>
        <w:pStyle w:val="Normal"/>
        <w:numPr>
          <w:ilvl w:val="0"/>
          <w:numId w:val="0"/>
        </w:numPr>
        <w:ind w:left="720" w:hanging="0"/>
        <w:jc w:val="both"/>
        <w:rPr>
          <w:rFonts w:ascii="Arial" w:hAnsi="Arial" w:cs="Arial"/>
          <w:sz w:val="24"/>
          <w:szCs w:val="24"/>
          <w:lang w:val="en-GB"/>
        </w:rPr>
      </w:pPr>
      <w:r>
        <w:rPr>
          <w:rFonts w:cs="Arial" w:ascii="Arial" w:hAnsi="Arial"/>
          <w:b/>
          <w:bCs/>
          <w:sz w:val="24"/>
          <w:szCs w:val="24"/>
          <w:lang w:val="en-GB"/>
        </w:rPr>
        <w:t>1. VIRTUAL LEARNING ENVIRONMENT (VLE): MOODLE</w:t>
      </w:r>
    </w:p>
    <w:p>
      <w:pPr>
        <w:pStyle w:val="Normal"/>
        <w:jc w:val="both"/>
        <w:rPr>
          <w:rFonts w:ascii="Arial" w:hAnsi="Arial" w:cs="Arial"/>
          <w:sz w:val="24"/>
          <w:szCs w:val="24"/>
          <w:lang w:val="en-GB"/>
        </w:rPr>
      </w:pPr>
      <w:r>
        <w:rPr>
          <w:rFonts w:cs="Arial" w:ascii="Arial" w:hAnsi="Arial"/>
          <w:sz w:val="24"/>
          <w:szCs w:val="24"/>
          <w:lang w:val="en-GB"/>
        </w:rPr>
        <w:t>Moodle is a popular online learning platform used by many educational institutions. It provides a centralized space for course materials, communication, and interaction between students and instructors.</w:t>
      </w:r>
    </w:p>
    <w:p>
      <w:pPr>
        <w:pStyle w:val="Normal"/>
        <w:jc w:val="both"/>
        <w:rPr>
          <w:rFonts w:ascii="Arial" w:hAnsi="Arial" w:cs="Arial"/>
          <w:sz w:val="24"/>
          <w:szCs w:val="24"/>
          <w:lang w:val="en-GB"/>
        </w:rPr>
      </w:pPr>
      <w:r>
        <w:rPr>
          <w:rFonts w:cs="Arial" w:ascii="Arial" w:hAnsi="Arial"/>
          <w:sz w:val="24"/>
          <w:szCs w:val="24"/>
          <w:lang w:val="en-GB"/>
        </w:rPr>
        <w:t>According to the article, Moodle is recognized not only as a tool for delivering learning content but also as a teaching support partner that contributes to shaping future educational architectures through information and communication technologies.</w:t>
      </w:r>
    </w:p>
    <w:p>
      <w:pPr>
        <w:pStyle w:val="Normal"/>
        <w:numPr>
          <w:ilvl w:val="0"/>
          <w:numId w:val="0"/>
        </w:numPr>
        <w:ind w:left="720" w:hanging="0"/>
        <w:jc w:val="both"/>
        <w:rPr>
          <w:rFonts w:ascii="Arial" w:hAnsi="Arial" w:cs="Arial"/>
          <w:b/>
          <w:b/>
          <w:bCs/>
          <w:sz w:val="24"/>
          <w:szCs w:val="24"/>
          <w:lang w:val="en-GB"/>
        </w:rPr>
      </w:pPr>
      <w:r>
        <w:rPr>
          <w:rFonts w:cs="Arial" w:ascii="Arial" w:hAnsi="Arial"/>
          <w:b/>
          <w:bCs/>
          <w:sz w:val="24"/>
          <w:szCs w:val="24"/>
          <w:lang w:val="en-GB"/>
        </w:rPr>
        <w:t>2. THE POMODORO TECHNIQUE</w:t>
      </w:r>
    </w:p>
    <w:p>
      <w:pPr>
        <w:pStyle w:val="Normal"/>
        <w:jc w:val="both"/>
        <w:rPr>
          <w:rFonts w:ascii="Arial" w:hAnsi="Arial" w:cs="Arial"/>
          <w:sz w:val="24"/>
          <w:szCs w:val="24"/>
          <w:lang w:val="en-GB"/>
        </w:rPr>
      </w:pPr>
      <w:r>
        <w:rPr>
          <w:rFonts w:cs="Arial" w:ascii="Arial" w:hAnsi="Arial"/>
          <w:sz w:val="24"/>
          <w:szCs w:val="24"/>
          <w:lang w:val="en-GB"/>
        </w:rPr>
        <w:t>The Pomodoro Technique is a time management method that involves working in periods of high concentration (working for 25 minutes and then taking a 5-minute break). This can help students focus and avoid distractions. A study by Johnson (2023) demonstrates that using this method improves concentration and productivity. Its benefits include increased productivity and reduced procrastination; its challenges include external distractions and difficulty switching tasks.</w:t>
      </w:r>
    </w:p>
    <w:p>
      <w:pPr>
        <w:pStyle w:val="Normal"/>
        <w:numPr>
          <w:ilvl w:val="0"/>
          <w:numId w:val="0"/>
        </w:numPr>
        <w:ind w:left="720" w:hanging="0"/>
        <w:jc w:val="both"/>
        <w:rPr>
          <w:rFonts w:ascii="Arial" w:hAnsi="Arial" w:cs="Arial"/>
          <w:b/>
          <w:b/>
          <w:bCs/>
          <w:sz w:val="24"/>
          <w:szCs w:val="24"/>
          <w:lang w:val="en-GB"/>
        </w:rPr>
      </w:pPr>
      <w:r>
        <w:rPr>
          <w:rFonts w:cs="Arial" w:ascii="Arial" w:hAnsi="Arial"/>
          <w:b/>
          <w:bCs/>
          <w:sz w:val="24"/>
          <w:szCs w:val="24"/>
          <w:lang w:val="en-GB"/>
        </w:rPr>
        <w:t>3. ACCESS TO SUPPORT SERVICES</w:t>
      </w:r>
    </w:p>
    <w:p>
      <w:pPr>
        <w:pStyle w:val="Normal"/>
        <w:jc w:val="both"/>
        <w:rPr>
          <w:rFonts w:ascii="Arial" w:hAnsi="Arial"/>
          <w:sz w:val="24"/>
          <w:szCs w:val="24"/>
        </w:rPr>
      </w:pPr>
      <w:r>
        <w:rPr>
          <w:rFonts w:cs="Arial" w:ascii="Arial" w:hAnsi="Arial"/>
          <w:sz w:val="24"/>
          <w:szCs w:val="24"/>
          <w:lang w:val="en-GB"/>
        </w:rPr>
        <w:t>Many universities offer workshops or online training to improve digital skills. For example, university offer different types of support (learning support, well-being support). Receiving support helps students feel confident using new tools and solve problems quickly.</w:t>
      </w:r>
    </w:p>
    <w:p>
      <w:pPr>
        <w:pStyle w:val="Normal"/>
        <w:numPr>
          <w:ilvl w:val="0"/>
          <w:numId w:val="0"/>
        </w:numPr>
        <w:ind w:left="0" w:right="0" w:hanging="0"/>
        <w:jc w:val="both"/>
        <w:rPr/>
      </w:pPr>
      <w:r>
        <w:rPr>
          <w:rFonts w:ascii="Arial" w:hAnsi="Arial"/>
          <w:sz w:val="24"/>
          <w:szCs w:val="24"/>
          <w:lang w:val="en-GB"/>
        </w:rPr>
        <w:t>By following these suggestions, students can use digital tools effectively and improve their learning experience.</w:t>
      </w:r>
    </w:p>
    <w:p>
      <w:pPr>
        <w:pStyle w:val="Ttulo2"/>
        <w:rPr>
          <w:rFonts w:ascii="Arial" w:hAnsi="Arial" w:cs="Arial" w:asciiTheme="minorBidi" w:cstheme="minorBidi" w:hAnsiTheme="minorBidi"/>
          <w:sz w:val="28"/>
          <w:szCs w:val="28"/>
        </w:rPr>
      </w:pPr>
      <w:bookmarkStart w:id="22" w:name="__RefHeading___Toc5404_3890661439"/>
      <w:bookmarkStart w:id="23" w:name="_Toc213233679"/>
      <w:bookmarkEnd w:id="22"/>
      <w:r>
        <w:rPr>
          <w:rFonts w:cs="Arial" w:ascii="Arial" w:hAnsi="Arial" w:asciiTheme="minorBidi" w:cstheme="minorBidi" w:hAnsiTheme="minorBidi"/>
          <w:sz w:val="28"/>
          <w:szCs w:val="28"/>
        </w:rPr>
        <w:t xml:space="preserve">Conclusion. </w:t>
      </w:r>
      <w:bookmarkEnd w:id="23"/>
    </w:p>
    <w:p>
      <w:pPr>
        <w:pStyle w:val="Normal"/>
        <w:numPr>
          <w:ilvl w:val="0"/>
          <w:numId w:val="0"/>
        </w:numPr>
        <w:ind w:left="0" w:hanging="0"/>
        <w:jc w:val="both"/>
        <w:rPr>
          <w:rFonts w:ascii="Arial" w:hAnsi="Arial" w:cs="Arial"/>
          <w:sz w:val="24"/>
          <w:szCs w:val="24"/>
        </w:rPr>
      </w:pPr>
      <w:r>
        <w:rPr>
          <w:rFonts w:cs="Arial" w:ascii="Arial" w:hAnsi="Arial"/>
          <w:sz w:val="24"/>
          <w:szCs w:val="24"/>
        </w:rPr>
        <w:t xml:space="preserve">In </w:t>
      </w:r>
      <w:r>
        <w:rPr>
          <w:rFonts w:cs="Arial" w:ascii="Arial" w:hAnsi="Arial"/>
          <w:color w:val="000000"/>
          <w:sz w:val="24"/>
          <w:szCs w:val="24"/>
        </w:rPr>
        <w:t>summary, today's students face challenges such as digital illiteracy and distraction from social media, where technology is constantly being updated and used in our daily lives. However, it also presents great opportunities, such as easy access to information and personalized learning that adapts to each student's needs.</w:t>
      </w:r>
    </w:p>
    <w:p>
      <w:pPr>
        <w:pStyle w:val="Normal"/>
        <w:numPr>
          <w:ilvl w:val="0"/>
          <w:numId w:val="0"/>
        </w:numPr>
        <w:ind w:left="0" w:hanging="0"/>
        <w:jc w:val="both"/>
        <w:rPr>
          <w:rFonts w:ascii="Arial" w:hAnsi="Arial"/>
        </w:rPr>
      </w:pPr>
      <w:r>
        <w:rPr>
          <w:rFonts w:cs="Arial" w:ascii="Arial" w:hAnsi="Arial"/>
          <w:sz w:val="24"/>
          <w:szCs w:val="24"/>
        </w:rPr>
        <w:t>To adapt and succeed, students must know how to use the tools effectively. Digital planners are very useful for accessing all available resources, practising productivity techniques to organize their time well, and accessing support services. Understanding these points will help them get the most out of digital learning and succeed both in school and in their professional lives.</w:t>
      </w:r>
    </w:p>
    <w:p>
      <w:pPr>
        <w:pStyle w:val="Ttulo1"/>
        <w:rPr>
          <w:rFonts w:ascii="Arial" w:hAnsi="Arial" w:cs="Arial" w:asciiTheme="minorBidi" w:cstheme="minorBidi" w:hAnsiTheme="minorBidi"/>
          <w:sz w:val="32"/>
          <w:szCs w:val="32"/>
        </w:rPr>
      </w:pPr>
      <w:bookmarkStart w:id="24" w:name="__RefHeading___Toc5408_3890661439"/>
      <w:bookmarkStart w:id="25" w:name="_Toc213233680"/>
      <w:bookmarkEnd w:id="24"/>
      <w:r>
        <w:rPr>
          <w:rFonts w:cs="Arial" w:ascii="Arial" w:hAnsi="Arial" w:asciiTheme="minorBidi" w:cstheme="minorBidi" w:hAnsiTheme="minorBidi"/>
          <w:sz w:val="32"/>
          <w:szCs w:val="32"/>
        </w:rPr>
        <w:t>Component 3 – Reflective Presentation</w:t>
      </w:r>
      <w:bookmarkEnd w:id="25"/>
    </w:p>
    <w:p>
      <w:pPr>
        <w:pStyle w:val="Ttulo2"/>
        <w:rPr>
          <w:rFonts w:ascii="Arial" w:hAnsi="Arial" w:cs="Arial" w:asciiTheme="minorBidi" w:cstheme="minorBidi" w:hAnsiTheme="minorBidi"/>
          <w:sz w:val="28"/>
          <w:szCs w:val="28"/>
        </w:rPr>
      </w:pPr>
      <w:bookmarkStart w:id="26" w:name="__RefHeading___Toc5410_3890661439"/>
      <w:bookmarkStart w:id="27" w:name="_Toc213233681"/>
      <w:bookmarkEnd w:id="26"/>
      <w:r>
        <w:rPr>
          <w:rFonts w:cs="Arial" w:ascii="Arial" w:hAnsi="Arial" w:asciiTheme="minorBidi" w:cstheme="minorBidi" w:hAnsiTheme="minorBidi"/>
          <w:sz w:val="28"/>
          <w:szCs w:val="28"/>
        </w:rPr>
        <w:t>Slide 1 (Overview)</w:t>
      </w:r>
      <w:bookmarkEnd w:id="27"/>
    </w:p>
    <w:p>
      <w:pPr>
        <w:pStyle w:val="Ttulo2"/>
        <w:ind w:hanging="0"/>
        <w:rPr>
          <w:rFonts w:ascii="Arial" w:hAnsi="Arial" w:cs="Arial" w:asciiTheme="minorBidi" w:cstheme="minorBidi" w:hAnsiTheme="minorBidi"/>
          <w:sz w:val="28"/>
          <w:szCs w:val="28"/>
        </w:rPr>
      </w:pPr>
      <w:bookmarkStart w:id="28" w:name="__RefHeading___Toc5412_3890661439"/>
      <w:bookmarkStart w:id="29" w:name="_Toc2132336811"/>
      <w:bookmarkEnd w:id="28"/>
      <w: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5731510" cy="3223895"/>
            <wp:effectExtent l="0" t="0" r="0" b="0"/>
            <wp:wrapSquare wrapText="largest"/>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3"/>
                    <a:stretch>
                      <a:fillRect/>
                    </a:stretch>
                  </pic:blipFill>
                  <pic:spPr bwMode="auto">
                    <a:xfrm>
                      <a:off x="0" y="0"/>
                      <a:ext cx="5731510" cy="3223895"/>
                    </a:xfrm>
                    <a:prstGeom prst="rect">
                      <a:avLst/>
                    </a:prstGeom>
                  </pic:spPr>
                </pic:pic>
              </a:graphicData>
            </a:graphic>
          </wp:anchor>
        </w:drawing>
      </w:r>
      <w:r>
        <w:rPr>
          <w:rFonts w:cs="Arial" w:ascii="Arial" w:hAnsi="Arial" w:asciiTheme="minorBidi" w:cstheme="minorBidi" w:hAnsiTheme="minorBidi"/>
          <w:sz w:val="28"/>
          <w:szCs w:val="28"/>
        </w:rPr>
        <w:t>Slide 2 (Introduction</w:t>
      </w:r>
      <w:bookmarkEnd w:id="29"/>
      <w:r>
        <w:rPr>
          <w:rFonts w:cs="Arial" w:ascii="Arial" w:hAnsi="Arial" w:asciiTheme="minorBidi" w:cstheme="minorBidi" w:hAnsiTheme="minorBidi"/>
          <w:sz w:val="28"/>
          <w:szCs w:val="28"/>
        </w:rPr>
        <w:t>)</w:t>
      </w:r>
    </w:p>
    <w:p>
      <w:pPr>
        <w:pStyle w:val="Normal"/>
        <w:ind w:hanging="0"/>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7">
            <wp:simplePos x="0" y="0"/>
            <wp:positionH relativeFrom="column">
              <wp:posOffset>131445</wp:posOffset>
            </wp:positionH>
            <wp:positionV relativeFrom="paragraph">
              <wp:posOffset>240665</wp:posOffset>
            </wp:positionV>
            <wp:extent cx="5731510" cy="3223895"/>
            <wp:effectExtent l="0" t="0" r="0" b="0"/>
            <wp:wrapSquare wrapText="largest"/>
            <wp:docPr id="3"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5" descr=""/>
                    <pic:cNvPicPr>
                      <a:picLocks noChangeAspect="1" noChangeArrowheads="1"/>
                    </pic:cNvPicPr>
                  </pic:nvPicPr>
                  <pic:blipFill>
                    <a:blip r:embed="rId4"/>
                    <a:stretch>
                      <a:fillRect/>
                    </a:stretch>
                  </pic:blipFill>
                  <pic:spPr bwMode="auto">
                    <a:xfrm>
                      <a:off x="0" y="0"/>
                      <a:ext cx="5731510" cy="3223895"/>
                    </a:xfrm>
                    <a:prstGeom prst="rect">
                      <a:avLst/>
                    </a:prstGeom>
                  </pic:spPr>
                </pic:pic>
              </a:graphicData>
            </a:graphic>
          </wp:anchor>
        </w:drawing>
      </w:r>
    </w:p>
    <w:p>
      <w:pPr>
        <w:pStyle w:val="Ttulo2"/>
        <w:ind w:hanging="0"/>
        <w:rPr>
          <w:rFonts w:ascii="Arial" w:hAnsi="Arial" w:cs="Arial" w:asciiTheme="minorBidi" w:cstheme="minorBidi" w:hAnsiTheme="minorBidi"/>
          <w:sz w:val="28"/>
          <w:szCs w:val="28"/>
        </w:rPr>
      </w:pPr>
      <w:bookmarkStart w:id="30" w:name="__RefHeading___Toc5414_3890661439"/>
      <w:bookmarkStart w:id="31" w:name="_Toc21323368111"/>
      <w:bookmarkEnd w:id="30"/>
      <w:r>
        <w:rPr>
          <w:rFonts w:cs="Arial" w:ascii="Arial" w:hAnsi="Arial" w:asciiTheme="minorBidi" w:cstheme="minorBidi" w:hAnsiTheme="minorBidi"/>
          <w:sz w:val="28"/>
          <w:szCs w:val="28"/>
        </w:rPr>
        <w:t>Slide 3 (</w:t>
      </w:r>
      <w:bookmarkEnd w:id="31"/>
      <w:r>
        <w:rPr>
          <w:rFonts w:cs="Arial" w:ascii="Arial" w:hAnsi="Arial" w:asciiTheme="minorBidi" w:cstheme="minorBidi" w:hAnsiTheme="minorBidi"/>
          <w:sz w:val="28"/>
          <w:szCs w:val="28"/>
        </w:rPr>
        <w:t>(Challenges &amp; Opportunities)</w:t>
      </w:r>
    </w:p>
    <w:p>
      <w:pPr>
        <w:pStyle w:val="Normal"/>
        <w:ind w:hanging="0"/>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8">
            <wp:simplePos x="0" y="0"/>
            <wp:positionH relativeFrom="column">
              <wp:align>center</wp:align>
            </wp:positionH>
            <wp:positionV relativeFrom="paragraph">
              <wp:posOffset>635</wp:posOffset>
            </wp:positionV>
            <wp:extent cx="5731510" cy="3223895"/>
            <wp:effectExtent l="0" t="0" r="0" b="0"/>
            <wp:wrapSquare wrapText="largest"/>
            <wp:docPr id="4"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6" descr=""/>
                    <pic:cNvPicPr>
                      <a:picLocks noChangeAspect="1" noChangeArrowheads="1"/>
                    </pic:cNvPicPr>
                  </pic:nvPicPr>
                  <pic:blipFill>
                    <a:blip r:embed="rId5"/>
                    <a:stretch>
                      <a:fillRect/>
                    </a:stretch>
                  </pic:blipFill>
                  <pic:spPr bwMode="auto">
                    <a:xfrm>
                      <a:off x="0" y="0"/>
                      <a:ext cx="5731510" cy="3223895"/>
                    </a:xfrm>
                    <a:prstGeom prst="rect">
                      <a:avLst/>
                    </a:prstGeom>
                  </pic:spPr>
                </pic:pic>
              </a:graphicData>
            </a:graphic>
          </wp:anchor>
        </w:drawing>
      </w:r>
    </w:p>
    <w:p>
      <w:pPr>
        <w:pStyle w:val="Ttulo2"/>
        <w:rPr>
          <w:rFonts w:ascii="Arial" w:hAnsi="Arial" w:cs="Arial" w:asciiTheme="minorBidi" w:cstheme="minorBidi" w:hAnsiTheme="minorBidi"/>
          <w:sz w:val="28"/>
          <w:szCs w:val="28"/>
        </w:rPr>
      </w:pPr>
      <w:bookmarkStart w:id="32" w:name="__RefHeading___Toc5416_3890661439"/>
      <w:bookmarkStart w:id="33" w:name="_Toc213233682"/>
      <w:bookmarkEnd w:id="32"/>
      <w:r>
        <w:rPr>
          <w:rFonts w:cs="Arial" w:ascii="Arial" w:hAnsi="Arial" w:asciiTheme="minorBidi" w:cstheme="minorBidi" w:hAnsiTheme="minorBidi"/>
          <w:sz w:val="28"/>
          <w:szCs w:val="28"/>
        </w:rPr>
        <w:t>Slide 4 (Research)</w:t>
      </w:r>
      <w:bookmarkEnd w:id="33"/>
    </w:p>
    <w:p>
      <w:pPr>
        <w:pStyle w:val="Normal"/>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5731510" cy="3223895"/>
            <wp:effectExtent l="0" t="0" r="0" b="0"/>
            <wp:wrapSquare wrapText="largest"/>
            <wp:docPr id="5"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 descr=""/>
                    <pic:cNvPicPr>
                      <a:picLocks noChangeAspect="1" noChangeArrowheads="1"/>
                    </pic:cNvPicPr>
                  </pic:nvPicPr>
                  <pic:blipFill>
                    <a:blip r:embed="rId6"/>
                    <a:stretch>
                      <a:fillRect/>
                    </a:stretch>
                  </pic:blipFill>
                  <pic:spPr bwMode="auto">
                    <a:xfrm>
                      <a:off x="0" y="0"/>
                      <a:ext cx="5731510" cy="3223895"/>
                    </a:xfrm>
                    <a:prstGeom prst="rect">
                      <a:avLst/>
                    </a:prstGeom>
                  </pic:spPr>
                </pic:pic>
              </a:graphicData>
            </a:graphic>
          </wp:anchor>
        </w:drawing>
      </w:r>
    </w:p>
    <w:p>
      <w:pPr>
        <w:pStyle w:val="Ttulo2"/>
        <w:rPr>
          <w:rFonts w:ascii="Arial" w:hAnsi="Arial" w:cs="Arial" w:asciiTheme="minorBidi" w:cstheme="minorBidi" w:hAnsiTheme="minorBidi"/>
          <w:sz w:val="28"/>
          <w:szCs w:val="28"/>
        </w:rPr>
      </w:pPr>
      <w:bookmarkStart w:id="34" w:name="__RefHeading___Toc5418_3890661439"/>
      <w:bookmarkStart w:id="35" w:name="_Toc213233683"/>
      <w:bookmarkEnd w:id="34"/>
      <w:r>
        <w:rPr>
          <w:rFonts w:cs="Arial" w:ascii="Arial" w:hAnsi="Arial" w:asciiTheme="minorBidi" w:cstheme="minorBidi" w:hAnsiTheme="minorBidi"/>
          <w:sz w:val="28"/>
          <w:szCs w:val="28"/>
        </w:rPr>
        <w:t>Slide 5 (Planning &amp; Writing)</w:t>
      </w:r>
      <w:bookmarkEnd w:id="35"/>
    </w:p>
    <w:p>
      <w:pPr>
        <w:pStyle w:val="Normal"/>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5731510" cy="3223895"/>
            <wp:effectExtent l="0" t="0" r="0" b="0"/>
            <wp:wrapSquare wrapText="largest"/>
            <wp:docPr id="6"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3" descr=""/>
                    <pic:cNvPicPr>
                      <a:picLocks noChangeAspect="1" noChangeArrowheads="1"/>
                    </pic:cNvPicPr>
                  </pic:nvPicPr>
                  <pic:blipFill>
                    <a:blip r:embed="rId7"/>
                    <a:stretch>
                      <a:fillRect/>
                    </a:stretch>
                  </pic:blipFill>
                  <pic:spPr bwMode="auto">
                    <a:xfrm>
                      <a:off x="0" y="0"/>
                      <a:ext cx="5731510" cy="3223895"/>
                    </a:xfrm>
                    <a:prstGeom prst="rect">
                      <a:avLst/>
                    </a:prstGeom>
                  </pic:spPr>
                </pic:pic>
              </a:graphicData>
            </a:graphic>
          </wp:anchor>
        </w:drawing>
      </w:r>
    </w:p>
    <w:p>
      <w:pPr>
        <w:pStyle w:val="Ttulo2"/>
        <w:rPr>
          <w:rFonts w:ascii="Arial" w:hAnsi="Arial" w:cs="Arial" w:asciiTheme="minorBidi" w:cstheme="minorBidi" w:hAnsiTheme="minorBidi"/>
          <w:sz w:val="28"/>
          <w:szCs w:val="28"/>
        </w:rPr>
      </w:pPr>
      <w:bookmarkStart w:id="36" w:name="__RefHeading___Toc5420_3890661439"/>
      <w:bookmarkStart w:id="37" w:name="_Toc213233685"/>
      <w:bookmarkEnd w:id="36"/>
      <w:r>
        <w:rPr>
          <w:rFonts w:cs="Arial" w:ascii="Arial" w:hAnsi="Arial" w:asciiTheme="minorBidi" w:cstheme="minorBidi" w:hAnsiTheme="minorBidi"/>
          <w:sz w:val="28"/>
          <w:szCs w:val="28"/>
        </w:rPr>
        <w:t>Slide 6 (Successes)</w:t>
      </w:r>
      <w:bookmarkEnd w:id="37"/>
    </w:p>
    <w:p>
      <w:pPr>
        <w:pStyle w:val="Normal"/>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6">
            <wp:simplePos x="0" y="0"/>
            <wp:positionH relativeFrom="column">
              <wp:align>center</wp:align>
            </wp:positionH>
            <wp:positionV relativeFrom="paragraph">
              <wp:posOffset>635</wp:posOffset>
            </wp:positionV>
            <wp:extent cx="5731510" cy="3223895"/>
            <wp:effectExtent l="0" t="0" r="0" b="0"/>
            <wp:wrapSquare wrapText="largest"/>
            <wp:docPr id="7"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4" descr=""/>
                    <pic:cNvPicPr>
                      <a:picLocks noChangeAspect="1" noChangeArrowheads="1"/>
                    </pic:cNvPicPr>
                  </pic:nvPicPr>
                  <pic:blipFill>
                    <a:blip r:embed="rId8"/>
                    <a:stretch>
                      <a:fillRect/>
                    </a:stretch>
                  </pic:blipFill>
                  <pic:spPr bwMode="auto">
                    <a:xfrm>
                      <a:off x="0" y="0"/>
                      <a:ext cx="5731510" cy="3223895"/>
                    </a:xfrm>
                    <a:prstGeom prst="rect">
                      <a:avLst/>
                    </a:prstGeom>
                  </pic:spPr>
                </pic:pic>
              </a:graphicData>
            </a:graphic>
          </wp:anchor>
        </w:drawing>
      </w:r>
    </w:p>
    <w:p>
      <w:pPr>
        <w:pStyle w:val="Ttulo2"/>
        <w:rPr>
          <w:rFonts w:ascii="Arial" w:hAnsi="Arial" w:cs="Arial" w:asciiTheme="minorBidi" w:cstheme="minorBidi" w:hAnsiTheme="minorBidi"/>
          <w:sz w:val="28"/>
          <w:szCs w:val="28"/>
        </w:rPr>
      </w:pPr>
      <w:bookmarkStart w:id="38" w:name="__RefHeading___Toc5422_3890661439"/>
      <w:bookmarkStart w:id="39" w:name="_Toc213233684"/>
      <w:bookmarkEnd w:id="38"/>
      <w:r>
        <w:rPr>
          <w:rFonts w:cs="Arial" w:ascii="Arial" w:hAnsi="Arial" w:asciiTheme="minorBidi" w:cstheme="minorBidi" w:hAnsiTheme="minorBidi"/>
          <w:sz w:val="28"/>
          <w:szCs w:val="28"/>
        </w:rPr>
        <w:t>Slide 7 (Looking Towards)</w:t>
      </w:r>
      <w:bookmarkEnd w:id="39"/>
    </w:p>
    <w:p>
      <w:pPr>
        <w:pStyle w:val="ListParagraph"/>
        <w:widowControl w:val="false"/>
        <w:numPr>
          <w:ilvl w:val="0"/>
          <w:numId w:val="0"/>
        </w:numPr>
        <w:ind w:left="0" w:hanging="0"/>
        <w:jc w:val="both"/>
        <w:rPr>
          <w:rFonts w:ascii="Arial" w:hAnsi="Arial" w:asciiTheme="minorBidi" w:hAnsiTheme="minorBidi"/>
        </w:rPr>
      </w:pPr>
      <w:r>
        <w:rPr>
          <w:rFonts w:asciiTheme="minorBidi" w:hAnsiTheme="minorBidi" w:ascii="Arial" w:hAnsi="Arial"/>
        </w:rPr>
        <w:drawing>
          <wp:anchor behindDoc="0" distT="0" distB="0" distL="0" distR="0" simplePos="0" locked="0" layoutInCell="0" allowOverlap="1" relativeHeight="9">
            <wp:simplePos x="0" y="0"/>
            <wp:positionH relativeFrom="column">
              <wp:align>center</wp:align>
            </wp:positionH>
            <wp:positionV relativeFrom="paragraph">
              <wp:posOffset>635</wp:posOffset>
            </wp:positionV>
            <wp:extent cx="5731510" cy="3223895"/>
            <wp:effectExtent l="0" t="0" r="0" b="0"/>
            <wp:wrapSquare wrapText="largest"/>
            <wp:docPr id="8" name="Imagen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7" descr=""/>
                    <pic:cNvPicPr>
                      <a:picLocks noChangeAspect="1" noChangeArrowheads="1"/>
                    </pic:cNvPicPr>
                  </pic:nvPicPr>
                  <pic:blipFill>
                    <a:blip r:embed="rId9"/>
                    <a:stretch>
                      <a:fillRect/>
                    </a:stretch>
                  </pic:blipFill>
                  <pic:spPr bwMode="auto">
                    <a:xfrm>
                      <a:off x="0" y="0"/>
                      <a:ext cx="5731510" cy="3223895"/>
                    </a:xfrm>
                    <a:prstGeom prst="rect">
                      <a:avLst/>
                    </a:prstGeom>
                  </pic:spPr>
                </pic:pic>
              </a:graphicData>
            </a:graphic>
          </wp:anchor>
        </w:drawing>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Ttulo1"/>
        <w:rPr>
          <w:rFonts w:ascii="Arial" w:hAnsi="Arial" w:cs="Arial" w:asciiTheme="minorBidi" w:cstheme="minorBidi" w:hAnsiTheme="minorBidi"/>
          <w:sz w:val="32"/>
          <w:szCs w:val="32"/>
        </w:rPr>
      </w:pPr>
      <w:bookmarkStart w:id="40" w:name="__RefHeading___Toc5424_3890661439"/>
      <w:bookmarkStart w:id="41" w:name="_Toc213233686"/>
      <w:bookmarkEnd w:id="40"/>
      <w:r>
        <w:rPr>
          <w:rFonts w:cs="Arial" w:ascii="Arial" w:hAnsi="Arial" w:asciiTheme="minorBidi" w:cstheme="minorBidi" w:hAnsiTheme="minorBidi"/>
          <w:sz w:val="32"/>
          <w:szCs w:val="32"/>
        </w:rPr>
        <w:t>Reference List</w:t>
      </w:r>
      <w:bookmarkEnd w:id="41"/>
    </w:p>
    <w:p>
      <w:pPr>
        <w:pStyle w:val="Normal"/>
        <w:rPr>
          <w:rFonts w:ascii="Arial" w:hAnsi="Arial" w:cs="Arial" w:asciiTheme="minorBidi" w:cstheme="minorBidi" w:hAnsiTheme="minorBidi"/>
          <w:sz w:val="32"/>
          <w:szCs w:val="32"/>
        </w:rPr>
      </w:pPr>
      <w:r>
        <w:rPr>
          <w:rFonts w:cs="Arial" w:cstheme="minorBidi" w:ascii="Arial" w:hAnsi="Arial"/>
          <w:sz w:val="32"/>
          <w:szCs w:val="32"/>
        </w:rPr>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Anderson, T. D., Ogruk-Maz, G., &amp; Bell, I. (2025). Enhancing Digital Literacy in Higher Education: A Comprehensive Analysis of Digital Skill Development Among College Students. </w:t>
      </w:r>
      <w:r>
        <w:rPr>
          <w:rFonts w:ascii="Arial" w:hAnsi="Arial"/>
          <w:b w:val="false"/>
          <w:bCs w:val="false"/>
          <w:i/>
          <w:color w:val="000000"/>
          <w:sz w:val="24"/>
          <w:szCs w:val="24"/>
          <w:u w:val="none"/>
        </w:rPr>
        <w:t>Journal of Higher Education Theory and Practice</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25</w:t>
      </w:r>
      <w:r>
        <w:rPr>
          <w:rFonts w:ascii="Arial" w:hAnsi="Arial"/>
          <w:b w:val="false"/>
          <w:bCs w:val="false"/>
          <w:color w:val="000000"/>
          <w:sz w:val="24"/>
          <w:szCs w:val="24"/>
          <w:u w:val="none"/>
        </w:rPr>
        <w:t>(3), 1–22. https://doi.org/10.33423/jhetp.v25i3.7631</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Cottrell, S. (2024). </w:t>
      </w:r>
      <w:r>
        <w:rPr>
          <w:rFonts w:ascii="Arial" w:hAnsi="Arial"/>
          <w:b w:val="false"/>
          <w:bCs w:val="false"/>
          <w:i/>
          <w:color w:val="000000"/>
          <w:sz w:val="24"/>
          <w:szCs w:val="24"/>
          <w:u w:val="none"/>
        </w:rPr>
        <w:t>The study skills handbook</w:t>
      </w:r>
      <w:r>
        <w:rPr>
          <w:rFonts w:ascii="Arial" w:hAnsi="Arial"/>
          <w:b w:val="false"/>
          <w:bCs w:val="false"/>
          <w:color w:val="000000"/>
          <w:sz w:val="24"/>
          <w:szCs w:val="24"/>
          <w:u w:val="none"/>
        </w:rPr>
        <w:t xml:space="preserve"> (Sixth edition.). Bloomsbury Academic.</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Díaz-León, J. A., Arbelaitz, O., Larrañaga, M., &amp; Arruarte, A. (2025). Combining CS Unplugged and L2T2L to Bridge the Computing Illiteracy Gap of the Elderly Population: A Case Study. </w:t>
      </w:r>
      <w:r>
        <w:rPr>
          <w:rFonts w:ascii="Arial" w:hAnsi="Arial"/>
          <w:b w:val="false"/>
          <w:bCs w:val="false"/>
          <w:i/>
          <w:color w:val="000000"/>
          <w:sz w:val="24"/>
          <w:szCs w:val="24"/>
          <w:u w:val="none"/>
        </w:rPr>
        <w:t>Applied Sciences</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15</w:t>
      </w:r>
      <w:r>
        <w:rPr>
          <w:rFonts w:ascii="Arial" w:hAnsi="Arial"/>
          <w:b w:val="false"/>
          <w:bCs w:val="false"/>
          <w:color w:val="000000"/>
          <w:sz w:val="24"/>
          <w:szCs w:val="24"/>
          <w:u w:val="none"/>
        </w:rPr>
        <w:t>(2), 919. https://doi.org/10.3390/app15020919</w:t>
      </w:r>
    </w:p>
    <w:p>
      <w:pPr>
        <w:pStyle w:val="Normal"/>
        <w:jc w:val="both"/>
        <w:rPr/>
      </w:pPr>
      <w:r>
        <w:rPr>
          <w:rStyle w:val="Destaquemayor"/>
          <w:rFonts w:ascii="Arial" w:hAnsi="Arial"/>
          <w:b w:val="false"/>
          <w:bCs w:val="false"/>
          <w:color w:val="000000"/>
          <w:sz w:val="24"/>
          <w:szCs w:val="24"/>
          <w:u w:val="none"/>
        </w:rPr>
        <w:t xml:space="preserve">Fernando, J.G. &amp; Jain, S.K. (2022) ‘Digital Illiteracy of Teachers and its Impact in Online Learning’, Technoarete Transactions on Application of Information and Communication Technology (ICT) in Education, 1(3), pp. 1–6. </w:t>
      </w:r>
      <w:hyperlink r:id="rId10">
        <w:r>
          <w:rPr>
            <w:rStyle w:val="EnlacedeInternet"/>
            <w:rFonts w:ascii="Arial" w:hAnsi="Arial"/>
            <w:b w:val="false"/>
            <w:bCs w:val="false"/>
            <w:i w:val="false"/>
            <w:caps w:val="false"/>
            <w:smallCaps w:val="false"/>
            <w:color w:val="000000"/>
            <w:spacing w:val="0"/>
            <w:sz w:val="24"/>
            <w:szCs w:val="24"/>
            <w:u w:val="none"/>
            <w:shd w:fill="auto" w:val="clear"/>
          </w:rPr>
          <w:t>doi.org/10.36647/TTAICTE/01.03.A001</w:t>
        </w:r>
      </w:hyperlink>
      <w:r>
        <w:rPr>
          <w:rFonts w:ascii="Arial" w:hAnsi="Arial"/>
          <w:b w:val="false"/>
          <w:bCs w:val="false"/>
          <w:color w:val="000000"/>
          <w:sz w:val="24"/>
          <w:szCs w:val="24"/>
          <w:u w:val="none"/>
        </w:rPr>
        <w:t xml:space="preserve"> </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Julia Anamaria ȘIȘU. (2023). Digital Leadership Competencies: A Systematic Literature Review. </w:t>
      </w:r>
      <w:r>
        <w:rPr>
          <w:rFonts w:ascii="Arial" w:hAnsi="Arial"/>
          <w:b w:val="false"/>
          <w:bCs w:val="false"/>
          <w:i/>
          <w:color w:val="000000"/>
          <w:sz w:val="24"/>
          <w:szCs w:val="24"/>
          <w:u w:val="none"/>
        </w:rPr>
        <w:t>Revista de Management Comparat International</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24</w:t>
      </w:r>
      <w:r>
        <w:rPr>
          <w:rFonts w:ascii="Arial" w:hAnsi="Arial"/>
          <w:b w:val="false"/>
          <w:bCs w:val="false"/>
          <w:color w:val="000000"/>
          <w:sz w:val="24"/>
          <w:szCs w:val="24"/>
          <w:u w:val="none"/>
        </w:rPr>
        <w:t>(1), 69–77. https://doi.org/10.24818/RMCI.2023.1.69</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lang w:val="en-GB"/>
        </w:rPr>
        <w:t>Lee, S. (2023) ‘Personalised Learning through Digital Tools: Benefits and Challenges’</w:t>
      </w:r>
      <w:r>
        <w:rPr>
          <w:rFonts w:ascii="Arial" w:hAnsi="Arial"/>
          <w:b w:val="false"/>
          <w:bCs w:val="false"/>
          <w:i/>
          <w:iCs/>
          <w:color w:val="000000"/>
          <w:sz w:val="24"/>
          <w:szCs w:val="24"/>
          <w:u w:val="none"/>
          <w:lang w:val="en-GB"/>
        </w:rPr>
        <w:t>,</w:t>
      </w:r>
      <w:r>
        <w:rPr>
          <w:rFonts w:ascii="Arial" w:hAnsi="Arial"/>
          <w:b w:val="false"/>
          <w:bCs w:val="false"/>
          <w:color w:val="000000"/>
          <w:sz w:val="24"/>
          <w:szCs w:val="24"/>
          <w:u w:val="none"/>
          <w:lang w:val="en-GB"/>
        </w:rPr>
        <w:t xml:space="preserve"> </w:t>
      </w:r>
      <w:r>
        <w:rPr>
          <w:rFonts w:ascii="Arial" w:hAnsi="Arial"/>
          <w:b w:val="false"/>
          <w:bCs w:val="false"/>
          <w:i/>
          <w:iCs/>
          <w:color w:val="000000"/>
          <w:sz w:val="24"/>
          <w:szCs w:val="24"/>
          <w:u w:val="none"/>
          <w:lang w:val="en-GB"/>
        </w:rPr>
        <w:t>Educational Review</w:t>
      </w:r>
      <w:r>
        <w:rPr>
          <w:rFonts w:ascii="Arial" w:hAnsi="Arial"/>
          <w:b w:val="false"/>
          <w:bCs w:val="false"/>
          <w:color w:val="000000"/>
          <w:sz w:val="24"/>
          <w:szCs w:val="24"/>
          <w:u w:val="none"/>
          <w:lang w:val="en-GB"/>
        </w:rPr>
        <w:t xml:space="preserve">, 28(1), pp. 12-20. Available at: </w:t>
      </w:r>
      <w:r>
        <w:rPr>
          <w:rFonts w:ascii="Arial" w:hAnsi="Arial"/>
          <w:b w:val="false"/>
          <w:bCs w:val="false"/>
          <w:i/>
          <w:iCs/>
          <w:color w:val="000000"/>
          <w:sz w:val="24"/>
          <w:szCs w:val="24"/>
          <w:u w:val="none"/>
          <w:lang w:val="en-GB"/>
        </w:rPr>
        <w:t>Insert URL or DOI</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Perifanou, M., Tzafilkou, K., &amp; Economides, A. A. (2021). The Role of Instagram, Facebook, and YouTube Frequency of Use in University Students’ Digital Skills Components. </w:t>
      </w:r>
      <w:r>
        <w:rPr>
          <w:rFonts w:ascii="Arial" w:hAnsi="Arial"/>
          <w:b w:val="false"/>
          <w:bCs w:val="false"/>
          <w:i/>
          <w:color w:val="000000"/>
          <w:sz w:val="24"/>
          <w:szCs w:val="24"/>
          <w:u w:val="none"/>
        </w:rPr>
        <w:t>Education Sciences</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11</w:t>
      </w:r>
      <w:r>
        <w:rPr>
          <w:rFonts w:ascii="Arial" w:hAnsi="Arial"/>
          <w:b w:val="false"/>
          <w:bCs w:val="false"/>
          <w:color w:val="000000"/>
          <w:sz w:val="24"/>
          <w:szCs w:val="24"/>
          <w:u w:val="none"/>
        </w:rPr>
        <w:t>(12), 766. https://doi.org/10.3390/educsci11120766</w:t>
      </w:r>
    </w:p>
    <w:p>
      <w:pPr>
        <w:pStyle w:val="Normal"/>
        <w:jc w:val="both"/>
        <w:rPr/>
      </w:pPr>
      <w:r>
        <w:rPr>
          <w:rFonts w:ascii="Arial" w:hAnsi="Arial"/>
          <w:b w:val="false"/>
          <w:bCs w:val="false"/>
          <w:color w:val="000000"/>
          <w:sz w:val="24"/>
          <w:szCs w:val="24"/>
          <w:u w:val="none"/>
        </w:rPr>
        <w:t xml:space="preserve">Petrişor, R.-M., &amp; Petrişor, S.-M. (2021). Digital Permanences in the Contemporary Educational Space. The Moodle Elearning Platform. </w:t>
      </w:r>
      <w:r>
        <w:rPr>
          <w:rFonts w:ascii="Arial" w:hAnsi="Arial"/>
          <w:b w:val="false"/>
          <w:bCs w:val="false"/>
          <w:i/>
          <w:color w:val="000000"/>
          <w:sz w:val="24"/>
          <w:szCs w:val="24"/>
          <w:u w:val="none"/>
        </w:rPr>
        <w:t>Land Forces Academy Review</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26</w:t>
      </w:r>
      <w:r>
        <w:rPr>
          <w:rFonts w:ascii="Arial" w:hAnsi="Arial"/>
          <w:b w:val="false"/>
          <w:bCs w:val="false"/>
          <w:color w:val="000000"/>
          <w:sz w:val="24"/>
          <w:szCs w:val="24"/>
          <w:u w:val="none"/>
        </w:rPr>
        <w:t xml:space="preserve">(1), 45–48. </w:t>
      </w:r>
      <w:hyperlink r:id="rId11">
        <w:r>
          <w:rPr>
            <w:rStyle w:val="EnlacedeInternet"/>
          </w:rPr>
          <w:t>https://doi.org/10.2478/raft-2021-0007</w:t>
        </w:r>
      </w:hyperlink>
    </w:p>
    <w:p>
      <w:pPr>
        <w:pStyle w:val="Normal"/>
        <w:jc w:val="both"/>
        <w:rPr/>
      </w:pPr>
      <w:r>
        <w:rPr>
          <w:rFonts w:ascii="Arial" w:hAnsi="Arial"/>
          <w:b w:val="false"/>
          <w:bCs w:val="false"/>
          <w:color w:val="000000"/>
          <w:sz w:val="24"/>
          <w:szCs w:val="24"/>
          <w:u w:val="none"/>
        </w:rPr>
        <w:t xml:space="preserve">Reddy, P., Sharma, B., &amp; Chaudhary, K. (2020). Digital Literacy: A Review of Literature. </w:t>
      </w:r>
      <w:r>
        <w:rPr>
          <w:rFonts w:ascii="Arial" w:hAnsi="Arial"/>
          <w:b w:val="false"/>
          <w:bCs w:val="false"/>
          <w:i/>
          <w:color w:val="000000"/>
          <w:sz w:val="24"/>
          <w:szCs w:val="24"/>
          <w:u w:val="none"/>
        </w:rPr>
        <w:t>International Journal of Technoethics</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11</w:t>
      </w:r>
      <w:r>
        <w:rPr>
          <w:rFonts w:ascii="Arial" w:hAnsi="Arial"/>
          <w:b w:val="false"/>
          <w:bCs w:val="false"/>
          <w:color w:val="000000"/>
          <w:sz w:val="24"/>
          <w:szCs w:val="24"/>
          <w:u w:val="none"/>
        </w:rPr>
        <w:t xml:space="preserve">(2), 65–94. </w:t>
      </w:r>
      <w:hyperlink r:id="rId12">
        <w:r>
          <w:rPr>
            <w:rStyle w:val="EnlacedeInternet"/>
          </w:rPr>
          <w:t>https://doi.org/10.4018/IJT.20200701.oa1</w:t>
        </w:r>
      </w:hyperlink>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Reedy, K., &amp; Parker, J. (Eds.). (2018). </w:t>
      </w:r>
      <w:r>
        <w:rPr>
          <w:rFonts w:ascii="Arial" w:hAnsi="Arial"/>
          <w:b w:val="false"/>
          <w:bCs w:val="false"/>
          <w:i/>
          <w:color w:val="000000"/>
          <w:sz w:val="24"/>
          <w:szCs w:val="24"/>
          <w:u w:val="none"/>
        </w:rPr>
        <w:t>Digital literacy unpacked</w:t>
      </w:r>
      <w:r>
        <w:rPr>
          <w:rFonts w:ascii="Arial" w:hAnsi="Arial"/>
          <w:b w:val="false"/>
          <w:bCs w:val="false"/>
          <w:color w:val="000000"/>
          <w:sz w:val="24"/>
          <w:szCs w:val="24"/>
          <w:u w:val="none"/>
        </w:rPr>
        <w:t>. Facet Publishing.</w:t>
      </w:r>
    </w:p>
    <w:p>
      <w:pPr>
        <w:pStyle w:val="Normal"/>
        <w:jc w:val="both"/>
        <w:rPr>
          <w:rFonts w:ascii="Arial" w:hAnsi="Arial"/>
        </w:rPr>
      </w:pPr>
      <w:r>
        <w:rPr>
          <w:rFonts w:cs="Arial" w:ascii="Arial" w:hAnsi="Arial"/>
          <w:b w:val="false"/>
          <w:bCs w:val="false"/>
          <w:color w:val="000000"/>
          <w:sz w:val="24"/>
          <w:szCs w:val="24"/>
          <w:u w:val="none"/>
          <w:lang w:val="en-GB"/>
        </w:rPr>
        <w:t xml:space="preserve">Smith, R. (2022) </w:t>
      </w:r>
      <w:r>
        <w:rPr>
          <w:rFonts w:cs="Arial" w:ascii="Arial" w:hAnsi="Arial"/>
          <w:b w:val="false"/>
          <w:bCs w:val="false"/>
          <w:i/>
          <w:iCs/>
          <w:color w:val="000000"/>
          <w:sz w:val="24"/>
          <w:szCs w:val="24"/>
          <w:u w:val="none"/>
          <w:lang w:val="en-GB"/>
        </w:rPr>
        <w:t>How Technology Affects Student Learning.</w:t>
      </w:r>
      <w:r>
        <w:rPr>
          <w:rFonts w:cs="Arial" w:ascii="Arial" w:hAnsi="Arial"/>
          <w:b w:val="false"/>
          <w:bCs w:val="false"/>
          <w:color w:val="000000"/>
          <w:sz w:val="24"/>
          <w:szCs w:val="24"/>
          <w:u w:val="none"/>
          <w:lang w:val="en-GB"/>
        </w:rPr>
        <w:t xml:space="preserve"> Available at: </w:t>
      </w:r>
      <w:hyperlink r:id="rId13">
        <w:r>
          <w:rPr>
            <w:rStyle w:val="EnlacedeInternet"/>
            <w:rFonts w:cs="Arial" w:ascii="Arial" w:hAnsi="Arial"/>
            <w:b w:val="false"/>
            <w:bCs w:val="false"/>
            <w:color w:val="000000"/>
            <w:sz w:val="24"/>
            <w:szCs w:val="24"/>
            <w:u w:val="none"/>
            <w:lang w:val="en-GB"/>
          </w:rPr>
          <w:t>https://www.edtechtoday.com/how-technology-affects-student-learning</w:t>
        </w:r>
      </w:hyperlink>
      <w:r>
        <w:rPr>
          <w:rFonts w:cs="Arial" w:ascii="Arial" w:hAnsi="Arial"/>
          <w:b w:val="false"/>
          <w:bCs w:val="false"/>
          <w:color w:val="000000"/>
          <w:sz w:val="24"/>
          <w:szCs w:val="24"/>
          <w:u w:val="none"/>
          <w:lang w:val="en-GB"/>
        </w:rPr>
        <w:t xml:space="preserve"> (Accessed: 8 October 2025)</w:t>
      </w:r>
    </w:p>
    <w:p>
      <w:pPr>
        <w:pStyle w:val="Normal"/>
        <w:jc w:val="both"/>
        <w:rPr>
          <w:rFonts w:ascii="Arial" w:hAnsi="Arial"/>
          <w:b/>
          <w:b/>
          <w:bCs/>
          <w:sz w:val="24"/>
          <w:szCs w:val="24"/>
        </w:rPr>
      </w:pPr>
      <w:r>
        <w:rPr>
          <w:rFonts w:ascii="Arial" w:hAnsi="Arial"/>
          <w:b/>
          <w:bCs/>
          <w:sz w:val="24"/>
          <w:szCs w:val="24"/>
        </w:rPr>
      </w:r>
    </w:p>
    <w:p>
      <w:pPr>
        <w:pStyle w:val="Normal"/>
        <w:jc w:val="both"/>
        <w:rPr>
          <w:rFonts w:ascii="Arial" w:hAnsi="Arial"/>
          <w:b/>
          <w:b/>
          <w:bCs/>
          <w:sz w:val="24"/>
          <w:szCs w:val="24"/>
        </w:rPr>
      </w:pPr>
      <w:r>
        <w:rPr>
          <w:rFonts w:ascii="Arial" w:hAnsi="Arial"/>
          <w:b/>
          <w:bCs/>
          <w:sz w:val="24"/>
          <w:szCs w:val="24"/>
        </w:rPr>
      </w:r>
    </w:p>
    <w:p>
      <w:pPr>
        <w:pStyle w:val="Normal"/>
        <w:rPr/>
      </w:pPr>
      <w:r>
        <w:rPr/>
      </w:r>
    </w:p>
    <w:p>
      <w:pPr>
        <w:pStyle w:val="Normal"/>
        <w:rPr>
          <w:rFonts w:ascii="Arial" w:hAnsi="Arial" w:eastAsia="等线 Light" w:cs="Arial"/>
          <w:color w:val="0F4761"/>
          <w:sz w:val="32"/>
          <w:szCs w:val="32"/>
        </w:rPr>
      </w:pPr>
      <w:bookmarkStart w:id="42" w:name="__RefHeading___Toc3993_38906614391"/>
      <w:bookmarkEnd w:id="42"/>
      <w:r>
        <w:rPr>
          <w:rFonts w:eastAsia="等线 Light" w:cs="Arial" w:ascii="Arial" w:hAnsi="Arial"/>
          <w:b/>
          <w:bCs/>
          <w:color w:val="0F4761"/>
          <w:sz w:val="32"/>
          <w:szCs w:val="32"/>
        </w:rPr>
        <w:t xml:space="preserve"> </w:t>
      </w:r>
      <w:bookmarkStart w:id="43" w:name="_Toc2132336781"/>
      <w:r>
        <w:rPr>
          <w:rFonts w:eastAsia="等线 Light" w:cs="Arial" w:ascii="Arial" w:hAnsi="Arial"/>
          <w:b/>
          <w:bCs/>
          <w:color w:val="0F4761"/>
          <w:sz w:val="32"/>
          <w:szCs w:val="32"/>
        </w:rPr>
        <w:t>A</w:t>
      </w:r>
      <w:bookmarkEnd w:id="43"/>
      <w:r>
        <w:rPr>
          <w:rFonts w:eastAsia="等线 Light" w:cs="Arial" w:ascii="Arial" w:hAnsi="Arial"/>
          <w:b/>
          <w:bCs/>
          <w:color w:val="0F4761"/>
          <w:sz w:val="32"/>
          <w:szCs w:val="32"/>
        </w:rPr>
        <w:t>ppendices</w:t>
      </w:r>
    </w:p>
    <w:p>
      <w:pPr>
        <w:pStyle w:val="Normal"/>
        <w:rPr>
          <w:rFonts w:ascii="Arial" w:hAnsi="Arial"/>
          <w:b/>
          <w:b/>
          <w:bCs/>
          <w:sz w:val="24"/>
          <w:szCs w:val="24"/>
        </w:rPr>
      </w:pPr>
      <w:r>
        <w:rPr>
          <w:rFonts w:ascii="Arial" w:hAnsi="Arial"/>
          <w:b/>
          <w:bCs/>
          <w:sz w:val="24"/>
          <w:szCs w:val="24"/>
        </w:rPr>
        <w:t>Appendix 1: CRAAP Test</w:t>
      </w:r>
    </w:p>
    <w:p>
      <w:pPr>
        <w:pStyle w:val="Normal"/>
        <w:numPr>
          <w:ilvl w:val="0"/>
          <w:numId w:val="1"/>
        </w:numPr>
        <w:rPr>
          <w:rFonts w:ascii="Arial" w:hAnsi="Arial"/>
          <w:sz w:val="24"/>
          <w:szCs w:val="24"/>
        </w:rPr>
      </w:pPr>
      <w:r>
        <w:rPr>
          <w:rFonts w:ascii="Arial" w:hAnsi="Arial"/>
          <w:b/>
          <w:bCs/>
          <w:sz w:val="24"/>
          <w:szCs w:val="24"/>
          <w:lang w:val="en-GB"/>
        </w:rPr>
        <w:t>Currency:</w:t>
      </w:r>
      <w:r>
        <w:rPr>
          <w:rFonts w:ascii="Arial" w:hAnsi="Arial"/>
          <w:sz w:val="24"/>
          <w:szCs w:val="24"/>
        </w:rPr>
        <w:t xml:space="preserve"> The book was published in 2024, so it's quite recent and up-to-date. This is important because technology and digital learning tools change rapidly.</w:t>
      </w:r>
    </w:p>
    <w:p>
      <w:pPr>
        <w:pStyle w:val="Normal"/>
        <w:numPr>
          <w:ilvl w:val="0"/>
          <w:numId w:val="1"/>
        </w:numPr>
        <w:rPr>
          <w:rFonts w:ascii="Arial" w:hAnsi="Arial"/>
          <w:sz w:val="24"/>
          <w:szCs w:val="24"/>
        </w:rPr>
      </w:pPr>
      <w:r>
        <w:rPr>
          <w:rFonts w:ascii="Arial" w:hAnsi="Arial"/>
          <w:b/>
          <w:bCs/>
          <w:sz w:val="24"/>
          <w:szCs w:val="24"/>
        </w:rPr>
        <w:t xml:space="preserve">Relevance: </w:t>
      </w:r>
      <w:r>
        <w:rPr>
          <w:rFonts w:ascii="Arial" w:hAnsi="Arial"/>
          <w:sz w:val="24"/>
          <w:szCs w:val="24"/>
        </w:rPr>
        <w:t>The book covers relevant topics on academic skills. Its approach has been proven based on experience and has helped students succeed and overcome challenges. It uses simple language, which is helpful.</w:t>
      </w:r>
    </w:p>
    <w:p>
      <w:pPr>
        <w:pStyle w:val="Normal"/>
        <w:numPr>
          <w:ilvl w:val="0"/>
          <w:numId w:val="1"/>
        </w:numPr>
        <w:rPr>
          <w:rFonts w:ascii="Arial" w:hAnsi="Arial"/>
          <w:sz w:val="24"/>
          <w:szCs w:val="24"/>
        </w:rPr>
      </w:pPr>
      <w:r>
        <w:rPr>
          <w:rFonts w:ascii="Arial" w:hAnsi="Arial"/>
          <w:b/>
          <w:bCs/>
          <w:sz w:val="24"/>
          <w:szCs w:val="24"/>
        </w:rPr>
        <w:t>Authority:</w:t>
      </w:r>
      <w:r>
        <w:rPr>
          <w:rFonts w:ascii="Arial" w:hAnsi="Arial"/>
          <w:sz w:val="24"/>
          <w:szCs w:val="24"/>
        </w:rPr>
        <w:t xml:space="preserve"> Stella Cottrell is recognized for her work as Director of Lifelong Learning at the University of Leeds and Vice-Chancellor for Learning, Teaching, and Student Engagement at the University of East London. She is the author of several guides on study techniques. Her publications have sold over a million copies worldwide, and she has been recognized for her contributions to the education sector. Her experience lends her credibility and makes her book more useful.</w:t>
      </w:r>
    </w:p>
    <w:p>
      <w:pPr>
        <w:pStyle w:val="Normal"/>
        <w:numPr>
          <w:ilvl w:val="0"/>
          <w:numId w:val="1"/>
        </w:numPr>
        <w:rPr>
          <w:rFonts w:ascii="Arial" w:hAnsi="Arial"/>
          <w:sz w:val="24"/>
          <w:szCs w:val="24"/>
        </w:rPr>
      </w:pPr>
      <w:r>
        <w:rPr>
          <w:rFonts w:ascii="Arial" w:hAnsi="Arial"/>
          <w:b/>
          <w:bCs/>
          <w:sz w:val="24"/>
          <w:szCs w:val="24"/>
        </w:rPr>
        <w:t xml:space="preserve">Accuracy: </w:t>
      </w:r>
      <w:r>
        <w:rPr>
          <w:rFonts w:ascii="Arial" w:hAnsi="Arial"/>
          <w:sz w:val="24"/>
          <w:szCs w:val="24"/>
        </w:rPr>
        <w:t>The book provides clear examples and cites research studies to support its arguments. Stella uses simple self-assessment examples and presents different study methods. It is recommended by teachers, which supports its credibility.</w:t>
      </w:r>
    </w:p>
    <w:p>
      <w:pPr>
        <w:pStyle w:val="Normal"/>
        <w:rPr>
          <w:rFonts w:ascii="Arial" w:hAnsi="Arial"/>
          <w:sz w:val="24"/>
          <w:szCs w:val="24"/>
        </w:rPr>
      </w:pPr>
      <w:r>
        <w:rPr>
          <w:rFonts w:ascii="Arial" w:hAnsi="Arial"/>
          <w:sz w:val="24"/>
          <w:szCs w:val="24"/>
        </w:rPr>
      </w:r>
    </w:p>
    <w:p>
      <w:pPr>
        <w:pStyle w:val="Normal"/>
        <w:numPr>
          <w:ilvl w:val="0"/>
          <w:numId w:val="1"/>
        </w:numPr>
        <w:rPr>
          <w:rFonts w:ascii="Arial" w:hAnsi="Arial"/>
          <w:sz w:val="24"/>
          <w:szCs w:val="24"/>
        </w:rPr>
      </w:pPr>
      <w:r>
        <w:rPr>
          <w:rFonts w:ascii="Arial" w:hAnsi="Arial"/>
          <w:b/>
          <w:bCs/>
          <w:sz w:val="24"/>
          <w:szCs w:val="24"/>
        </w:rPr>
        <w:t>Purpose:</w:t>
      </w:r>
      <w:r>
        <w:rPr>
          <w:rFonts w:ascii="Arial" w:hAnsi="Arial"/>
          <w:sz w:val="24"/>
          <w:szCs w:val="24"/>
        </w:rPr>
        <w:t xml:space="preserve"> The purpose of the book is to support students in developing independent learning and study skills, and to understand the challenges and opportunities of using technology in learning. Designed to empower students, not to sell a product, the information is likely to be unbiased and reliable.</w:t>
      </w:r>
    </w:p>
    <w:p>
      <w:pPr>
        <w:pStyle w:val="Normal"/>
        <w:rPr>
          <w:rFonts w:ascii="Arial" w:hAnsi="Arial" w:cs="Arial" w:asciiTheme="minorBidi" w:cstheme="minorBidi" w:hAnsiTheme="minorBidi"/>
          <w:sz w:val="32"/>
          <w:szCs w:val="32"/>
        </w:rPr>
      </w:pPr>
      <w:r>
        <w:rPr>
          <w:rFonts w:cs="Arial" w:cstheme="minorBidi" w:ascii="Arial" w:hAnsi="Arial"/>
          <w:sz w:val="32"/>
          <w:szCs w:val="32"/>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rPr>
          <w:rFonts w:ascii="Aptos" w:hAnsi="Aptos"/>
          <w:b/>
          <w:b/>
          <w:bCs/>
        </w:rPr>
      </w:pPr>
      <w:r>
        <w:rPr>
          <w:b/>
          <w:bCs/>
        </w:rPr>
      </w:r>
    </w:p>
    <w:p>
      <w:pPr>
        <w:pStyle w:val="Normal"/>
        <w:rPr>
          <w:rFonts w:ascii="Aptos" w:hAnsi="Aptos"/>
          <w:b/>
          <w:b/>
          <w:bCs/>
        </w:rPr>
      </w:pPr>
      <w:r>
        <w:rPr>
          <w:b/>
          <w:bCs/>
        </w:rPr>
      </w:r>
    </w:p>
    <w:p>
      <w:pPr>
        <w:pStyle w:val="Normal"/>
        <w:rPr>
          <w:rFonts w:ascii="Aptos" w:hAnsi="Aptos"/>
          <w:b/>
          <w:b/>
          <w:bCs/>
        </w:rPr>
      </w:pPr>
      <w:r>
        <w:rPr>
          <w:b/>
          <w:bCs/>
        </w:rPr>
      </w:r>
    </w:p>
    <w:p>
      <w:pPr>
        <w:pStyle w:val="Normal"/>
        <w:spacing w:before="0" w:after="160"/>
        <w:rPr>
          <w:rFonts w:ascii="Aptos" w:hAnsi="Aptos"/>
          <w:b/>
          <w:b/>
          <w:bCs/>
        </w:rPr>
      </w:pPr>
      <w:r>
        <w:rPr/>
      </w:r>
    </w:p>
    <w:sectPr>
      <w:footerReference w:type="default" r:id="rId14"/>
      <w:type w:val="nextPage"/>
      <w:pgSz w:w="11906" w:h="16838"/>
      <w:pgMar w:left="1440" w:right="1440" w:gutter="0" w:header="0" w:top="1440"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319032450"/>
    </w:sdtPr>
    <w:sdtContent>
      <w:p>
        <w:pPr>
          <w:pStyle w:val="Piedepgina"/>
          <w:rPr/>
        </w:pPr>
        <w:r>
          <w:rPr/>
          <w:fldChar w:fldCharType="begin"/>
        </w:r>
        <w:r>
          <w:rPr/>
          <w:instrText xml:space="preserve"> PAGE </w:instrText>
        </w:r>
        <w:r>
          <w:rPr/>
          <w:fldChar w:fldCharType="separate"/>
        </w:r>
        <w:r>
          <w:rPr/>
          <w:t>13</w:t>
        </w:r>
        <w:r>
          <w:rPr/>
          <w:fldChar w:fldCharType="end"/>
        </w:r>
      </w:p>
    </w:sdtContent>
  </w:sdt>
  <w:p>
    <w:pPr>
      <w:pStyle w:val="Piedepgin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等线" w:cs="Arial" w:asciiTheme="minorHAnsi" w:cstheme="minorBidi" w:eastAsiaTheme="minorEastAsia" w:hAnsiTheme="minorHAnsi"/>
        <w:kern w:val="2"/>
        <w:sz w:val="24"/>
        <w:szCs w:val="24"/>
        <w:lang w:val="en-GB" w:eastAsia="zh-CN"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160"/>
      <w:jc w:val="left"/>
    </w:pPr>
    <w:rPr>
      <w:rFonts w:ascii="Aptos" w:hAnsi="Aptos" w:eastAsia="等线" w:cs="Arial" w:asciiTheme="minorHAnsi" w:cstheme="minorBidi" w:eastAsiaTheme="minorEastAsia" w:hAnsiTheme="minorHAnsi"/>
      <w:color w:val="auto"/>
      <w:kern w:val="2"/>
      <w:sz w:val="24"/>
      <w:szCs w:val="24"/>
      <w:lang w:val="en-GB" w:eastAsia="zh-CN" w:bidi="ar-SA"/>
      <w14:ligatures w14:val="standardContextual"/>
    </w:rPr>
  </w:style>
  <w:style w:type="paragraph" w:styleId="Ttulo1">
    <w:name w:val="Heading 1"/>
    <w:basedOn w:val="Normal"/>
    <w:next w:val="Normal"/>
    <w:link w:val="Heading1Char"/>
    <w:uiPriority w:val="9"/>
    <w:qFormat/>
    <w:rsid w:val="00861bc8"/>
    <w:pPr>
      <w:keepNext w:val="true"/>
      <w:keepLines/>
      <w:spacing w:before="360" w:after="80"/>
      <w:outlineLvl w:val="0"/>
    </w:pPr>
    <w:rPr>
      <w:rFonts w:ascii="Aptos Display" w:hAnsi="Aptos Display" w:eastAsia="等线 Light" w:cs="Times New Roman" w:asciiTheme="majorHAnsi" w:cstheme="majorBidi" w:eastAsiaTheme="majorEastAsia" w:hAnsiTheme="majorHAnsi"/>
      <w:color w:val="0F4761" w:themeColor="accent1" w:themeShade="bf"/>
      <w:sz w:val="40"/>
      <w:szCs w:val="40"/>
    </w:rPr>
  </w:style>
  <w:style w:type="paragraph" w:styleId="Ttulo2">
    <w:name w:val="Heading 2"/>
    <w:basedOn w:val="Normal"/>
    <w:next w:val="Normal"/>
    <w:link w:val="Heading2Char"/>
    <w:uiPriority w:val="9"/>
    <w:unhideWhenUsed/>
    <w:qFormat/>
    <w:rsid w:val="00861bc8"/>
    <w:pPr>
      <w:keepNext w:val="true"/>
      <w:keepLines/>
      <w:spacing w:before="160" w:after="80"/>
      <w:outlineLvl w:val="1"/>
    </w:pPr>
    <w:rPr>
      <w:rFonts w:ascii="Aptos Display" w:hAnsi="Aptos Display" w:eastAsia="等线 Light" w:cs="Times New Roman" w:asciiTheme="majorHAnsi" w:cstheme="majorBidi" w:eastAsiaTheme="majorEastAsia" w:hAnsiTheme="majorHAnsi"/>
      <w:color w:val="0F4761" w:themeColor="accent1" w:themeShade="bf"/>
      <w:sz w:val="32"/>
      <w:szCs w:val="32"/>
    </w:rPr>
  </w:style>
  <w:style w:type="paragraph" w:styleId="Ttulo3">
    <w:name w:val="Heading 3"/>
    <w:basedOn w:val="Normal"/>
    <w:next w:val="Normal"/>
    <w:link w:val="Heading3Char"/>
    <w:uiPriority w:val="9"/>
    <w:semiHidden/>
    <w:unhideWhenUsed/>
    <w:qFormat/>
    <w:rsid w:val="00861bc8"/>
    <w:pPr>
      <w:keepNext w:val="true"/>
      <w:keepLines/>
      <w:spacing w:before="160" w:after="80"/>
      <w:outlineLvl w:val="2"/>
    </w:pPr>
    <w:rPr>
      <w:rFonts w:eastAsia="等线 Light" w:cs="Times New Roman" w:cstheme="majorBidi" w:eastAsiaTheme="majorEastAsia"/>
      <w:color w:val="0F4761" w:themeColor="accent1" w:themeShade="bf"/>
      <w:sz w:val="28"/>
      <w:szCs w:val="28"/>
    </w:rPr>
  </w:style>
  <w:style w:type="paragraph" w:styleId="Ttulo4">
    <w:name w:val="Heading 4"/>
    <w:basedOn w:val="Normal"/>
    <w:next w:val="Normal"/>
    <w:link w:val="Heading4Char"/>
    <w:uiPriority w:val="9"/>
    <w:semiHidden/>
    <w:unhideWhenUsed/>
    <w:qFormat/>
    <w:rsid w:val="00861bc8"/>
    <w:pPr>
      <w:keepNext w:val="true"/>
      <w:keepLines/>
      <w:spacing w:before="80" w:after="40"/>
      <w:outlineLvl w:val="3"/>
    </w:pPr>
    <w:rPr>
      <w:rFonts w:eastAsia="等线 Light" w:cs="Times New Roman" w:cstheme="majorBidi" w:eastAsiaTheme="majorEastAsia"/>
      <w:i/>
      <w:iCs/>
      <w:color w:val="0F4761" w:themeColor="accent1" w:themeShade="bf"/>
    </w:rPr>
  </w:style>
  <w:style w:type="paragraph" w:styleId="Ttulo5">
    <w:name w:val="Heading 5"/>
    <w:basedOn w:val="Normal"/>
    <w:next w:val="Normal"/>
    <w:link w:val="Heading5Char"/>
    <w:uiPriority w:val="9"/>
    <w:semiHidden/>
    <w:unhideWhenUsed/>
    <w:qFormat/>
    <w:rsid w:val="00861bc8"/>
    <w:pPr>
      <w:keepNext w:val="true"/>
      <w:keepLines/>
      <w:spacing w:before="80" w:after="40"/>
      <w:outlineLvl w:val="4"/>
    </w:pPr>
    <w:rPr>
      <w:rFonts w:eastAsia="等线 Light" w:cs="Times New Roman" w:cstheme="majorBidi" w:eastAsiaTheme="majorEastAsia"/>
      <w:color w:val="0F4761" w:themeColor="accent1" w:themeShade="bf"/>
    </w:rPr>
  </w:style>
  <w:style w:type="paragraph" w:styleId="Ttulo6">
    <w:name w:val="Heading 6"/>
    <w:basedOn w:val="Normal"/>
    <w:next w:val="Normal"/>
    <w:link w:val="Heading6Char"/>
    <w:uiPriority w:val="9"/>
    <w:semiHidden/>
    <w:unhideWhenUsed/>
    <w:qFormat/>
    <w:rsid w:val="00861bc8"/>
    <w:pPr>
      <w:keepNext w:val="true"/>
      <w:keepLines/>
      <w:spacing w:before="40" w:after="0"/>
      <w:outlineLvl w:val="5"/>
    </w:pPr>
    <w:rPr>
      <w:rFonts w:eastAsia="等线 Light" w:cs="Times New Roman" w:cstheme="majorBidi" w:eastAsiaTheme="majorEastAsia"/>
      <w:i/>
      <w:iCs/>
      <w:color w:val="595959" w:themeColor="text1" w:themeTint="a6"/>
    </w:rPr>
  </w:style>
  <w:style w:type="paragraph" w:styleId="Ttulo7">
    <w:name w:val="Heading 7"/>
    <w:basedOn w:val="Normal"/>
    <w:next w:val="Normal"/>
    <w:link w:val="Heading7Char"/>
    <w:uiPriority w:val="9"/>
    <w:semiHidden/>
    <w:unhideWhenUsed/>
    <w:qFormat/>
    <w:rsid w:val="00861bc8"/>
    <w:pPr>
      <w:keepNext w:val="true"/>
      <w:keepLines/>
      <w:spacing w:before="40" w:after="0"/>
      <w:outlineLvl w:val="6"/>
    </w:pPr>
    <w:rPr>
      <w:rFonts w:eastAsia="等线 Light" w:cs="Times New Roman" w:cstheme="majorBidi" w:eastAsiaTheme="majorEastAsia"/>
      <w:color w:val="595959" w:themeColor="text1" w:themeTint="a6"/>
    </w:rPr>
  </w:style>
  <w:style w:type="paragraph" w:styleId="Ttulo8">
    <w:name w:val="Heading 8"/>
    <w:basedOn w:val="Normal"/>
    <w:next w:val="Normal"/>
    <w:link w:val="Heading8Char"/>
    <w:uiPriority w:val="9"/>
    <w:semiHidden/>
    <w:unhideWhenUsed/>
    <w:qFormat/>
    <w:rsid w:val="00861bc8"/>
    <w:pPr>
      <w:keepNext w:val="true"/>
      <w:keepLines/>
      <w:spacing w:before="0" w:after="0"/>
      <w:outlineLvl w:val="7"/>
    </w:pPr>
    <w:rPr>
      <w:rFonts w:eastAsia="等线 Light" w:cs="Times New Roman" w:cstheme="majorBidi" w:eastAsiaTheme="majorEastAsia"/>
      <w:i/>
      <w:iCs/>
      <w:color w:val="272727" w:themeColor="text1" w:themeTint="d8"/>
    </w:rPr>
  </w:style>
  <w:style w:type="paragraph" w:styleId="Ttulo9">
    <w:name w:val="Heading 9"/>
    <w:basedOn w:val="Normal"/>
    <w:next w:val="Normal"/>
    <w:link w:val="Heading9Char"/>
    <w:uiPriority w:val="9"/>
    <w:semiHidden/>
    <w:unhideWhenUsed/>
    <w:qFormat/>
    <w:rsid w:val="00861bc8"/>
    <w:pPr>
      <w:keepNext w:val="true"/>
      <w:keepLines/>
      <w:spacing w:before="0" w:after="0"/>
      <w:outlineLvl w:val="8"/>
    </w:pPr>
    <w:rPr>
      <w:rFonts w:eastAsia="等线 Light" w:cs="Times New Roman"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861bc8"/>
    <w:rPr>
      <w:rFonts w:ascii="Aptos Display" w:hAnsi="Aptos Display" w:eastAsia="等线 Light" w:cs="Times New Roman"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uiPriority w:val="9"/>
    <w:qFormat/>
    <w:rsid w:val="00861bc8"/>
    <w:rPr>
      <w:rFonts w:ascii="Aptos Display" w:hAnsi="Aptos Display" w:eastAsia="等线 Light" w:cs="Times New Roman"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uiPriority w:val="9"/>
    <w:semiHidden/>
    <w:qFormat/>
    <w:rsid w:val="00861bc8"/>
    <w:rPr>
      <w:rFonts w:eastAsia="等线 Light" w:cs="Times New Roman" w:cstheme="majorBidi" w:eastAsiaTheme="majorEastAsia"/>
      <w:color w:val="0F4761" w:themeColor="accent1" w:themeShade="bf"/>
      <w:sz w:val="28"/>
      <w:szCs w:val="28"/>
    </w:rPr>
  </w:style>
  <w:style w:type="character" w:styleId="Heading4Char" w:customStyle="1">
    <w:name w:val="Heading 4 Char"/>
    <w:basedOn w:val="DefaultParagraphFont"/>
    <w:uiPriority w:val="9"/>
    <w:semiHidden/>
    <w:qFormat/>
    <w:rsid w:val="00861bc8"/>
    <w:rPr>
      <w:rFonts w:eastAsia="等线 Light" w:cs="Times New Roman" w:cstheme="majorBidi" w:eastAsiaTheme="majorEastAsia"/>
      <w:i/>
      <w:iCs/>
      <w:color w:val="0F4761" w:themeColor="accent1" w:themeShade="bf"/>
    </w:rPr>
  </w:style>
  <w:style w:type="character" w:styleId="Heading5Char" w:customStyle="1">
    <w:name w:val="Heading 5 Char"/>
    <w:basedOn w:val="DefaultParagraphFont"/>
    <w:uiPriority w:val="9"/>
    <w:semiHidden/>
    <w:qFormat/>
    <w:rsid w:val="00861bc8"/>
    <w:rPr>
      <w:rFonts w:eastAsia="等线 Light" w:cs="Times New Roman" w:cstheme="majorBidi" w:eastAsiaTheme="majorEastAsia"/>
      <w:color w:val="0F4761" w:themeColor="accent1" w:themeShade="bf"/>
    </w:rPr>
  </w:style>
  <w:style w:type="character" w:styleId="Heading6Char" w:customStyle="1">
    <w:name w:val="Heading 6 Char"/>
    <w:basedOn w:val="DefaultParagraphFont"/>
    <w:uiPriority w:val="9"/>
    <w:semiHidden/>
    <w:qFormat/>
    <w:rsid w:val="00861bc8"/>
    <w:rPr>
      <w:rFonts w:eastAsia="等线 Light" w:cs="Times New Roman" w:cstheme="majorBidi" w:eastAsiaTheme="majorEastAsia"/>
      <w:i/>
      <w:iCs/>
      <w:color w:val="595959" w:themeColor="text1" w:themeTint="a6"/>
    </w:rPr>
  </w:style>
  <w:style w:type="character" w:styleId="Heading7Char" w:customStyle="1">
    <w:name w:val="Heading 7 Char"/>
    <w:basedOn w:val="DefaultParagraphFont"/>
    <w:uiPriority w:val="9"/>
    <w:semiHidden/>
    <w:qFormat/>
    <w:rsid w:val="00861bc8"/>
    <w:rPr>
      <w:rFonts w:eastAsia="等线 Light" w:cs="Times New Roman" w:cstheme="majorBidi" w:eastAsiaTheme="majorEastAsia"/>
      <w:color w:val="595959" w:themeColor="text1" w:themeTint="a6"/>
    </w:rPr>
  </w:style>
  <w:style w:type="character" w:styleId="Heading8Char" w:customStyle="1">
    <w:name w:val="Heading 8 Char"/>
    <w:basedOn w:val="DefaultParagraphFont"/>
    <w:uiPriority w:val="9"/>
    <w:semiHidden/>
    <w:qFormat/>
    <w:rsid w:val="00861bc8"/>
    <w:rPr>
      <w:rFonts w:eastAsia="等线 Light" w:cs="Times New Roman" w:cstheme="majorBidi" w:eastAsiaTheme="majorEastAsia"/>
      <w:i/>
      <w:iCs/>
      <w:color w:val="272727" w:themeColor="text1" w:themeTint="d8"/>
    </w:rPr>
  </w:style>
  <w:style w:type="character" w:styleId="Heading9Char" w:customStyle="1">
    <w:name w:val="Heading 9 Char"/>
    <w:basedOn w:val="DefaultParagraphFont"/>
    <w:uiPriority w:val="9"/>
    <w:semiHidden/>
    <w:qFormat/>
    <w:rsid w:val="00861bc8"/>
    <w:rPr>
      <w:rFonts w:eastAsia="等线 Light" w:cs="Times New Roman" w:cstheme="majorBidi" w:eastAsiaTheme="majorEastAsia"/>
      <w:color w:val="272727" w:themeColor="text1" w:themeTint="d8"/>
    </w:rPr>
  </w:style>
  <w:style w:type="character" w:styleId="TitleChar" w:customStyle="1">
    <w:name w:val="Title Char"/>
    <w:basedOn w:val="DefaultParagraphFont"/>
    <w:uiPriority w:val="10"/>
    <w:qFormat/>
    <w:rsid w:val="00861bc8"/>
    <w:rPr>
      <w:rFonts w:ascii="Aptos Display" w:hAnsi="Aptos Display" w:eastAsia="等线 Light" w:cs="Times New Roman" w:asciiTheme="majorHAnsi" w:cstheme="majorBidi" w:eastAsiaTheme="majorEastAsia" w:hAnsiTheme="majorHAnsi"/>
      <w:spacing w:val="-10"/>
      <w:kern w:val="2"/>
      <w:sz w:val="56"/>
      <w:szCs w:val="56"/>
    </w:rPr>
  </w:style>
  <w:style w:type="character" w:styleId="SubtitleChar" w:customStyle="1">
    <w:name w:val="Subtitle Char"/>
    <w:basedOn w:val="DefaultParagraphFont"/>
    <w:uiPriority w:val="11"/>
    <w:qFormat/>
    <w:rsid w:val="00861bc8"/>
    <w:rPr>
      <w:rFonts w:eastAsia="等线 Light" w:cs="Times New Roman" w:cstheme="majorBidi" w:eastAsiaTheme="majorEastAsia"/>
      <w:color w:val="595959" w:themeColor="text1" w:themeTint="a6"/>
      <w:spacing w:val="15"/>
      <w:sz w:val="28"/>
      <w:szCs w:val="28"/>
    </w:rPr>
  </w:style>
  <w:style w:type="character" w:styleId="QuoteChar" w:customStyle="1">
    <w:name w:val="Quote Char"/>
    <w:basedOn w:val="DefaultParagraphFont"/>
    <w:link w:val="Quote"/>
    <w:uiPriority w:val="29"/>
    <w:qFormat/>
    <w:rsid w:val="00861bc8"/>
    <w:rPr>
      <w:i/>
      <w:iCs/>
      <w:color w:val="404040" w:themeColor="text1" w:themeTint="bf"/>
    </w:rPr>
  </w:style>
  <w:style w:type="character" w:styleId="IntenseEmphasis">
    <w:name w:val="Intense Emphasis"/>
    <w:basedOn w:val="DefaultParagraphFont"/>
    <w:uiPriority w:val="21"/>
    <w:qFormat/>
    <w:rsid w:val="00861bc8"/>
    <w:rPr>
      <w:i/>
      <w:iCs/>
      <w:color w:val="0F4761" w:themeColor="accent1" w:themeShade="bf"/>
    </w:rPr>
  </w:style>
  <w:style w:type="character" w:styleId="IntenseQuoteChar" w:customStyle="1">
    <w:name w:val="Intense Quote Char"/>
    <w:basedOn w:val="DefaultParagraphFont"/>
    <w:link w:val="IntenseQuote"/>
    <w:uiPriority w:val="30"/>
    <w:qFormat/>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character" w:styleId="HeaderChar" w:customStyle="1">
    <w:name w:val="Header Char"/>
    <w:basedOn w:val="DefaultParagraphFont"/>
    <w:uiPriority w:val="99"/>
    <w:qFormat/>
    <w:rsid w:val="001a6a53"/>
    <w:rPr/>
  </w:style>
  <w:style w:type="character" w:styleId="FooterChar" w:customStyle="1">
    <w:name w:val="Footer Char"/>
    <w:basedOn w:val="DefaultParagraphFont"/>
    <w:uiPriority w:val="99"/>
    <w:qFormat/>
    <w:rsid w:val="001a6a53"/>
    <w:rPr/>
  </w:style>
  <w:style w:type="character" w:styleId="EnlacedeInternet">
    <w:name w:val="Enlace de Internet"/>
    <w:basedOn w:val="DefaultParagraphFont"/>
    <w:uiPriority w:val="99"/>
    <w:unhideWhenUsed/>
    <w:rsid w:val="00ea267d"/>
    <w:rPr>
      <w:color w:val="467886" w:themeColor="hyperlink"/>
      <w:u w:val="single"/>
    </w:rPr>
  </w:style>
  <w:style w:type="character" w:styleId="Enlacedelndice">
    <w:name w:val="Enlace del índice"/>
    <w:qFormat/>
    <w:rPr/>
  </w:style>
  <w:style w:type="character" w:styleId="Destaquemayor">
    <w:name w:val="Destaque mayor"/>
    <w:qFormat/>
    <w:rPr>
      <w:b/>
      <w:bCs/>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general">
    <w:name w:val="Title"/>
    <w:basedOn w:val="Normal"/>
    <w:next w:val="Normal"/>
    <w:link w:val="TitleChar"/>
    <w:uiPriority w:val="10"/>
    <w:qFormat/>
    <w:rsid w:val="00861bc8"/>
    <w:pPr>
      <w:spacing w:lineRule="auto" w:line="240" w:before="0" w:after="80"/>
      <w:contextualSpacing/>
    </w:pPr>
    <w:rPr>
      <w:rFonts w:ascii="Aptos Display" w:hAnsi="Aptos Display" w:eastAsia="等线 Light" w:cs="Times New Roman" w:asciiTheme="majorHAnsi" w:cstheme="majorBidi" w:eastAsiaTheme="majorEastAsia" w:hAnsiTheme="majorHAnsi"/>
      <w:spacing w:val="-10"/>
      <w:kern w:val="2"/>
      <w:sz w:val="56"/>
      <w:szCs w:val="56"/>
    </w:rPr>
  </w:style>
  <w:style w:type="paragraph" w:styleId="Subttulo">
    <w:name w:val="Subtitle"/>
    <w:basedOn w:val="Normal"/>
    <w:next w:val="Normal"/>
    <w:link w:val="SubtitleChar"/>
    <w:uiPriority w:val="11"/>
    <w:qFormat/>
    <w:rsid w:val="00861bc8"/>
    <w:pPr/>
    <w:rPr>
      <w:rFonts w:eastAsia="等线 Light" w:cs="Times New Roman"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after="160"/>
      <w:jc w:val="center"/>
    </w:pPr>
    <w:rPr>
      <w:i/>
      <w:iCs/>
      <w:color w:val="404040" w:themeColor="text1" w:themeTint="bf"/>
    </w:rPr>
  </w:style>
  <w:style w:type="paragraph" w:styleId="ListParagraph">
    <w:name w:val="List Paragraph"/>
    <w:basedOn w:val="Normal"/>
    <w:uiPriority w:val="34"/>
    <w:qFormat/>
    <w:rsid w:val="00861bc8"/>
    <w:pPr>
      <w:spacing w:before="0" w:after="160"/>
      <w:ind w:left="720" w:hanging="0"/>
      <w:contextualSpacing/>
    </w:pPr>
    <w:rPr/>
  </w:style>
  <w:style w:type="paragraph" w:styleId="IntenseQuote">
    <w:name w:val="Intense Quote"/>
    <w:basedOn w:val="Normal"/>
    <w:next w:val="Normal"/>
    <w:link w:val="IntenseQuoteChar"/>
    <w:uiPriority w:val="30"/>
    <w:qFormat/>
    <w:rsid w:val="00861bc8"/>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Cabeceraypie">
    <w:name w:val="Cabecera y pie"/>
    <w:basedOn w:val="Normal"/>
    <w:qFormat/>
    <w:pPr/>
    <w:rPr/>
  </w:style>
  <w:style w:type="paragraph" w:styleId="Cabecera">
    <w:name w:val="Header"/>
    <w:basedOn w:val="Normal"/>
    <w:link w:val="HeaderChar"/>
    <w:uiPriority w:val="99"/>
    <w:unhideWhenUsed/>
    <w:rsid w:val="001a6a53"/>
    <w:pPr>
      <w:tabs>
        <w:tab w:val="clear" w:pos="720"/>
        <w:tab w:val="center" w:pos="4513" w:leader="none"/>
        <w:tab w:val="right" w:pos="9026" w:leader="none"/>
      </w:tabs>
      <w:spacing w:lineRule="auto" w:line="240" w:before="0" w:after="0"/>
    </w:pPr>
    <w:rPr/>
  </w:style>
  <w:style w:type="paragraph" w:styleId="Piedepgina">
    <w:name w:val="Footer"/>
    <w:basedOn w:val="Normal"/>
    <w:link w:val="FooterChar"/>
    <w:uiPriority w:val="99"/>
    <w:unhideWhenUsed/>
    <w:rsid w:val="001a6a53"/>
    <w:pPr>
      <w:tabs>
        <w:tab w:val="clear" w:pos="720"/>
        <w:tab w:val="center" w:pos="4513" w:leader="none"/>
        <w:tab w:val="right" w:pos="9026" w:leader="none"/>
      </w:tabs>
      <w:spacing w:lineRule="auto" w:line="240" w:before="0" w:after="0"/>
    </w:pPr>
    <w:rPr/>
  </w:style>
  <w:style w:type="paragraph" w:styleId="Ttulodelndice">
    <w:name w:val="Index Heading"/>
    <w:basedOn w:val="Ttulo"/>
    <w:pPr/>
    <w:rPr/>
  </w:style>
  <w:style w:type="paragraph" w:styleId="Ttulodelsumario">
    <w:name w:val="TOC Heading"/>
    <w:basedOn w:val="Ttulo1"/>
    <w:next w:val="Normal"/>
    <w:uiPriority w:val="39"/>
    <w:unhideWhenUsed/>
    <w:qFormat/>
    <w:rsid w:val="00ea267d"/>
    <w:pPr>
      <w:spacing w:lineRule="auto" w:line="259" w:before="240" w:after="0"/>
      <w:outlineLvl w:val="9"/>
    </w:pPr>
    <w:rPr>
      <w:kern w:val="0"/>
      <w:sz w:val="32"/>
      <w:szCs w:val="32"/>
      <w:lang w:val="en-US" w:eastAsia="en-US"/>
      <w14:ligatures w14:val="none"/>
    </w:rPr>
  </w:style>
  <w:style w:type="paragraph" w:styleId="Sumario1">
    <w:name w:val="TOC 1"/>
    <w:basedOn w:val="Normal"/>
    <w:next w:val="Normal"/>
    <w:autoRedefine/>
    <w:uiPriority w:val="39"/>
    <w:unhideWhenUsed/>
    <w:rsid w:val="00ea267d"/>
    <w:pPr>
      <w:spacing w:before="0" w:after="100"/>
    </w:pPr>
    <w:rPr/>
  </w:style>
  <w:style w:type="paragraph" w:styleId="Sumario2">
    <w:name w:val="TOC 2"/>
    <w:basedOn w:val="Normal"/>
    <w:next w:val="Normal"/>
    <w:autoRedefine/>
    <w:uiPriority w:val="39"/>
    <w:unhideWhenUsed/>
    <w:rsid w:val="00ee60fa"/>
    <w:pPr>
      <w:spacing w:before="0" w:after="100"/>
      <w:ind w:left="24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585c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hyperlink" Target="https://dx.doi.org/10.36647/TTAICTE/01.03.A001" TargetMode="External"/><Relationship Id="rId11" Type="http://schemas.openxmlformats.org/officeDocument/2006/relationships/hyperlink" Target="https://doi.org/10.2478/raft-2021-0007" TargetMode="External"/><Relationship Id="rId12" Type="http://schemas.openxmlformats.org/officeDocument/2006/relationships/hyperlink" Target="https://doi.org/10.4018/IJT.20200701.oa1" TargetMode="External"/><Relationship Id="rId13" Type="http://schemas.openxmlformats.org/officeDocument/2006/relationships/hyperlink" Target="https://www.edtechtoday.com/how-technology-affects-student-learning" TargetMode="External"/><Relationship Id="rId14" Type="http://schemas.openxmlformats.org/officeDocument/2006/relationships/footer" Target="footer1.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Application>LibreOffice/7.3.5.2$Windows_X86_64 LibreOffice_project/184fe81b8c8c30d8b5082578aee2fed2ea847c01</Application>
  <AppVersion>15.0000</AppVersion>
  <Pages>13</Pages>
  <Words>2034</Words>
  <Characters>11695</Characters>
  <CharactersWithSpaces>13619</CharactersWithSpaces>
  <Paragraphs>112</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2025-10-15T08:17:00Z</dcterms:created>
  <dc:creator>Scott James</dc:creator>
  <dc:description/>
  <dc:language>en-US</dc:language>
  <cp:lastModifiedBy/>
  <dcterms:modified xsi:type="dcterms:W3CDTF">2025-11-21T20:33:29Z</dcterms:modified>
  <cp:revision>106</cp:revision>
  <dc:subject/>
  <dc:title/>
</cp:coreProperties>
</file>

<file path=docProps/custom.xml><?xml version="1.0" encoding="utf-8"?>
<Properties xmlns="http://schemas.openxmlformats.org/officeDocument/2006/custom-properties" xmlns:vt="http://schemas.openxmlformats.org/officeDocument/2006/docPropsVTypes"/>
</file>