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06E5C" w14:textId="3414A376" w:rsidR="000F062D" w:rsidRPr="00EC6881" w:rsidRDefault="000F062D" w:rsidP="000F062D">
      <w:pPr>
        <w:rPr>
          <w:rFonts w:ascii="Times New Roman" w:hAnsi="Times New Roman" w:cs="Times New Roman"/>
        </w:rPr>
      </w:pPr>
      <w:r w:rsidRPr="00EC6881">
        <w:rPr>
          <w:rFonts w:ascii="Times New Roman" w:hAnsi="Times New Roman" w:cs="Times New Roman"/>
        </w:rPr>
        <w:t xml:space="preserve">Discuss the archaeological evidence for social complexity in Bronze Age East Mediterranean Egypt. </w:t>
      </w:r>
    </w:p>
    <w:p w14:paraId="6423120A" w14:textId="65719F85" w:rsidR="000F062D" w:rsidRDefault="000C705F" w:rsidP="000F062D">
      <w:pPr>
        <w:rPr>
          <w:rFonts w:ascii="Times New Roman" w:hAnsi="Times New Roman" w:cs="Times New Roman"/>
        </w:rPr>
      </w:pPr>
      <w:r w:rsidRPr="00EC6881">
        <w:rPr>
          <w:rFonts w:ascii="Times New Roman" w:hAnsi="Times New Roman" w:cs="Times New Roman"/>
        </w:rPr>
        <w:t xml:space="preserve">To discuss properly the </w:t>
      </w:r>
      <w:r w:rsidR="00EC6881" w:rsidRPr="00EC6881">
        <w:rPr>
          <w:rFonts w:ascii="Times New Roman" w:hAnsi="Times New Roman" w:cs="Times New Roman"/>
        </w:rPr>
        <w:t>archaeological evidence for a theory, one must define said theory to understand the relevance and context behind it. In this case, the definition of social complexity must be understood: the term is the study of human behaviour on a social scale as opposed to the individual. This includes everything from societal norms in marriage and family practices; to</w:t>
      </w:r>
      <w:r w:rsidR="00DB4024">
        <w:rPr>
          <w:rFonts w:ascii="Times New Roman" w:hAnsi="Times New Roman" w:cs="Times New Roman"/>
        </w:rPr>
        <w:t xml:space="preserve"> how and why war was waged</w:t>
      </w:r>
      <w:r w:rsidR="00EC6881" w:rsidRPr="00EC6881">
        <w:rPr>
          <w:rFonts w:ascii="Times New Roman" w:hAnsi="Times New Roman" w:cs="Times New Roman"/>
        </w:rPr>
        <w:t>; to emigration patterns and social demography</w:t>
      </w:r>
      <w:r w:rsidR="00EC6881">
        <w:rPr>
          <w:rStyle w:val="FootnoteReference"/>
          <w:rFonts w:ascii="Times New Roman" w:hAnsi="Times New Roman" w:cs="Times New Roman"/>
        </w:rPr>
        <w:footnoteReference w:id="1"/>
      </w:r>
      <w:r w:rsidR="00CD79AB">
        <w:rPr>
          <w:rFonts w:ascii="Times New Roman" w:hAnsi="Times New Roman" w:cs="Times New Roman"/>
        </w:rPr>
        <w:t>, the main themes discussed in this essay will be how war was waged, political systems</w:t>
      </w:r>
      <w:r w:rsidR="007314DD">
        <w:rPr>
          <w:rFonts w:ascii="Times New Roman" w:hAnsi="Times New Roman" w:cs="Times New Roman"/>
        </w:rPr>
        <w:t>, gender roles</w:t>
      </w:r>
      <w:r w:rsidR="00CD79AB">
        <w:rPr>
          <w:rFonts w:ascii="Times New Roman" w:hAnsi="Times New Roman" w:cs="Times New Roman"/>
        </w:rPr>
        <w:t xml:space="preserve"> and </w:t>
      </w:r>
      <w:r w:rsidR="007603B1">
        <w:rPr>
          <w:rFonts w:ascii="Times New Roman" w:hAnsi="Times New Roman" w:cs="Times New Roman"/>
        </w:rPr>
        <w:t>religion</w:t>
      </w:r>
      <w:r w:rsidR="00EC6881" w:rsidRPr="00EC6881">
        <w:rPr>
          <w:rFonts w:ascii="Times New Roman" w:hAnsi="Times New Roman" w:cs="Times New Roman"/>
        </w:rPr>
        <w:t xml:space="preserve">. Therefore, it must be discussed </w:t>
      </w:r>
      <w:r w:rsidR="00EC6881" w:rsidRPr="00EC6881">
        <w:rPr>
          <w:rFonts w:ascii="Times New Roman" w:hAnsi="Times New Roman" w:cs="Times New Roman"/>
          <w:i/>
          <w:iCs/>
        </w:rPr>
        <w:t>how</w:t>
      </w:r>
      <w:r w:rsidR="00EC6881">
        <w:rPr>
          <w:rFonts w:ascii="Times New Roman" w:hAnsi="Times New Roman" w:cs="Times New Roman"/>
        </w:rPr>
        <w:t xml:space="preserve">: </w:t>
      </w:r>
      <w:r w:rsidR="00EC6881" w:rsidRPr="00EC6881">
        <w:rPr>
          <w:rFonts w:ascii="Times New Roman" w:hAnsi="Times New Roman" w:cs="Times New Roman"/>
        </w:rPr>
        <w:t xml:space="preserve">archaeological </w:t>
      </w:r>
      <w:r w:rsidR="00EC6881">
        <w:rPr>
          <w:rFonts w:ascii="Times New Roman" w:hAnsi="Times New Roman" w:cs="Times New Roman"/>
        </w:rPr>
        <w:t>finds</w:t>
      </w:r>
      <w:r w:rsidR="00EC6881" w:rsidRPr="00EC6881">
        <w:rPr>
          <w:rFonts w:ascii="Times New Roman" w:hAnsi="Times New Roman" w:cs="Times New Roman"/>
        </w:rPr>
        <w:t xml:space="preserve"> can </w:t>
      </w:r>
      <w:r w:rsidR="00EC6881">
        <w:rPr>
          <w:rFonts w:ascii="Times New Roman" w:hAnsi="Times New Roman" w:cs="Times New Roman"/>
        </w:rPr>
        <w:t xml:space="preserve">physically act as evidence to display and explain these complexities. </w:t>
      </w:r>
      <w:r w:rsidR="00781FEB">
        <w:rPr>
          <w:rFonts w:ascii="Times New Roman" w:hAnsi="Times New Roman" w:cs="Times New Roman"/>
        </w:rPr>
        <w:t>Stereotypically, when archaeology is discussed in reference to Ancient Egypt, the mind wanders to the great constructs of the Pyramids or the artistic masterpieces of the S</w:t>
      </w:r>
      <w:r w:rsidR="00781FEB" w:rsidRPr="00781FEB">
        <w:rPr>
          <w:rFonts w:ascii="Times New Roman" w:hAnsi="Times New Roman" w:cs="Times New Roman"/>
        </w:rPr>
        <w:t>arcophagi</w:t>
      </w:r>
      <w:r w:rsidR="00781FEB">
        <w:rPr>
          <w:rFonts w:ascii="Times New Roman" w:hAnsi="Times New Roman" w:cs="Times New Roman"/>
        </w:rPr>
        <w:t>, however, it can often be the smallest things that reveal the most about social demography</w:t>
      </w:r>
      <w:r w:rsidR="006A0423">
        <w:rPr>
          <w:rStyle w:val="FootnoteReference"/>
          <w:rFonts w:ascii="Times New Roman" w:hAnsi="Times New Roman" w:cs="Times New Roman"/>
        </w:rPr>
        <w:footnoteReference w:id="2"/>
      </w:r>
      <w:r w:rsidR="00781FEB">
        <w:rPr>
          <w:rFonts w:ascii="Times New Roman" w:hAnsi="Times New Roman" w:cs="Times New Roman"/>
        </w:rPr>
        <w:t xml:space="preserve">. It can be things as small as children’s toys that depict accurate representations of how aspects of society were, or indeed it can be single official documents that contain information that changes entire perceptions of contemporary societal systems. It can be sometimes be the case that by finding personal belongings and smaller items that we are able to understand the everyday </w:t>
      </w:r>
      <w:r w:rsidR="006A0423">
        <w:rPr>
          <w:rFonts w:ascii="Times New Roman" w:hAnsi="Times New Roman" w:cs="Times New Roman"/>
        </w:rPr>
        <w:t xml:space="preserve">contemporary person and find a greater understanding of the society as a whole. </w:t>
      </w:r>
    </w:p>
    <w:p w14:paraId="0FD3D39A" w14:textId="69423A03" w:rsidR="00401495" w:rsidRDefault="00401495" w:rsidP="000F062D">
      <w:pPr>
        <w:rPr>
          <w:rFonts w:ascii="Times New Roman" w:hAnsi="Times New Roman" w:cs="Times New Roman"/>
        </w:rPr>
      </w:pPr>
      <w:r>
        <w:rPr>
          <w:rFonts w:ascii="Times New Roman" w:hAnsi="Times New Roman" w:cs="Times New Roman"/>
        </w:rPr>
        <w:t>Perhaps one of the most important segments of social complexity to analyse as a historian is: the political system and state of affairs in which contemporary society’s operated – this can sometimes give us integral information about an entire society.</w:t>
      </w:r>
      <w:r w:rsidR="00584F79">
        <w:rPr>
          <w:rFonts w:ascii="Times New Roman" w:hAnsi="Times New Roman" w:cs="Times New Roman"/>
        </w:rPr>
        <w:t xml:space="preserve"> A similar political system was used</w:t>
      </w:r>
      <w:r w:rsidR="00584F79" w:rsidRPr="00584F79">
        <w:rPr>
          <w:rFonts w:ascii="Times New Roman" w:hAnsi="Times New Roman" w:cs="Times New Roman"/>
        </w:rPr>
        <w:t xml:space="preserve"> </w:t>
      </w:r>
      <w:r w:rsidR="00584F79">
        <w:rPr>
          <w:rFonts w:ascii="Times New Roman" w:hAnsi="Times New Roman" w:cs="Times New Roman"/>
        </w:rPr>
        <w:t>throughout Bronze Age Egypt, from roughly 3000 B.C.E to 1200 B.C.E, Egypt was ruled under a theocratic monarchy and a literate, hierarchically organised bureaucratical government</w:t>
      </w:r>
      <w:r w:rsidR="00584F79">
        <w:rPr>
          <w:rStyle w:val="FootnoteReference"/>
          <w:rFonts w:ascii="Times New Roman" w:hAnsi="Times New Roman" w:cs="Times New Roman"/>
        </w:rPr>
        <w:footnoteReference w:id="3"/>
      </w:r>
      <w:r w:rsidR="00BE21DF">
        <w:rPr>
          <w:rStyle w:val="FootnoteReference"/>
          <w:rFonts w:ascii="Times New Roman" w:hAnsi="Times New Roman" w:cs="Times New Roman"/>
        </w:rPr>
        <w:footnoteReference w:id="4"/>
      </w:r>
      <w:r w:rsidR="00584F79">
        <w:rPr>
          <w:rFonts w:ascii="Times New Roman" w:hAnsi="Times New Roman" w:cs="Times New Roman"/>
        </w:rPr>
        <w:t>.</w:t>
      </w:r>
      <w:r w:rsidR="00C904B8">
        <w:rPr>
          <w:rFonts w:ascii="Times New Roman" w:hAnsi="Times New Roman" w:cs="Times New Roman"/>
        </w:rPr>
        <w:t xml:space="preserve"> However, as O’Connor (1974) states in his work “World Archaeology”, the archaeological evidence that </w:t>
      </w:r>
      <w:r w:rsidR="00EE1F9A">
        <w:rPr>
          <w:rFonts w:ascii="Times New Roman" w:hAnsi="Times New Roman" w:cs="Times New Roman"/>
        </w:rPr>
        <w:t>constructs the basis for this idea is not the most reliable source</w:t>
      </w:r>
      <w:r w:rsidR="00EE1F9A">
        <w:rPr>
          <w:rStyle w:val="FootnoteReference"/>
          <w:rFonts w:ascii="Times New Roman" w:hAnsi="Times New Roman" w:cs="Times New Roman"/>
        </w:rPr>
        <w:footnoteReference w:id="5"/>
      </w:r>
      <w:r w:rsidR="00EE1F9A">
        <w:rPr>
          <w:rFonts w:ascii="Times New Roman" w:hAnsi="Times New Roman" w:cs="Times New Roman"/>
        </w:rPr>
        <w:t xml:space="preserve">. Most of the evidence that allows us to understand the contemporary political system </w:t>
      </w:r>
      <w:r w:rsidR="00245141">
        <w:rPr>
          <w:rFonts w:ascii="Times New Roman" w:hAnsi="Times New Roman" w:cs="Times New Roman"/>
        </w:rPr>
        <w:t>come from cemeteries of Middle and Upper Egypt as there are very few well-excavated administrative and economic records in existence. As O’Connor argues, this merely presents us with a base outline for how the government worked and who was involved in it, the evidence does not show historians much contemporary opinion on the government. National opinion and society’s reactions are excluded from this vague documentation leaving us with an incomplete view of how the Egyptian political system worked with society and if it was a popular system or not. This incomplete documentation creates significant gaps in our perceptions which leads to misconceptions and different interpretations of the same evidence, meaning that the archaeological data available to us is highly unreliable for creating an image of political-societal complexity.</w:t>
      </w:r>
    </w:p>
    <w:p w14:paraId="680664A5" w14:textId="1F1614A4" w:rsidR="006A0423" w:rsidRDefault="00373D15" w:rsidP="000F062D">
      <w:pPr>
        <w:rPr>
          <w:rFonts w:ascii="Times New Roman" w:hAnsi="Times New Roman" w:cs="Times New Roman"/>
        </w:rPr>
      </w:pPr>
      <w:r>
        <w:rPr>
          <w:rFonts w:ascii="Times New Roman" w:hAnsi="Times New Roman" w:cs="Times New Roman"/>
        </w:rPr>
        <w:t xml:space="preserve">As mentioned previously, it can sometimes be the smallest archaeological finds that can have the largest impact on our perceptions, and in the case of our perception of Egyptian Naval Warfare strategy it is especially prevalent that the small objects are regarded the highest. While there is no primary evidence (such as shipwrecked hulls or wreckages of battles) to suggest that naval battles occurred, but it is known from other documentation (such as depictions on </w:t>
      </w:r>
      <w:r w:rsidRPr="00373D15">
        <w:rPr>
          <w:rFonts w:ascii="Times New Roman" w:hAnsi="Times New Roman" w:cs="Times New Roman"/>
        </w:rPr>
        <w:t xml:space="preserve">Ramses III’s mortuary </w:t>
      </w:r>
      <w:r w:rsidRPr="00373D15">
        <w:rPr>
          <w:rFonts w:ascii="Times New Roman" w:hAnsi="Times New Roman" w:cs="Times New Roman"/>
        </w:rPr>
        <w:lastRenderedPageBreak/>
        <w:t xml:space="preserve">temple at </w:t>
      </w:r>
      <w:proofErr w:type="spellStart"/>
      <w:r w:rsidRPr="00373D15">
        <w:rPr>
          <w:rFonts w:ascii="Times New Roman" w:hAnsi="Times New Roman" w:cs="Times New Roman"/>
        </w:rPr>
        <w:t>Medinet</w:t>
      </w:r>
      <w:proofErr w:type="spellEnd"/>
      <w:r w:rsidRPr="00373D15">
        <w:rPr>
          <w:rFonts w:ascii="Times New Roman" w:hAnsi="Times New Roman" w:cs="Times New Roman"/>
        </w:rPr>
        <w:t xml:space="preserve"> Habu</w:t>
      </w:r>
      <w:r w:rsidR="00954F80">
        <w:rPr>
          <w:rStyle w:val="FootnoteReference"/>
          <w:rFonts w:ascii="Times New Roman" w:hAnsi="Times New Roman" w:cs="Times New Roman"/>
        </w:rPr>
        <w:footnoteReference w:id="6"/>
      </w:r>
      <w:r>
        <w:rPr>
          <w:rFonts w:ascii="Times New Roman" w:hAnsi="Times New Roman" w:cs="Times New Roman"/>
        </w:rPr>
        <w:t>)</w:t>
      </w:r>
      <w:r w:rsidR="00954F80">
        <w:rPr>
          <w:rFonts w:ascii="Times New Roman" w:hAnsi="Times New Roman" w:cs="Times New Roman"/>
        </w:rPr>
        <w:t xml:space="preserve"> that such battles existed and Egypt did have a strong Naval presence</w:t>
      </w:r>
      <w:r w:rsidR="009E3A1E">
        <w:rPr>
          <w:rFonts w:ascii="Times New Roman" w:hAnsi="Times New Roman" w:cs="Times New Roman"/>
        </w:rPr>
        <w:t>. Most of our knowledge about how Egyptian Bronze Age Warships looked is down to a single wooden model of a</w:t>
      </w:r>
      <w:r w:rsidR="00D63631">
        <w:rPr>
          <w:rFonts w:ascii="Times New Roman" w:hAnsi="Times New Roman" w:cs="Times New Roman"/>
        </w:rPr>
        <w:t xml:space="preserve"> Greek-Egyptian warship that was prolific throughout the late bronze age</w:t>
      </w:r>
      <w:r w:rsidR="00D63631">
        <w:rPr>
          <w:rStyle w:val="FootnoteReference"/>
          <w:rFonts w:ascii="Times New Roman" w:hAnsi="Times New Roman" w:cs="Times New Roman"/>
        </w:rPr>
        <w:footnoteReference w:id="7"/>
      </w:r>
      <w:r w:rsidR="00D63631">
        <w:rPr>
          <w:rFonts w:ascii="Times New Roman" w:hAnsi="Times New Roman" w:cs="Times New Roman"/>
        </w:rPr>
        <w:t xml:space="preserve">. </w:t>
      </w:r>
      <w:r w:rsidR="00FA0B82">
        <w:rPr>
          <w:rFonts w:ascii="Times New Roman" w:hAnsi="Times New Roman" w:cs="Times New Roman"/>
        </w:rPr>
        <w:t xml:space="preserve">At first sight it looks to be a children’s toy as it is the shape and stature expected of such an item, however, it is actually known to be a prototype for later warships made by the Egyptians and the Greeks. This model is important because it provides a </w:t>
      </w:r>
      <w:r w:rsidR="0013255D">
        <w:rPr>
          <w:rFonts w:ascii="Times New Roman" w:hAnsi="Times New Roman" w:cs="Times New Roman"/>
        </w:rPr>
        <w:t>three-dimensional</w:t>
      </w:r>
      <w:r w:rsidR="00FA0B82">
        <w:rPr>
          <w:rFonts w:ascii="Times New Roman" w:hAnsi="Times New Roman" w:cs="Times New Roman"/>
        </w:rPr>
        <w:t xml:space="preserve"> depiction of Egyptian Warships</w:t>
      </w:r>
      <w:r w:rsidR="0013255D">
        <w:rPr>
          <w:rFonts w:ascii="Times New Roman" w:hAnsi="Times New Roman" w:cs="Times New Roman"/>
        </w:rPr>
        <w:t xml:space="preserve"> that gives us a deeper understanding of how they would have looked; previously the only knowledge available to research was inscriptions as afore mentioned. By understanding the design of the Warships we are able to understand how the Egyptians fought their naval battles, this is a deeper understanding into their </w:t>
      </w:r>
      <w:r w:rsidR="00B5272E">
        <w:rPr>
          <w:rFonts w:ascii="Times New Roman" w:hAnsi="Times New Roman" w:cs="Times New Roman"/>
        </w:rPr>
        <w:t xml:space="preserve">social complexity as we can understand that not only were they a strong enough nation to fight wars but they also had a strong naval presence with advanced technology. This not only gives us an insight into how the Egyptians fought their wars, but it also shows us who they did trade with and which nations they were allied with. This can be seen in the design of the ship: as mentioned previously, it is a common design used by the </w:t>
      </w:r>
      <w:r w:rsidR="00B5272E" w:rsidRPr="00B5272E">
        <w:rPr>
          <w:rFonts w:ascii="Times New Roman" w:hAnsi="Times New Roman" w:cs="Times New Roman"/>
        </w:rPr>
        <w:t>Mycenaean Greek</w:t>
      </w:r>
      <w:r w:rsidR="00B5272E">
        <w:rPr>
          <w:rFonts w:ascii="Times New Roman" w:hAnsi="Times New Roman" w:cs="Times New Roman"/>
        </w:rPr>
        <w:t xml:space="preserve"> people in their warships. This shows us that </w:t>
      </w:r>
      <w:r w:rsidR="0034417D">
        <w:rPr>
          <w:rFonts w:ascii="Times New Roman" w:hAnsi="Times New Roman" w:cs="Times New Roman"/>
        </w:rPr>
        <w:t>there was a strong trade relation between the two nations, as the Egyptians were using Warships based on the Greeks it also shows that the two nations were more than likely allies as well. This can be inferred because if the Nations were enemies then the Greeks wouldn’t have shared how they design ships and strengthen the Egyptian Navy at their own expense. All of this was learned primarily from a single wooden ship found on the inside of a tomb, this exemplifies the point made that a lot of the time we can learn the most from the smallest things.</w:t>
      </w:r>
      <w:r w:rsidR="006E0CA5">
        <w:rPr>
          <w:rFonts w:ascii="Times New Roman" w:hAnsi="Times New Roman" w:cs="Times New Roman"/>
        </w:rPr>
        <w:t xml:space="preserve"> However, the flip side of this is: there is very limited knowledge about the Egyptian Navy specifically, as there is only limited evidence, that, is not in the best condition or the most informing item, we can only learn so much. We do not for instance, learn the strength and size of the Navy or if it was successful, only a vague idea about what it looked like. </w:t>
      </w:r>
      <w:r w:rsidR="003F3831">
        <w:rPr>
          <w:rFonts w:ascii="Times New Roman" w:hAnsi="Times New Roman" w:cs="Times New Roman"/>
        </w:rPr>
        <w:t>The informative and restricted nature of the evidence prevents us from attaining a wider view of an Ancient Egyptian Navy.</w:t>
      </w:r>
    </w:p>
    <w:p w14:paraId="4A5287A6" w14:textId="69CF8C33" w:rsidR="00A8084C" w:rsidRDefault="00A8084C" w:rsidP="000F062D">
      <w:pPr>
        <w:rPr>
          <w:rFonts w:ascii="Times New Roman" w:hAnsi="Times New Roman" w:cs="Times New Roman"/>
        </w:rPr>
      </w:pPr>
      <w:r>
        <w:rPr>
          <w:rFonts w:ascii="Times New Roman" w:hAnsi="Times New Roman" w:cs="Times New Roman"/>
        </w:rPr>
        <w:t xml:space="preserve">When revising and analysing Egyptian culture and society, one has to consider one of the most famous aspects: Egyptian religion. Religion has to be examined as it was a backbone of Egyptian society and social complexity: everyone from the peasants in the towns to the divinely chosen Kings and Queens </w:t>
      </w:r>
      <w:r w:rsidR="008E5ECA">
        <w:rPr>
          <w:rFonts w:ascii="Times New Roman" w:hAnsi="Times New Roman" w:cs="Times New Roman"/>
        </w:rPr>
        <w:t>worshipped the Gods and had their lives revolve around their religion</w:t>
      </w:r>
      <w:r w:rsidR="00261ED4">
        <w:rPr>
          <w:rFonts w:ascii="Times New Roman" w:hAnsi="Times New Roman" w:cs="Times New Roman"/>
        </w:rPr>
        <w:t>.</w:t>
      </w:r>
      <w:r w:rsidR="008E5ECA">
        <w:rPr>
          <w:rFonts w:ascii="Times New Roman" w:hAnsi="Times New Roman" w:cs="Times New Roman"/>
        </w:rPr>
        <w:t xml:space="preserve"> </w:t>
      </w:r>
      <w:r w:rsidR="00261ED4">
        <w:rPr>
          <w:rFonts w:ascii="Times New Roman" w:hAnsi="Times New Roman" w:cs="Times New Roman"/>
        </w:rPr>
        <w:t xml:space="preserve">It is accurate to say that there was no secularity in ancient Egypt as the entire culture was founded and based in religion. </w:t>
      </w:r>
      <w:r w:rsidR="008E5ECA">
        <w:rPr>
          <w:rFonts w:ascii="Times New Roman" w:hAnsi="Times New Roman" w:cs="Times New Roman"/>
        </w:rPr>
        <w:t>“They are religious beyond excess, more than any other nation in the world”, Herodotus, on Egyptians</w:t>
      </w:r>
      <w:r w:rsidR="008E5ECA">
        <w:rPr>
          <w:rStyle w:val="FootnoteReference"/>
          <w:rFonts w:ascii="Times New Roman" w:hAnsi="Times New Roman" w:cs="Times New Roman"/>
        </w:rPr>
        <w:footnoteReference w:id="8"/>
      </w:r>
      <w:r w:rsidR="008E5ECA">
        <w:rPr>
          <w:rFonts w:ascii="Times New Roman" w:hAnsi="Times New Roman" w:cs="Times New Roman"/>
        </w:rPr>
        <w:t xml:space="preserve">. </w:t>
      </w:r>
      <w:r w:rsidR="004701B2">
        <w:rPr>
          <w:rFonts w:ascii="Times New Roman" w:hAnsi="Times New Roman" w:cs="Times New Roman"/>
        </w:rPr>
        <w:t>We know that the statement made by Herodotus is based in at least some truth as he has spoken of Egyptians in his works before with solid reliability. However, even if we ignored the comments made by the scholar, we would still be able to draw a strong argument with the same conclusion as the archaeological evidence is astounding. Any town or settlement of enough citizens had as many temples and shrines dedicated to Gods as they could: tombs and chapels were a primary feature of any good town</w:t>
      </w:r>
      <w:r w:rsidR="004701B2">
        <w:rPr>
          <w:rStyle w:val="FootnoteReference"/>
          <w:rFonts w:ascii="Times New Roman" w:hAnsi="Times New Roman" w:cs="Times New Roman"/>
        </w:rPr>
        <w:footnoteReference w:id="9"/>
      </w:r>
      <w:r w:rsidR="004701B2">
        <w:rPr>
          <w:rFonts w:ascii="Times New Roman" w:hAnsi="Times New Roman" w:cs="Times New Roman"/>
        </w:rPr>
        <w:t>.</w:t>
      </w:r>
      <w:r w:rsidR="00261ED4">
        <w:rPr>
          <w:rFonts w:ascii="Times New Roman" w:hAnsi="Times New Roman" w:cs="Times New Roman"/>
        </w:rPr>
        <w:t xml:space="preserve"> This archaeological evidence is solid proof of a religious Egyptian society as we can clearly see that the buildings were designed to worship Gods: religious iconography and mythological retellings covered the walls and pillars of these temples</w:t>
      </w:r>
      <w:r w:rsidR="005A5143">
        <w:rPr>
          <w:rStyle w:val="FootnoteReference"/>
          <w:rFonts w:ascii="Times New Roman" w:hAnsi="Times New Roman" w:cs="Times New Roman"/>
        </w:rPr>
        <w:footnoteReference w:id="10"/>
      </w:r>
      <w:r w:rsidR="00261ED4">
        <w:rPr>
          <w:rFonts w:ascii="Times New Roman" w:hAnsi="Times New Roman" w:cs="Times New Roman"/>
        </w:rPr>
        <w:t xml:space="preserve"> (notable examples include: </w:t>
      </w:r>
      <w:r w:rsidR="00261ED4">
        <w:rPr>
          <w:rFonts w:ascii="Times New Roman" w:hAnsi="Times New Roman" w:cs="Times New Roman"/>
        </w:rPr>
        <w:lastRenderedPageBreak/>
        <w:t>The Temple of Karnak Complex</w:t>
      </w:r>
      <w:r w:rsidR="002D6CC0">
        <w:rPr>
          <w:rStyle w:val="FootnoteReference"/>
          <w:rFonts w:ascii="Times New Roman" w:hAnsi="Times New Roman" w:cs="Times New Roman"/>
        </w:rPr>
        <w:footnoteReference w:id="11"/>
      </w:r>
      <w:r w:rsidR="00261ED4">
        <w:rPr>
          <w:rFonts w:ascii="Times New Roman" w:hAnsi="Times New Roman" w:cs="Times New Roman"/>
        </w:rPr>
        <w:t xml:space="preserve">, </w:t>
      </w:r>
      <w:proofErr w:type="spellStart"/>
      <w:r w:rsidR="00261ED4">
        <w:rPr>
          <w:rFonts w:ascii="Times New Roman" w:hAnsi="Times New Roman" w:cs="Times New Roman"/>
        </w:rPr>
        <w:t>Medinet</w:t>
      </w:r>
      <w:proofErr w:type="spellEnd"/>
      <w:r w:rsidR="00261ED4">
        <w:rPr>
          <w:rFonts w:ascii="Times New Roman" w:hAnsi="Times New Roman" w:cs="Times New Roman"/>
        </w:rPr>
        <w:t xml:space="preserve"> Habu</w:t>
      </w:r>
      <w:r w:rsidR="002D6CC0">
        <w:rPr>
          <w:rStyle w:val="FootnoteReference"/>
          <w:rFonts w:ascii="Times New Roman" w:hAnsi="Times New Roman" w:cs="Times New Roman"/>
        </w:rPr>
        <w:footnoteReference w:id="12"/>
      </w:r>
      <w:r w:rsidR="00261ED4">
        <w:rPr>
          <w:rFonts w:ascii="Times New Roman" w:hAnsi="Times New Roman" w:cs="Times New Roman"/>
        </w:rPr>
        <w:t xml:space="preserve"> and the </w:t>
      </w:r>
      <w:proofErr w:type="spellStart"/>
      <w:r w:rsidR="00261ED4">
        <w:rPr>
          <w:rFonts w:ascii="Times New Roman" w:hAnsi="Times New Roman" w:cs="Times New Roman"/>
        </w:rPr>
        <w:t>Ramesseum</w:t>
      </w:r>
      <w:proofErr w:type="spellEnd"/>
      <w:r w:rsidR="002D6CC0">
        <w:rPr>
          <w:rStyle w:val="FootnoteReference"/>
          <w:rFonts w:ascii="Times New Roman" w:hAnsi="Times New Roman" w:cs="Times New Roman"/>
        </w:rPr>
        <w:footnoteReference w:id="13"/>
      </w:r>
      <w:r w:rsidR="00261ED4">
        <w:rPr>
          <w:rFonts w:ascii="Times New Roman" w:hAnsi="Times New Roman" w:cs="Times New Roman"/>
        </w:rPr>
        <w:t>)</w:t>
      </w:r>
      <w:r w:rsidR="002D6CC0">
        <w:rPr>
          <w:rFonts w:ascii="Times New Roman" w:hAnsi="Times New Roman" w:cs="Times New Roman"/>
        </w:rPr>
        <w:t>.</w:t>
      </w:r>
      <w:r w:rsidR="005A5143">
        <w:rPr>
          <w:rFonts w:ascii="Times New Roman" w:hAnsi="Times New Roman" w:cs="Times New Roman"/>
        </w:rPr>
        <w:t xml:space="preserve"> It was not only the peasants and the everyday townspeople that worshipped the Gods though, the very monarchy of Egypt was based in theocracy. The King or Pharaoh was said to be Horus reincarnated in human form: a mortal vessel for the son of Ra to walk on Earth and therefore had divine right to be King</w:t>
      </w:r>
      <w:r w:rsidR="005A5143">
        <w:rPr>
          <w:rStyle w:val="FootnoteReference"/>
          <w:rFonts w:ascii="Times New Roman" w:hAnsi="Times New Roman" w:cs="Times New Roman"/>
        </w:rPr>
        <w:footnoteReference w:id="14"/>
      </w:r>
      <w:r w:rsidR="00F84241">
        <w:rPr>
          <w:rFonts w:ascii="Times New Roman" w:hAnsi="Times New Roman" w:cs="Times New Roman"/>
        </w:rPr>
        <w:t>. The archaeological evidence that depicts this, as is common in Egyptology, is found in hieroglyphic depiction. There are many tablets showing us the process in which Gods pass the mantle of Kingship to men, one such piece is of K</w:t>
      </w:r>
      <w:r w:rsidR="00F84241" w:rsidRPr="00F84241">
        <w:rPr>
          <w:rFonts w:ascii="Times New Roman" w:hAnsi="Times New Roman" w:cs="Times New Roman"/>
        </w:rPr>
        <w:t>ing Senusret II</w:t>
      </w:r>
      <w:r w:rsidR="00F84241">
        <w:rPr>
          <w:rStyle w:val="FootnoteReference"/>
          <w:rFonts w:ascii="Times New Roman" w:hAnsi="Times New Roman" w:cs="Times New Roman"/>
        </w:rPr>
        <w:footnoteReference w:id="15"/>
      </w:r>
      <w:r w:rsidR="00F84241">
        <w:rPr>
          <w:rFonts w:ascii="Times New Roman" w:hAnsi="Times New Roman" w:cs="Times New Roman"/>
        </w:rPr>
        <w:t>. From this we can learn that religion played a huge part in Egyptian culture as we can see that they very much did believe that the Gods chose their Kings as the Kings that were in power stayed in power for a long time and were respected (as a general rule).</w:t>
      </w:r>
    </w:p>
    <w:p w14:paraId="4C14F4C4" w14:textId="508C3A28" w:rsidR="00AF2746" w:rsidRDefault="00E22FE0" w:rsidP="00AF2746">
      <w:pPr>
        <w:spacing w:before="120" w:after="0"/>
        <w:rPr>
          <w:rFonts w:ascii="Times New Roman" w:hAnsi="Times New Roman" w:cs="Times New Roman"/>
        </w:rPr>
      </w:pPr>
      <w:r>
        <w:rPr>
          <w:rFonts w:ascii="Times New Roman" w:hAnsi="Times New Roman" w:cs="Times New Roman"/>
        </w:rPr>
        <w:t xml:space="preserve">One of the most engaging social complexities to study in any society is the role gender plays in society: i.e. gender-based norms, </w:t>
      </w:r>
      <w:r w:rsidR="00A8084C">
        <w:rPr>
          <w:rFonts w:ascii="Times New Roman" w:hAnsi="Times New Roman" w:cs="Times New Roman"/>
        </w:rPr>
        <w:t>discriminations,</w:t>
      </w:r>
      <w:r>
        <w:rPr>
          <w:rFonts w:ascii="Times New Roman" w:hAnsi="Times New Roman" w:cs="Times New Roman"/>
        </w:rPr>
        <w:t xml:space="preserve"> and expectations. Ancient Egypt is an extremely interesting case in this instance: as contrary to many other contemporary societies – Egyptian men and women were known to be equal in almost every right</w:t>
      </w:r>
      <w:r w:rsidR="00470FEE">
        <w:rPr>
          <w:rFonts w:ascii="Times New Roman" w:hAnsi="Times New Roman" w:cs="Times New Roman"/>
        </w:rPr>
        <w:t xml:space="preserve"> (as Edwards and O’Neill say in their work The Social and Political Position of Woman in Ancient Egypt: “She is distinctly his legal and social equal. In fact, it is not too much to say in some regards she is his superior.”</w:t>
      </w:r>
      <w:r w:rsidR="00470FEE">
        <w:rPr>
          <w:rStyle w:val="FootnoteReference"/>
          <w:rFonts w:ascii="Times New Roman" w:hAnsi="Times New Roman" w:cs="Times New Roman"/>
        </w:rPr>
        <w:footnoteReference w:id="16"/>
      </w:r>
      <w:r w:rsidR="00470FEE">
        <w:rPr>
          <w:rFonts w:ascii="Times New Roman" w:hAnsi="Times New Roman" w:cs="Times New Roman"/>
        </w:rPr>
        <w:t xml:space="preserve">). </w:t>
      </w:r>
      <w:r w:rsidR="00AD6C06">
        <w:rPr>
          <w:rFonts w:ascii="Times New Roman" w:hAnsi="Times New Roman" w:cs="Times New Roman"/>
        </w:rPr>
        <w:t>Evidence for legal and social equality/superiority for women can be found in documentation of legal matters such as: a woman selling a plot of land and indebtment</w:t>
      </w:r>
      <w:r w:rsidR="00EC3329">
        <w:rPr>
          <w:rFonts w:ascii="Times New Roman" w:hAnsi="Times New Roman" w:cs="Times New Roman"/>
        </w:rPr>
        <w:t xml:space="preserve"> papers in which a man was indebted to a woman with penalty of fine</w:t>
      </w:r>
      <w:r w:rsidR="00EC3329">
        <w:rPr>
          <w:rStyle w:val="FootnoteReference"/>
          <w:rFonts w:ascii="Times New Roman" w:hAnsi="Times New Roman" w:cs="Times New Roman"/>
        </w:rPr>
        <w:footnoteReference w:id="17"/>
      </w:r>
      <w:r w:rsidR="00700B5C">
        <w:rPr>
          <w:rFonts w:ascii="Times New Roman" w:hAnsi="Times New Roman" w:cs="Times New Roman"/>
        </w:rPr>
        <w:t xml:space="preserve"> (found in the Turin museum of Egypt).</w:t>
      </w:r>
      <w:r w:rsidR="00AD6C06">
        <w:rPr>
          <w:rFonts w:ascii="Times New Roman" w:hAnsi="Times New Roman" w:cs="Times New Roman"/>
        </w:rPr>
        <w:t xml:space="preserve">  </w:t>
      </w:r>
      <w:r w:rsidR="00EC3329">
        <w:rPr>
          <w:rFonts w:ascii="Times New Roman" w:hAnsi="Times New Roman" w:cs="Times New Roman"/>
        </w:rPr>
        <w:t xml:space="preserve">These documents are solid proof of a cognatic, gender-neutral Egyptian society </w:t>
      </w:r>
      <w:r w:rsidR="005055EB">
        <w:rPr>
          <w:rFonts w:ascii="Times New Roman" w:hAnsi="Times New Roman" w:cs="Times New Roman"/>
        </w:rPr>
        <w:t>–</w:t>
      </w:r>
      <w:r w:rsidR="00700B5C">
        <w:rPr>
          <w:rFonts w:ascii="Times New Roman" w:hAnsi="Times New Roman" w:cs="Times New Roman"/>
        </w:rPr>
        <w:t xml:space="preserve"> </w:t>
      </w:r>
      <w:r w:rsidR="00EE3E91">
        <w:rPr>
          <w:rFonts w:ascii="Times New Roman" w:hAnsi="Times New Roman" w:cs="Times New Roman"/>
        </w:rPr>
        <w:t>there is very little debate when it comes to arguing the solidarity of this evidence as they are unbiased official documents. Therefore, these documents are accurate tools that can indicate to us what Egy</w:t>
      </w:r>
      <w:r w:rsidR="008E5ECA">
        <w:rPr>
          <w:rFonts w:ascii="Times New Roman" w:hAnsi="Times New Roman" w:cs="Times New Roman"/>
        </w:rPr>
        <w:t>p</w:t>
      </w:r>
      <w:r w:rsidR="00EE3E91">
        <w:rPr>
          <w:rFonts w:ascii="Times New Roman" w:hAnsi="Times New Roman" w:cs="Times New Roman"/>
        </w:rPr>
        <w:t xml:space="preserve">tian culture was like. </w:t>
      </w:r>
      <w:r w:rsidR="00470FEE">
        <w:rPr>
          <w:rFonts w:ascii="Times New Roman" w:hAnsi="Times New Roman" w:cs="Times New Roman"/>
        </w:rPr>
        <w:t>It is known that in Egyptian society</w:t>
      </w:r>
      <w:r w:rsidR="00A8084C">
        <w:rPr>
          <w:rFonts w:ascii="Times New Roman" w:hAnsi="Times New Roman" w:cs="Times New Roman"/>
        </w:rPr>
        <w:t>,</w:t>
      </w:r>
      <w:r w:rsidR="00470FEE">
        <w:rPr>
          <w:rFonts w:ascii="Times New Roman" w:hAnsi="Times New Roman" w:cs="Times New Roman"/>
        </w:rPr>
        <w:t xml:space="preserve"> it was the belief that at the dawn of time</w:t>
      </w:r>
      <w:r w:rsidR="00A548EA">
        <w:rPr>
          <w:rFonts w:ascii="Times New Roman" w:hAnsi="Times New Roman" w:cs="Times New Roman"/>
        </w:rPr>
        <w:t>,</w:t>
      </w:r>
      <w:r w:rsidR="00470FEE">
        <w:rPr>
          <w:rFonts w:ascii="Times New Roman" w:hAnsi="Times New Roman" w:cs="Times New Roman"/>
        </w:rPr>
        <w:t xml:space="preserve"> </w:t>
      </w:r>
      <w:r w:rsidR="00A548EA">
        <w:rPr>
          <w:rFonts w:ascii="Times New Roman" w:hAnsi="Times New Roman" w:cs="Times New Roman"/>
        </w:rPr>
        <w:t>Osiris and Isis created men and women to be equal and this was represented and upheld in and throughout Egyptian culture</w:t>
      </w:r>
      <w:r w:rsidR="00A548EA">
        <w:rPr>
          <w:rStyle w:val="FootnoteReference"/>
          <w:rFonts w:ascii="Times New Roman" w:hAnsi="Times New Roman" w:cs="Times New Roman"/>
        </w:rPr>
        <w:footnoteReference w:id="18"/>
      </w:r>
      <w:r w:rsidR="00A548EA">
        <w:rPr>
          <w:rFonts w:ascii="Times New Roman" w:hAnsi="Times New Roman" w:cs="Times New Roman"/>
        </w:rPr>
        <w:t>. The story of creation is known to us thanks to hieroglyphs left behind in tombs and monuments and</w:t>
      </w:r>
      <w:r w:rsidR="00A8084C">
        <w:rPr>
          <w:rFonts w:ascii="Times New Roman" w:hAnsi="Times New Roman" w:cs="Times New Roman"/>
        </w:rPr>
        <w:t xml:space="preserve"> as said previously, </w:t>
      </w:r>
      <w:r w:rsidR="00A548EA">
        <w:rPr>
          <w:rFonts w:ascii="Times New Roman" w:hAnsi="Times New Roman" w:cs="Times New Roman"/>
        </w:rPr>
        <w:t>it is known that religious beliefs were central in Egyptian</w:t>
      </w:r>
      <w:r w:rsidR="00AC5B5F">
        <w:rPr>
          <w:rFonts w:ascii="Times New Roman" w:hAnsi="Times New Roman" w:cs="Times New Roman"/>
        </w:rPr>
        <w:t xml:space="preserve"> </w:t>
      </w:r>
      <w:r w:rsidR="00A548EA">
        <w:rPr>
          <w:rFonts w:ascii="Times New Roman" w:hAnsi="Times New Roman" w:cs="Times New Roman"/>
        </w:rPr>
        <w:t xml:space="preserve">society: everything revolved around the Gods, even the Kings and Pharaohs were supposedly chosen by Gods. Therefore, the religious evidence (found scribed in hieroglyphs) that depicts an equal society for both genders is of great use to historians as we know that it is a reliable source of information. </w:t>
      </w:r>
      <w:r w:rsidR="002B069D">
        <w:rPr>
          <w:rFonts w:ascii="Times New Roman" w:hAnsi="Times New Roman" w:cs="Times New Roman"/>
        </w:rPr>
        <w:t>Another striking piece of evidence for equality in Egyptian society is the fact that it was not only male monarchs that ruled, the earliest Queen we know of is Merhetep</w:t>
      </w:r>
      <w:r w:rsidR="007314DD">
        <w:rPr>
          <w:rStyle w:val="FootnoteReference"/>
          <w:rFonts w:ascii="Times New Roman" w:hAnsi="Times New Roman" w:cs="Times New Roman"/>
        </w:rPr>
        <w:footnoteReference w:id="19"/>
      </w:r>
      <w:r w:rsidR="002B069D">
        <w:rPr>
          <w:rFonts w:ascii="Times New Roman" w:hAnsi="Times New Roman" w:cs="Times New Roman"/>
        </w:rPr>
        <w:t xml:space="preserve"> – </w:t>
      </w:r>
      <w:r w:rsidR="00BE58FC">
        <w:rPr>
          <w:rFonts w:ascii="Times New Roman" w:hAnsi="Times New Roman" w:cs="Times New Roman"/>
        </w:rPr>
        <w:t>a female ruler was an aspect of culture that was very rare in contemporary times in other cultures.</w:t>
      </w:r>
      <w:r w:rsidR="00EF02C3">
        <w:rPr>
          <w:rFonts w:ascii="Times New Roman" w:hAnsi="Times New Roman" w:cs="Times New Roman"/>
        </w:rPr>
        <w:t xml:space="preserve"> </w:t>
      </w:r>
      <w:r w:rsidR="007314DD">
        <w:rPr>
          <w:rFonts w:ascii="Times New Roman" w:hAnsi="Times New Roman" w:cs="Times New Roman"/>
        </w:rPr>
        <w:t xml:space="preserve">Not only did Egypt have a female monarch over 4000 years ago, she was also widely supported and loved by her peoples. The archaeological evidence for this is the stone epitaph found in </w:t>
      </w:r>
      <w:r w:rsidR="007314DD">
        <w:rPr>
          <w:rFonts w:ascii="Times New Roman" w:hAnsi="Times New Roman" w:cs="Times New Roman"/>
        </w:rPr>
        <w:lastRenderedPageBreak/>
        <w:t>her tomb which reads:</w:t>
      </w:r>
      <w:r w:rsidR="007314DD" w:rsidRPr="007314DD">
        <w:rPr>
          <w:rFonts w:ascii="Times New Roman" w:hAnsi="Times New Roman" w:cs="Times New Roman"/>
        </w:rPr>
        <w:t xml:space="preserve"> "the Great favo</w:t>
      </w:r>
      <w:r w:rsidR="007314DD">
        <w:rPr>
          <w:rFonts w:ascii="Times New Roman" w:hAnsi="Times New Roman" w:cs="Times New Roman"/>
        </w:rPr>
        <w:t>u</w:t>
      </w:r>
      <w:r w:rsidR="007314DD" w:rsidRPr="007314DD">
        <w:rPr>
          <w:rFonts w:ascii="Times New Roman" w:hAnsi="Times New Roman" w:cs="Times New Roman"/>
        </w:rPr>
        <w:t>rite of King</w:t>
      </w:r>
      <w:r w:rsidR="007314DD">
        <w:rPr>
          <w:rFonts w:ascii="Times New Roman" w:hAnsi="Times New Roman" w:cs="Times New Roman"/>
        </w:rPr>
        <w:t xml:space="preserve"> </w:t>
      </w:r>
      <w:proofErr w:type="spellStart"/>
      <w:r w:rsidR="007314DD" w:rsidRPr="007314DD">
        <w:rPr>
          <w:rFonts w:ascii="Times New Roman" w:hAnsi="Times New Roman" w:cs="Times New Roman"/>
        </w:rPr>
        <w:t>Senefru</w:t>
      </w:r>
      <w:proofErr w:type="spellEnd"/>
      <w:r w:rsidR="007314DD" w:rsidRPr="007314DD">
        <w:rPr>
          <w:rFonts w:ascii="Times New Roman" w:hAnsi="Times New Roman" w:cs="Times New Roman"/>
        </w:rPr>
        <w:t>, the Great favo</w:t>
      </w:r>
      <w:r w:rsidR="007314DD">
        <w:rPr>
          <w:rFonts w:ascii="Times New Roman" w:hAnsi="Times New Roman" w:cs="Times New Roman"/>
        </w:rPr>
        <w:t>u</w:t>
      </w:r>
      <w:r w:rsidR="007314DD" w:rsidRPr="007314DD">
        <w:rPr>
          <w:rFonts w:ascii="Times New Roman" w:hAnsi="Times New Roman" w:cs="Times New Roman"/>
        </w:rPr>
        <w:t>rite of</w:t>
      </w:r>
      <w:r w:rsidR="007314DD">
        <w:rPr>
          <w:rFonts w:ascii="Times New Roman" w:hAnsi="Times New Roman" w:cs="Times New Roman"/>
        </w:rPr>
        <w:t xml:space="preserve"> </w:t>
      </w:r>
      <w:r w:rsidR="007314DD" w:rsidRPr="007314DD">
        <w:rPr>
          <w:rFonts w:ascii="Times New Roman" w:hAnsi="Times New Roman" w:cs="Times New Roman"/>
        </w:rPr>
        <w:t>King Khufu, and the devoted to King Khafra."</w:t>
      </w:r>
      <w:r w:rsidR="007314DD">
        <w:rPr>
          <w:rStyle w:val="FootnoteReference"/>
          <w:rFonts w:ascii="Times New Roman" w:hAnsi="Times New Roman" w:cs="Times New Roman"/>
        </w:rPr>
        <w:footnoteReference w:id="20"/>
      </w:r>
    </w:p>
    <w:p w14:paraId="564B1ADC" w14:textId="3F14CC6C" w:rsidR="00AF2746" w:rsidRDefault="006E0CA5" w:rsidP="00AF2746">
      <w:pPr>
        <w:spacing w:before="120" w:after="0"/>
        <w:rPr>
          <w:rFonts w:ascii="Times New Roman" w:hAnsi="Times New Roman" w:cs="Times New Roman"/>
        </w:rPr>
      </w:pPr>
      <w:r>
        <w:rPr>
          <w:rFonts w:ascii="Times New Roman" w:hAnsi="Times New Roman" w:cs="Times New Roman"/>
        </w:rPr>
        <w:t xml:space="preserve">To summarise, we are able to form ideas and thoughts about Ancient Egyptian social complexity with varying degrees of assurance and confidence based on the nature of both the subject matter and the archaeological evidence for it. Depending on how much of a role something had in society, depends how much we can tell about it today, for example: something as instrumental and </w:t>
      </w:r>
      <w:r w:rsidR="003F3831">
        <w:rPr>
          <w:rFonts w:ascii="Times New Roman" w:hAnsi="Times New Roman" w:cs="Times New Roman"/>
        </w:rPr>
        <w:t xml:space="preserve">prevalent as religion is well documented and evidenced by countless temples and structures. These countless informative pieces of archaeology are able to show us obvious behaviour patterns and beliefs; however, something less important and harder to document, like the Navy for instance, is less easy to learn about as a Historian. As there is less evidence to suggest to us what the Navy was like, we can only learn a limited amount. From analysing all aspects of Egyptian culture, it is safe to draw the conclusion that social aspects of the social complexity that affected the day to day man and woman are easy to learn about as there is so much evidence to back up ideas. These aspects range from gender, religion, and the monarchy (the latter two are intertwined) as these things affected everyone as already shown. What is less easy to understand about Egyptian culture is things that did not play as big roles to the everyone, like their Navy; this is because there is less readily-available archaeological evidence to back up any ideas. </w:t>
      </w:r>
    </w:p>
    <w:p w14:paraId="1BF32932" w14:textId="5A803476" w:rsidR="00D462D8" w:rsidRDefault="00D462D8">
      <w:pPr>
        <w:rPr>
          <w:rFonts w:ascii="Times New Roman" w:hAnsi="Times New Roman" w:cs="Times New Roman"/>
        </w:rPr>
      </w:pPr>
      <w:r>
        <w:rPr>
          <w:rFonts w:ascii="Times New Roman" w:hAnsi="Times New Roman" w:cs="Times New Roman"/>
        </w:rPr>
        <w:br w:type="page"/>
      </w:r>
    </w:p>
    <w:p w14:paraId="03696FC8" w14:textId="5F927416" w:rsidR="00D462D8" w:rsidRDefault="00D462D8" w:rsidP="00AF2746">
      <w:pPr>
        <w:spacing w:before="120" w:after="0"/>
        <w:rPr>
          <w:rFonts w:ascii="Times New Roman" w:hAnsi="Times New Roman" w:cs="Times New Roman"/>
          <w:u w:val="single"/>
        </w:rPr>
      </w:pPr>
      <w:r w:rsidRPr="00D462D8">
        <w:rPr>
          <w:rFonts w:ascii="Times New Roman" w:hAnsi="Times New Roman" w:cs="Times New Roman"/>
          <w:u w:val="single"/>
        </w:rPr>
        <w:lastRenderedPageBreak/>
        <w:t>Bibliography</w:t>
      </w:r>
    </w:p>
    <w:p w14:paraId="107C512D" w14:textId="619617C4" w:rsidR="00D462D8" w:rsidRDefault="00D462D8" w:rsidP="00AF2746">
      <w:pPr>
        <w:spacing w:before="120" w:after="0"/>
        <w:rPr>
          <w:rFonts w:ascii="Times New Roman" w:hAnsi="Times New Roman" w:cs="Times New Roman"/>
          <w:u w:val="single"/>
        </w:rPr>
      </w:pPr>
      <w:r>
        <w:rPr>
          <w:rFonts w:ascii="Times New Roman" w:hAnsi="Times New Roman" w:cs="Times New Roman"/>
          <w:u w:val="single"/>
        </w:rPr>
        <w:t>Books</w:t>
      </w:r>
    </w:p>
    <w:p w14:paraId="081914F6" w14:textId="239DE2FA" w:rsidR="00D462D8" w:rsidRDefault="00D462D8" w:rsidP="00D462D8">
      <w:pPr>
        <w:spacing w:before="120" w:after="0"/>
        <w:rPr>
          <w:rFonts w:ascii="Times New Roman" w:hAnsi="Times New Roman" w:cs="Times New Roman"/>
        </w:rPr>
      </w:pPr>
      <w:r w:rsidRPr="00D462D8">
        <w:rPr>
          <w:rFonts w:ascii="Times New Roman" w:hAnsi="Times New Roman" w:cs="Times New Roman"/>
        </w:rPr>
        <w:t xml:space="preserve">C. </w:t>
      </w:r>
      <w:r w:rsidR="00A109F0" w:rsidRPr="00D462D8">
        <w:rPr>
          <w:rFonts w:ascii="Times New Roman" w:hAnsi="Times New Roman" w:cs="Times New Roman"/>
        </w:rPr>
        <w:t>Cioffi-Revilla</w:t>
      </w:r>
      <w:r w:rsidR="00A109F0">
        <w:rPr>
          <w:rFonts w:ascii="Times New Roman" w:hAnsi="Times New Roman" w:cs="Times New Roman"/>
        </w:rPr>
        <w:t>.</w:t>
      </w:r>
      <w:r w:rsidR="00A109F0" w:rsidRPr="00D462D8">
        <w:rPr>
          <w:rFonts w:ascii="Times New Roman" w:hAnsi="Times New Roman" w:cs="Times New Roman"/>
        </w:rPr>
        <w:t xml:space="preserve"> </w:t>
      </w:r>
      <w:r w:rsidRPr="00D462D8">
        <w:rPr>
          <w:rFonts w:ascii="Times New Roman" w:hAnsi="Times New Roman" w:cs="Times New Roman"/>
        </w:rPr>
        <w:t>(2005), A Canonical Theory of Origins and Development of Social Complexity, Journal of Mathematical Sociology, 29(2): 1-21. [Accessed 17/04/20]</w:t>
      </w:r>
    </w:p>
    <w:p w14:paraId="416E0AFF" w14:textId="260776CD" w:rsidR="00D462D8" w:rsidRDefault="00D462D8" w:rsidP="00D462D8">
      <w:pPr>
        <w:spacing w:before="120" w:after="0"/>
        <w:rPr>
          <w:rFonts w:ascii="Times New Roman" w:hAnsi="Times New Roman" w:cs="Times New Roman"/>
        </w:rPr>
      </w:pPr>
      <w:r w:rsidRPr="00D462D8">
        <w:rPr>
          <w:rFonts w:ascii="Times New Roman" w:hAnsi="Times New Roman" w:cs="Times New Roman"/>
        </w:rPr>
        <w:t>Herodotus, (2.37)</w:t>
      </w:r>
    </w:p>
    <w:p w14:paraId="5B91B3AA" w14:textId="77777777" w:rsidR="00A109F0" w:rsidRDefault="00A109F0" w:rsidP="00D462D8">
      <w:pPr>
        <w:spacing w:before="120" w:after="0"/>
        <w:rPr>
          <w:rFonts w:ascii="Times New Roman" w:hAnsi="Times New Roman" w:cs="Times New Roman"/>
          <w:u w:val="single"/>
        </w:rPr>
      </w:pPr>
    </w:p>
    <w:p w14:paraId="1ABF5287" w14:textId="77777777" w:rsidR="00A109F0" w:rsidRDefault="00D462D8" w:rsidP="00A109F0">
      <w:pPr>
        <w:spacing w:before="120" w:after="0"/>
        <w:rPr>
          <w:rFonts w:ascii="Times New Roman" w:hAnsi="Times New Roman" w:cs="Times New Roman"/>
        </w:rPr>
      </w:pPr>
      <w:r w:rsidRPr="00D462D8">
        <w:rPr>
          <w:rFonts w:ascii="Times New Roman" w:hAnsi="Times New Roman" w:cs="Times New Roman"/>
          <w:u w:val="single"/>
        </w:rPr>
        <w:t>Digital Images</w:t>
      </w:r>
      <w:r w:rsidR="00A109F0" w:rsidRPr="00A109F0">
        <w:rPr>
          <w:rFonts w:ascii="Times New Roman" w:hAnsi="Times New Roman" w:cs="Times New Roman"/>
        </w:rPr>
        <w:t xml:space="preserve"> </w:t>
      </w:r>
    </w:p>
    <w:p w14:paraId="5903C9BF" w14:textId="38CDBD77" w:rsidR="00D462D8" w:rsidRPr="00A109F0" w:rsidRDefault="00A109F0" w:rsidP="00D462D8">
      <w:pPr>
        <w:spacing w:before="120" w:after="0"/>
        <w:rPr>
          <w:rFonts w:ascii="Times New Roman" w:hAnsi="Times New Roman" w:cs="Times New Roman"/>
        </w:rPr>
      </w:pPr>
      <w:r w:rsidRPr="00D462D8">
        <w:rPr>
          <w:rFonts w:ascii="Times New Roman" w:hAnsi="Times New Roman" w:cs="Times New Roman"/>
        </w:rPr>
        <w:t xml:space="preserve">One of the five Sea Peoples’ ship depictions in Ramses III’s naval battle scene. </w:t>
      </w:r>
      <w:proofErr w:type="spellStart"/>
      <w:r w:rsidRPr="00D462D8">
        <w:rPr>
          <w:rFonts w:ascii="Times New Roman" w:hAnsi="Times New Roman" w:cs="Times New Roman"/>
        </w:rPr>
        <w:t>Medinet</w:t>
      </w:r>
      <w:proofErr w:type="spellEnd"/>
      <w:r w:rsidRPr="00D462D8">
        <w:rPr>
          <w:rFonts w:ascii="Times New Roman" w:hAnsi="Times New Roman" w:cs="Times New Roman"/>
        </w:rPr>
        <w:t xml:space="preserve"> Habu. From </w:t>
      </w:r>
      <w:proofErr w:type="spellStart"/>
      <w:r w:rsidRPr="00D462D8">
        <w:rPr>
          <w:rFonts w:ascii="Times New Roman" w:hAnsi="Times New Roman" w:cs="Times New Roman"/>
        </w:rPr>
        <w:t>Wachsmann</w:t>
      </w:r>
      <w:proofErr w:type="spellEnd"/>
      <w:r w:rsidRPr="00D462D8">
        <w:rPr>
          <w:rFonts w:ascii="Times New Roman" w:hAnsi="Times New Roman" w:cs="Times New Roman"/>
        </w:rPr>
        <w:t xml:space="preserve"> 2013: 38, fig. 2.5 from </w:t>
      </w:r>
      <w:hyperlink r:id="rId8" w:history="1">
        <w:r w:rsidRPr="00ED2F40">
          <w:rPr>
            <w:rStyle w:val="Hyperlink"/>
            <w:rFonts w:ascii="Times New Roman" w:hAnsi="Times New Roman" w:cs="Times New Roman"/>
          </w:rPr>
          <w:t>https://blogs.getty.edu/iris/egyptian-ship-model-sheds-light-on-bronze-age-warfare-and-religion/</w:t>
        </w:r>
      </w:hyperlink>
      <w:r>
        <w:rPr>
          <w:rFonts w:ascii="Times New Roman" w:hAnsi="Times New Roman" w:cs="Times New Roman"/>
        </w:rPr>
        <w:t xml:space="preserve"> </w:t>
      </w:r>
    </w:p>
    <w:p w14:paraId="7ED18084" w14:textId="27896D67" w:rsidR="00D462D8" w:rsidRDefault="00D462D8" w:rsidP="00D462D8">
      <w:pPr>
        <w:spacing w:before="120" w:after="0"/>
        <w:rPr>
          <w:rFonts w:ascii="Times New Roman" w:hAnsi="Times New Roman" w:cs="Times New Roman"/>
        </w:rPr>
      </w:pPr>
      <w:r w:rsidRPr="00D462D8">
        <w:rPr>
          <w:rFonts w:ascii="Times New Roman" w:hAnsi="Times New Roman" w:cs="Times New Roman"/>
        </w:rPr>
        <w:t xml:space="preserve">University College London (2002) [digital image] </w:t>
      </w:r>
      <w:hyperlink r:id="rId9" w:history="1">
        <w:r w:rsidRPr="00ED2F40">
          <w:rPr>
            <w:rStyle w:val="Hyperlink"/>
            <w:rFonts w:ascii="Times New Roman" w:hAnsi="Times New Roman" w:cs="Times New Roman"/>
          </w:rPr>
          <w:t>https://www.ucl.ac.uk/museums-static/digitalegypt/ideology/king/what.html</w:t>
        </w:r>
      </w:hyperlink>
      <w:r>
        <w:rPr>
          <w:rFonts w:ascii="Times New Roman" w:hAnsi="Times New Roman" w:cs="Times New Roman"/>
        </w:rPr>
        <w:t xml:space="preserve"> </w:t>
      </w:r>
      <w:r w:rsidRPr="00D462D8">
        <w:rPr>
          <w:rFonts w:ascii="Times New Roman" w:hAnsi="Times New Roman" w:cs="Times New Roman"/>
        </w:rPr>
        <w:t>[Accessed 22/04/20]</w:t>
      </w:r>
    </w:p>
    <w:p w14:paraId="08C7DA2D" w14:textId="44D56E24" w:rsidR="00D462D8" w:rsidRDefault="00D462D8" w:rsidP="00D462D8">
      <w:pPr>
        <w:spacing w:before="120" w:after="0"/>
        <w:rPr>
          <w:rFonts w:ascii="Times New Roman" w:hAnsi="Times New Roman" w:cs="Times New Roman"/>
        </w:rPr>
      </w:pPr>
      <w:r w:rsidRPr="00D462D8">
        <w:rPr>
          <w:rFonts w:ascii="Times New Roman" w:hAnsi="Times New Roman" w:cs="Times New Roman"/>
        </w:rPr>
        <w:t xml:space="preserve">Wooden Ship-Cart Model, late 13th–early 12th century B.C. Wood with traces of paint, 5 3/16 × 15 3/16 × 2 3/16 in. Courtesy of the Petrie Museum of Egyptian Archaeology, UCL. Photo: J. Paul Getty Museum, Rebecca Vera-Martinez from </w:t>
      </w:r>
      <w:hyperlink r:id="rId10" w:history="1">
        <w:r w:rsidRPr="00ED2F40">
          <w:rPr>
            <w:rStyle w:val="Hyperlink"/>
            <w:rFonts w:ascii="Times New Roman" w:hAnsi="Times New Roman" w:cs="Times New Roman"/>
          </w:rPr>
          <w:t>https://blogs.getty.edu/iris/egyptian-ship-model-sheds-light-on-bronze-age-warfare-and-religion/</w:t>
        </w:r>
      </w:hyperlink>
      <w:r>
        <w:rPr>
          <w:rFonts w:ascii="Times New Roman" w:hAnsi="Times New Roman" w:cs="Times New Roman"/>
        </w:rPr>
        <w:t xml:space="preserve"> </w:t>
      </w:r>
    </w:p>
    <w:p w14:paraId="4AEF4600" w14:textId="77777777" w:rsidR="00A109F0" w:rsidRDefault="00A109F0" w:rsidP="00D462D8">
      <w:pPr>
        <w:spacing w:before="120" w:after="0"/>
        <w:rPr>
          <w:rFonts w:ascii="Times New Roman" w:hAnsi="Times New Roman" w:cs="Times New Roman"/>
        </w:rPr>
      </w:pPr>
    </w:p>
    <w:p w14:paraId="5026B21C" w14:textId="77777777" w:rsidR="00A109F0" w:rsidRPr="00D462D8" w:rsidRDefault="00A109F0" w:rsidP="00A109F0">
      <w:pPr>
        <w:spacing w:before="120" w:after="0"/>
        <w:rPr>
          <w:rFonts w:ascii="Times New Roman" w:hAnsi="Times New Roman" w:cs="Times New Roman"/>
          <w:u w:val="single"/>
        </w:rPr>
      </w:pPr>
      <w:r w:rsidRPr="00D462D8">
        <w:rPr>
          <w:rFonts w:ascii="Times New Roman" w:hAnsi="Times New Roman" w:cs="Times New Roman"/>
          <w:u w:val="single"/>
        </w:rPr>
        <w:t>Online Books</w:t>
      </w:r>
    </w:p>
    <w:p w14:paraId="562F6040" w14:textId="77777777" w:rsidR="00A109F0" w:rsidRPr="00D462D8" w:rsidRDefault="00A109F0" w:rsidP="00A109F0">
      <w:pPr>
        <w:spacing w:before="120" w:after="0"/>
        <w:rPr>
          <w:rFonts w:ascii="Times New Roman" w:hAnsi="Times New Roman" w:cs="Times New Roman"/>
        </w:rPr>
      </w:pPr>
      <w:r w:rsidRPr="00D462D8">
        <w:rPr>
          <w:rFonts w:ascii="Times New Roman" w:hAnsi="Times New Roman" w:cs="Times New Roman"/>
        </w:rPr>
        <w:t>A</w:t>
      </w:r>
      <w:r>
        <w:rPr>
          <w:rFonts w:ascii="Times New Roman" w:hAnsi="Times New Roman" w:cs="Times New Roman"/>
        </w:rPr>
        <w:t>.</w:t>
      </w:r>
      <w:r w:rsidRPr="00A109F0">
        <w:rPr>
          <w:rFonts w:ascii="Times New Roman" w:hAnsi="Times New Roman" w:cs="Times New Roman"/>
        </w:rPr>
        <w:t xml:space="preserve"> </w:t>
      </w:r>
      <w:r w:rsidRPr="00D462D8">
        <w:rPr>
          <w:rFonts w:ascii="Times New Roman" w:hAnsi="Times New Roman" w:cs="Times New Roman"/>
        </w:rPr>
        <w:t>Edwards. &amp; P. O'Neill</w:t>
      </w:r>
      <w:r>
        <w:rPr>
          <w:rFonts w:ascii="Times New Roman" w:hAnsi="Times New Roman" w:cs="Times New Roman"/>
        </w:rPr>
        <w:t>.</w:t>
      </w:r>
      <w:r w:rsidRPr="00D462D8">
        <w:rPr>
          <w:rFonts w:ascii="Times New Roman" w:hAnsi="Times New Roman" w:cs="Times New Roman"/>
        </w:rPr>
        <w:t xml:space="preserve"> (2005). The Social and Political Position of Woman in Ancient Egypt. PMLA, 120(3), 843-857. Retrieved April 20, 2020, from </w:t>
      </w:r>
      <w:hyperlink r:id="rId11" w:history="1">
        <w:r w:rsidRPr="00ED2F40">
          <w:rPr>
            <w:rStyle w:val="Hyperlink"/>
            <w:rFonts w:ascii="Times New Roman" w:hAnsi="Times New Roman" w:cs="Times New Roman"/>
          </w:rPr>
          <w:t>www.jstor.org/stable/25486220</w:t>
        </w:r>
      </w:hyperlink>
      <w:r>
        <w:rPr>
          <w:rFonts w:ascii="Times New Roman" w:hAnsi="Times New Roman" w:cs="Times New Roman"/>
        </w:rPr>
        <w:t xml:space="preserve"> </w:t>
      </w:r>
      <w:r w:rsidRPr="00D462D8">
        <w:rPr>
          <w:rFonts w:ascii="Times New Roman" w:hAnsi="Times New Roman" w:cs="Times New Roman"/>
        </w:rPr>
        <w:t>p.5</w:t>
      </w:r>
    </w:p>
    <w:p w14:paraId="0D5E7A24" w14:textId="77777777" w:rsidR="00A109F0" w:rsidRPr="00A109F0" w:rsidRDefault="00A109F0" w:rsidP="00A109F0">
      <w:pPr>
        <w:spacing w:before="120" w:after="0"/>
        <w:rPr>
          <w:rFonts w:ascii="Times New Roman" w:hAnsi="Times New Roman" w:cs="Times New Roman"/>
        </w:rPr>
      </w:pPr>
      <w:r>
        <w:rPr>
          <w:rFonts w:ascii="Times New Roman" w:hAnsi="Times New Roman" w:cs="Times New Roman"/>
        </w:rPr>
        <w:t xml:space="preserve">E. </w:t>
      </w:r>
      <w:r w:rsidRPr="00D462D8">
        <w:rPr>
          <w:rFonts w:ascii="Times New Roman" w:hAnsi="Times New Roman" w:cs="Times New Roman"/>
        </w:rPr>
        <w:t>Teeter</w:t>
      </w:r>
      <w:r>
        <w:rPr>
          <w:rFonts w:ascii="Times New Roman" w:hAnsi="Times New Roman" w:cs="Times New Roman"/>
        </w:rPr>
        <w:t xml:space="preserve">. </w:t>
      </w:r>
      <w:r w:rsidRPr="00D462D8">
        <w:rPr>
          <w:rFonts w:ascii="Times New Roman" w:hAnsi="Times New Roman" w:cs="Times New Roman"/>
        </w:rPr>
        <w:t xml:space="preserve">(2011/06/13) Religion and Ritual in Ancient Egypt, (Cambridge: University Press) p. 4 [Accessed from </w:t>
      </w:r>
      <w:hyperlink r:id="rId12" w:history="1">
        <w:r w:rsidRPr="00ED2F40">
          <w:rPr>
            <w:rStyle w:val="Hyperlink"/>
            <w:rFonts w:ascii="Times New Roman" w:hAnsi="Times New Roman" w:cs="Times New Roman"/>
          </w:rPr>
          <w:t>https://www.dawsonera.com:443/abstract/9781139229043</w:t>
        </w:r>
      </w:hyperlink>
      <w:r>
        <w:rPr>
          <w:rFonts w:ascii="Times New Roman" w:hAnsi="Times New Roman" w:cs="Times New Roman"/>
        </w:rPr>
        <w:t xml:space="preserve"> </w:t>
      </w:r>
      <w:r w:rsidRPr="00D462D8">
        <w:rPr>
          <w:rFonts w:ascii="Times New Roman" w:hAnsi="Times New Roman" w:cs="Times New Roman"/>
        </w:rPr>
        <w:t xml:space="preserve"> 22/04/20]</w:t>
      </w:r>
    </w:p>
    <w:p w14:paraId="778BAF6A" w14:textId="77777777" w:rsidR="00A109F0" w:rsidRPr="00D462D8" w:rsidRDefault="00A109F0" w:rsidP="00A109F0">
      <w:pPr>
        <w:spacing w:before="120" w:after="0"/>
        <w:rPr>
          <w:rFonts w:ascii="Times New Roman" w:hAnsi="Times New Roman" w:cs="Times New Roman"/>
        </w:rPr>
      </w:pPr>
      <w:r w:rsidRPr="00D462D8">
        <w:rPr>
          <w:rFonts w:ascii="Times New Roman" w:hAnsi="Times New Roman" w:cs="Times New Roman"/>
        </w:rPr>
        <w:t xml:space="preserve">O'Connor, D. (Jun. 1974) World Archaeology, Vol. 6, No. 1, Political Systems, London: Taylor &amp; Francis Ltd. pp. 15-38 [Accessible from </w:t>
      </w:r>
      <w:hyperlink r:id="rId13" w:history="1">
        <w:r w:rsidRPr="00ED2F40">
          <w:rPr>
            <w:rStyle w:val="Hyperlink"/>
            <w:rFonts w:ascii="Times New Roman" w:hAnsi="Times New Roman" w:cs="Times New Roman"/>
          </w:rPr>
          <w:t>https://www.jstor.org/stable/124176</w:t>
        </w:r>
      </w:hyperlink>
      <w:r>
        <w:rPr>
          <w:rFonts w:ascii="Times New Roman" w:hAnsi="Times New Roman" w:cs="Times New Roman"/>
        </w:rPr>
        <w:t xml:space="preserve"> </w:t>
      </w:r>
      <w:r w:rsidRPr="00D462D8">
        <w:rPr>
          <w:rFonts w:ascii="Times New Roman" w:hAnsi="Times New Roman" w:cs="Times New Roman"/>
        </w:rPr>
        <w:t>Accessed 19/04/20]</w:t>
      </w:r>
    </w:p>
    <w:p w14:paraId="322D3484" w14:textId="77777777" w:rsidR="00A109F0" w:rsidRDefault="00A109F0" w:rsidP="00D462D8">
      <w:pPr>
        <w:spacing w:before="120" w:after="0"/>
        <w:rPr>
          <w:rFonts w:ascii="Times New Roman" w:hAnsi="Times New Roman" w:cs="Times New Roman"/>
          <w:u w:val="single"/>
        </w:rPr>
      </w:pPr>
    </w:p>
    <w:p w14:paraId="4551D029" w14:textId="7FA657BF" w:rsidR="00D462D8" w:rsidRDefault="00D462D8" w:rsidP="00D462D8">
      <w:pPr>
        <w:spacing w:before="120" w:after="0"/>
        <w:rPr>
          <w:rFonts w:ascii="Times New Roman" w:hAnsi="Times New Roman" w:cs="Times New Roman"/>
          <w:u w:val="single"/>
        </w:rPr>
      </w:pPr>
      <w:r w:rsidRPr="00D462D8">
        <w:rPr>
          <w:rFonts w:ascii="Times New Roman" w:hAnsi="Times New Roman" w:cs="Times New Roman"/>
          <w:u w:val="single"/>
        </w:rPr>
        <w:t>Online Articles</w:t>
      </w:r>
    </w:p>
    <w:p w14:paraId="687BFA4C" w14:textId="77777777" w:rsidR="00A109F0" w:rsidRPr="00A109F0" w:rsidRDefault="00A109F0" w:rsidP="00A109F0">
      <w:pPr>
        <w:spacing w:before="120" w:after="0"/>
        <w:rPr>
          <w:rFonts w:ascii="Times New Roman" w:hAnsi="Times New Roman" w:cs="Times New Roman"/>
        </w:rPr>
      </w:pPr>
      <w:r w:rsidRPr="00A109F0">
        <w:rPr>
          <w:rFonts w:ascii="Times New Roman" w:hAnsi="Times New Roman" w:cs="Times New Roman"/>
        </w:rPr>
        <w:t>J. J. Mark. (2016, September 26). Love, Sex, and Marriage in Ancient Egypt. Ancient History Encyclopaedia. Retrieved from https://www.ancient.eu/article/934/ [Accessed 20/04/20] (second paragraph)</w:t>
      </w:r>
    </w:p>
    <w:p w14:paraId="773E1511" w14:textId="77777777" w:rsidR="00A109F0" w:rsidRPr="00A109F0" w:rsidRDefault="00A109F0" w:rsidP="00A109F0">
      <w:pPr>
        <w:spacing w:before="120" w:after="0"/>
        <w:rPr>
          <w:rFonts w:ascii="Times New Roman" w:hAnsi="Times New Roman" w:cs="Times New Roman"/>
        </w:rPr>
      </w:pPr>
      <w:r w:rsidRPr="00A109F0">
        <w:rPr>
          <w:rFonts w:ascii="Times New Roman" w:hAnsi="Times New Roman" w:cs="Times New Roman"/>
        </w:rPr>
        <w:t>J. Mark. (13 October 2016), Ancient Egyptian Government, Ancient History Encyclopaedia, from https://www.ancient.eu/Egyptian_Government/ [Accessed 19.04/20]</w:t>
      </w:r>
    </w:p>
    <w:p w14:paraId="23BB16C0" w14:textId="77777777" w:rsidR="00A109F0" w:rsidRPr="00A109F0" w:rsidRDefault="00A109F0" w:rsidP="00A109F0">
      <w:pPr>
        <w:spacing w:before="120" w:after="0"/>
        <w:rPr>
          <w:rFonts w:ascii="Times New Roman" w:hAnsi="Times New Roman" w:cs="Times New Roman"/>
        </w:rPr>
      </w:pPr>
      <w:r w:rsidRPr="00A109F0">
        <w:rPr>
          <w:rFonts w:ascii="Times New Roman" w:hAnsi="Times New Roman" w:cs="Times New Roman"/>
        </w:rPr>
        <w:t xml:space="preserve">P. Dorman &amp; M. </w:t>
      </w:r>
      <w:proofErr w:type="spellStart"/>
      <w:r w:rsidRPr="00A109F0">
        <w:rPr>
          <w:rFonts w:ascii="Times New Roman" w:hAnsi="Times New Roman" w:cs="Times New Roman"/>
        </w:rPr>
        <w:t>Drower</w:t>
      </w:r>
      <w:proofErr w:type="spellEnd"/>
      <w:r w:rsidRPr="00A109F0">
        <w:rPr>
          <w:rFonts w:ascii="Times New Roman" w:hAnsi="Times New Roman" w:cs="Times New Roman"/>
        </w:rPr>
        <w:t xml:space="preserve">. (November 19, 2019) Karnak, </w:t>
      </w:r>
      <w:proofErr w:type="spellStart"/>
      <w:r w:rsidRPr="00A109F0">
        <w:rPr>
          <w:rFonts w:ascii="Times New Roman" w:hAnsi="Times New Roman" w:cs="Times New Roman"/>
        </w:rPr>
        <w:t>Encyclopædia</w:t>
      </w:r>
      <w:proofErr w:type="spellEnd"/>
      <w:r w:rsidRPr="00A109F0">
        <w:rPr>
          <w:rFonts w:ascii="Times New Roman" w:hAnsi="Times New Roman" w:cs="Times New Roman"/>
        </w:rPr>
        <w:t xml:space="preserve"> Britannica (</w:t>
      </w:r>
      <w:proofErr w:type="spellStart"/>
      <w:r w:rsidRPr="00A109F0">
        <w:rPr>
          <w:rFonts w:ascii="Times New Roman" w:hAnsi="Times New Roman" w:cs="Times New Roman"/>
        </w:rPr>
        <w:t>Encyclopædia</w:t>
      </w:r>
      <w:proofErr w:type="spellEnd"/>
      <w:r w:rsidRPr="00A109F0">
        <w:rPr>
          <w:rFonts w:ascii="Times New Roman" w:hAnsi="Times New Roman" w:cs="Times New Roman"/>
        </w:rPr>
        <w:t xml:space="preserve"> Britannica, Inc.) Available at: https://www.britannica.com/place/Karnak  [Accessed 22/04/20]</w:t>
      </w:r>
    </w:p>
    <w:p w14:paraId="5B649B0A" w14:textId="77777777" w:rsidR="00A109F0" w:rsidRPr="00A109F0" w:rsidRDefault="00A109F0" w:rsidP="00A109F0">
      <w:pPr>
        <w:spacing w:before="120" w:after="0"/>
        <w:rPr>
          <w:rFonts w:ascii="Times New Roman" w:hAnsi="Times New Roman" w:cs="Times New Roman"/>
        </w:rPr>
      </w:pPr>
      <w:r w:rsidRPr="00A109F0">
        <w:rPr>
          <w:rFonts w:ascii="Times New Roman" w:hAnsi="Times New Roman" w:cs="Times New Roman"/>
        </w:rPr>
        <w:t xml:space="preserve">S. </w:t>
      </w:r>
      <w:proofErr w:type="spellStart"/>
      <w:r w:rsidRPr="00A109F0">
        <w:rPr>
          <w:rFonts w:ascii="Times New Roman" w:hAnsi="Times New Roman" w:cs="Times New Roman"/>
        </w:rPr>
        <w:t>Wachsmann</w:t>
      </w:r>
      <w:proofErr w:type="spellEnd"/>
      <w:r w:rsidRPr="00A109F0">
        <w:rPr>
          <w:rFonts w:ascii="Times New Roman" w:hAnsi="Times New Roman" w:cs="Times New Roman"/>
        </w:rPr>
        <w:t>. (July 9, 2018), Egyptian Ship Model Sheds Light on Bronze Age Warfare and Religion, The Iris from https://blogs.getty.edu/iris/egyptian-ship-model-sheds-light-on-bronze-age-warfare-and-religion/ [Accessed 17/04/20]</w:t>
      </w:r>
    </w:p>
    <w:p w14:paraId="3D9CBFED" w14:textId="77777777" w:rsidR="00A109F0" w:rsidRPr="00A109F0" w:rsidRDefault="00A109F0" w:rsidP="00A109F0">
      <w:pPr>
        <w:spacing w:before="120" w:after="0"/>
        <w:rPr>
          <w:rFonts w:ascii="Times New Roman" w:hAnsi="Times New Roman" w:cs="Times New Roman"/>
        </w:rPr>
      </w:pPr>
      <w:r w:rsidRPr="00A109F0">
        <w:rPr>
          <w:rFonts w:ascii="Times New Roman" w:hAnsi="Times New Roman" w:cs="Times New Roman"/>
        </w:rPr>
        <w:t xml:space="preserve">The Editors of Encyclopaedia Britannica (April 22, 2020) </w:t>
      </w:r>
      <w:proofErr w:type="spellStart"/>
      <w:r w:rsidRPr="00A109F0">
        <w:rPr>
          <w:rFonts w:ascii="Times New Roman" w:hAnsi="Times New Roman" w:cs="Times New Roman"/>
        </w:rPr>
        <w:t>Ramesseum</w:t>
      </w:r>
      <w:proofErr w:type="spellEnd"/>
      <w:r w:rsidRPr="00A109F0">
        <w:rPr>
          <w:rFonts w:ascii="Times New Roman" w:hAnsi="Times New Roman" w:cs="Times New Roman"/>
        </w:rPr>
        <w:t xml:space="preserve">, </w:t>
      </w:r>
      <w:proofErr w:type="spellStart"/>
      <w:r w:rsidRPr="00A109F0">
        <w:rPr>
          <w:rFonts w:ascii="Times New Roman" w:hAnsi="Times New Roman" w:cs="Times New Roman"/>
        </w:rPr>
        <w:t>Encyclopædia</w:t>
      </w:r>
      <w:proofErr w:type="spellEnd"/>
      <w:r w:rsidRPr="00A109F0">
        <w:rPr>
          <w:rFonts w:ascii="Times New Roman" w:hAnsi="Times New Roman" w:cs="Times New Roman"/>
        </w:rPr>
        <w:t xml:space="preserve"> Britannica (</w:t>
      </w:r>
      <w:proofErr w:type="spellStart"/>
      <w:r w:rsidRPr="00A109F0">
        <w:rPr>
          <w:rFonts w:ascii="Times New Roman" w:hAnsi="Times New Roman" w:cs="Times New Roman"/>
        </w:rPr>
        <w:t>Encyclopædia</w:t>
      </w:r>
      <w:proofErr w:type="spellEnd"/>
      <w:r w:rsidRPr="00A109F0">
        <w:rPr>
          <w:rFonts w:ascii="Times New Roman" w:hAnsi="Times New Roman" w:cs="Times New Roman"/>
        </w:rPr>
        <w:t xml:space="preserve"> Britannica, </w:t>
      </w:r>
      <w:proofErr w:type="spellStart"/>
      <w:r w:rsidRPr="00A109F0">
        <w:rPr>
          <w:rFonts w:ascii="Times New Roman" w:hAnsi="Times New Roman" w:cs="Times New Roman"/>
        </w:rPr>
        <w:t>inc.</w:t>
      </w:r>
      <w:proofErr w:type="spellEnd"/>
      <w:r w:rsidRPr="00A109F0">
        <w:rPr>
          <w:rFonts w:ascii="Times New Roman" w:hAnsi="Times New Roman" w:cs="Times New Roman"/>
        </w:rPr>
        <w:t>) Available at: https://www.britannica.com/topic/Ramesseum  [Accessed 22/04/20].</w:t>
      </w:r>
    </w:p>
    <w:p w14:paraId="417BB326" w14:textId="77777777" w:rsidR="00A109F0" w:rsidRPr="00A109F0" w:rsidRDefault="00A109F0" w:rsidP="00A109F0">
      <w:pPr>
        <w:spacing w:before="120" w:after="0"/>
        <w:rPr>
          <w:rFonts w:ascii="Times New Roman" w:hAnsi="Times New Roman" w:cs="Times New Roman"/>
        </w:rPr>
      </w:pPr>
      <w:r w:rsidRPr="00A109F0">
        <w:rPr>
          <w:rFonts w:ascii="Times New Roman" w:hAnsi="Times New Roman" w:cs="Times New Roman"/>
        </w:rPr>
        <w:lastRenderedPageBreak/>
        <w:t xml:space="preserve">The Editors of Encyclopaedia Britannica (August 26, 2015) </w:t>
      </w:r>
      <w:proofErr w:type="spellStart"/>
      <w:r w:rsidRPr="00A109F0">
        <w:rPr>
          <w:rFonts w:ascii="Times New Roman" w:hAnsi="Times New Roman" w:cs="Times New Roman"/>
        </w:rPr>
        <w:t>Madīnat</w:t>
      </w:r>
      <w:proofErr w:type="spellEnd"/>
      <w:r w:rsidRPr="00A109F0">
        <w:rPr>
          <w:rFonts w:ascii="Times New Roman" w:hAnsi="Times New Roman" w:cs="Times New Roman"/>
        </w:rPr>
        <w:t xml:space="preserve"> Habu, </w:t>
      </w:r>
      <w:proofErr w:type="spellStart"/>
      <w:r w:rsidRPr="00A109F0">
        <w:rPr>
          <w:rFonts w:ascii="Times New Roman" w:hAnsi="Times New Roman" w:cs="Times New Roman"/>
        </w:rPr>
        <w:t>Encyclopædia</w:t>
      </w:r>
      <w:proofErr w:type="spellEnd"/>
      <w:r w:rsidRPr="00A109F0">
        <w:rPr>
          <w:rFonts w:ascii="Times New Roman" w:hAnsi="Times New Roman" w:cs="Times New Roman"/>
        </w:rPr>
        <w:t xml:space="preserve"> Britannica (</w:t>
      </w:r>
      <w:proofErr w:type="spellStart"/>
      <w:r w:rsidRPr="00A109F0">
        <w:rPr>
          <w:rFonts w:ascii="Times New Roman" w:hAnsi="Times New Roman" w:cs="Times New Roman"/>
        </w:rPr>
        <w:t>Encyclopædia</w:t>
      </w:r>
      <w:proofErr w:type="spellEnd"/>
      <w:r w:rsidRPr="00A109F0">
        <w:rPr>
          <w:rFonts w:ascii="Times New Roman" w:hAnsi="Times New Roman" w:cs="Times New Roman"/>
        </w:rPr>
        <w:t xml:space="preserve"> Britannica, Inc.) Available at https://www.britannica.com/place/Madinat-Habu [Accessed 22/04/20]</w:t>
      </w:r>
    </w:p>
    <w:p w14:paraId="397C20AE" w14:textId="4194A0A8" w:rsidR="00D462D8" w:rsidRPr="00D462D8" w:rsidRDefault="00A109F0" w:rsidP="00A109F0">
      <w:pPr>
        <w:spacing w:before="120" w:after="0"/>
        <w:rPr>
          <w:rFonts w:ascii="Times New Roman" w:hAnsi="Times New Roman" w:cs="Times New Roman"/>
        </w:rPr>
      </w:pPr>
      <w:r w:rsidRPr="00A109F0">
        <w:rPr>
          <w:rFonts w:ascii="Times New Roman" w:hAnsi="Times New Roman" w:cs="Times New Roman"/>
        </w:rPr>
        <w:t>University College London (2002) Kingship in Ancient Egypt. https://www.ucl.ac.uk/museums-static/digitalegypt/ideology/king/what.html  [Accessed 22/04/20]</w:t>
      </w:r>
    </w:p>
    <w:sectPr w:rsidR="00D462D8" w:rsidRPr="00D462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0F8D90" w14:textId="77777777" w:rsidR="007334B9" w:rsidRDefault="007334B9" w:rsidP="00EC6881">
      <w:pPr>
        <w:spacing w:after="0" w:line="240" w:lineRule="auto"/>
      </w:pPr>
      <w:r>
        <w:separator/>
      </w:r>
    </w:p>
  </w:endnote>
  <w:endnote w:type="continuationSeparator" w:id="0">
    <w:p w14:paraId="43352302" w14:textId="77777777" w:rsidR="007334B9" w:rsidRDefault="007334B9" w:rsidP="00EC6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FAD806" w14:textId="77777777" w:rsidR="007334B9" w:rsidRDefault="007334B9" w:rsidP="00EC6881">
      <w:pPr>
        <w:spacing w:after="0" w:line="240" w:lineRule="auto"/>
      </w:pPr>
      <w:r>
        <w:separator/>
      </w:r>
    </w:p>
  </w:footnote>
  <w:footnote w:type="continuationSeparator" w:id="0">
    <w:p w14:paraId="57D7F3E4" w14:textId="77777777" w:rsidR="007334B9" w:rsidRDefault="007334B9" w:rsidP="00EC6881">
      <w:pPr>
        <w:spacing w:after="0" w:line="240" w:lineRule="auto"/>
      </w:pPr>
      <w:r>
        <w:continuationSeparator/>
      </w:r>
    </w:p>
  </w:footnote>
  <w:footnote w:id="1">
    <w:p w14:paraId="077249F9" w14:textId="773CF7B5" w:rsidR="00F84241" w:rsidRPr="00BE21DF" w:rsidRDefault="00F84241">
      <w:pPr>
        <w:pStyle w:val="FootnoteText"/>
        <w:rPr>
          <w:rFonts w:ascii="Times New Roman" w:hAnsi="Times New Roman" w:cs="Times New Roman"/>
        </w:rPr>
      </w:pPr>
      <w:r w:rsidRPr="00EC6881">
        <w:rPr>
          <w:rStyle w:val="FootnoteReference"/>
          <w:rFonts w:ascii="Times New Roman" w:hAnsi="Times New Roman" w:cs="Times New Roman"/>
        </w:rPr>
        <w:footnoteRef/>
      </w:r>
      <w:r w:rsidRPr="00EC6881">
        <w:rPr>
          <w:rFonts w:ascii="Times New Roman" w:hAnsi="Times New Roman" w:cs="Times New Roman"/>
        </w:rPr>
        <w:t xml:space="preserve"> </w:t>
      </w:r>
      <w:r w:rsidRPr="00BE21DF">
        <w:rPr>
          <w:rFonts w:ascii="Times New Roman" w:hAnsi="Times New Roman" w:cs="Times New Roman"/>
        </w:rPr>
        <w:t>Cioffi-Revilla, C. (2005), A Canonical Theory of Origins and Development of Social Complexity, Journal of Mathematical Sociology, 29(2): 1-21. [Accessed 17/04/20]</w:t>
      </w:r>
    </w:p>
  </w:footnote>
  <w:footnote w:id="2">
    <w:p w14:paraId="02AC4383" w14:textId="61030425" w:rsidR="00F84241" w:rsidRPr="00BE21DF" w:rsidRDefault="00F84241">
      <w:pPr>
        <w:pStyle w:val="FootnoteText"/>
        <w:rPr>
          <w:rFonts w:ascii="Times New Roman" w:hAnsi="Times New Roman" w:cs="Times New Roman"/>
        </w:rPr>
      </w:pPr>
      <w:r w:rsidRPr="00BE21DF">
        <w:rPr>
          <w:rStyle w:val="FootnoteReference"/>
          <w:rFonts w:ascii="Times New Roman" w:hAnsi="Times New Roman" w:cs="Times New Roman"/>
        </w:rPr>
        <w:footnoteRef/>
      </w:r>
      <w:r w:rsidRPr="00BE21DF">
        <w:rPr>
          <w:rFonts w:ascii="Times New Roman" w:hAnsi="Times New Roman" w:cs="Times New Roman"/>
        </w:rPr>
        <w:t xml:space="preserve"> </w:t>
      </w:r>
      <w:proofErr w:type="spellStart"/>
      <w:r w:rsidRPr="00BE21DF">
        <w:rPr>
          <w:rFonts w:ascii="Times New Roman" w:hAnsi="Times New Roman" w:cs="Times New Roman"/>
        </w:rPr>
        <w:t>Wachsmann</w:t>
      </w:r>
      <w:proofErr w:type="spellEnd"/>
      <w:r w:rsidRPr="00BE21DF">
        <w:rPr>
          <w:rFonts w:ascii="Times New Roman" w:hAnsi="Times New Roman" w:cs="Times New Roman"/>
        </w:rPr>
        <w:t>, S. (July 9, 2018), Egyptian Ship Model Sheds Light on Bronze Age Warfare and Religion, The Iris</w:t>
      </w:r>
      <w:r>
        <w:rPr>
          <w:rFonts w:ascii="Times New Roman" w:hAnsi="Times New Roman" w:cs="Times New Roman"/>
        </w:rPr>
        <w:t xml:space="preserve"> from </w:t>
      </w:r>
      <w:r w:rsidRPr="00BE21DF">
        <w:rPr>
          <w:rFonts w:ascii="Times New Roman" w:hAnsi="Times New Roman" w:cs="Times New Roman"/>
        </w:rPr>
        <w:t xml:space="preserve"> </w:t>
      </w:r>
      <w:hyperlink r:id="rId1" w:history="1">
        <w:r w:rsidRPr="00BE21DF">
          <w:rPr>
            <w:rStyle w:val="Hyperlink"/>
            <w:rFonts w:ascii="Times New Roman" w:hAnsi="Times New Roman" w:cs="Times New Roman"/>
          </w:rPr>
          <w:t>https://blogs.getty.edu/iris/egyptian-ship-model-sheds-light-on-bronze-age-warfare-and-religion/</w:t>
        </w:r>
      </w:hyperlink>
      <w:r w:rsidRPr="00BE21DF">
        <w:rPr>
          <w:rFonts w:ascii="Times New Roman" w:hAnsi="Times New Roman" w:cs="Times New Roman"/>
        </w:rPr>
        <w:t xml:space="preserve"> [Accessed 17/04/20]</w:t>
      </w:r>
    </w:p>
  </w:footnote>
  <w:footnote w:id="3">
    <w:p w14:paraId="5F65179F" w14:textId="73027CA0" w:rsidR="00F84241" w:rsidRPr="00EE1F9A" w:rsidRDefault="00F84241">
      <w:pPr>
        <w:pStyle w:val="FootnoteText"/>
        <w:rPr>
          <w:rFonts w:ascii="Times New Roman" w:hAnsi="Times New Roman" w:cs="Times New Roman"/>
        </w:rPr>
      </w:pPr>
      <w:r w:rsidRPr="00BE21DF">
        <w:rPr>
          <w:rStyle w:val="FootnoteReference"/>
          <w:rFonts w:ascii="Times New Roman" w:hAnsi="Times New Roman" w:cs="Times New Roman"/>
        </w:rPr>
        <w:footnoteRef/>
      </w:r>
      <w:r w:rsidRPr="00BE21DF">
        <w:rPr>
          <w:rFonts w:ascii="Times New Roman" w:hAnsi="Times New Roman" w:cs="Times New Roman"/>
        </w:rPr>
        <w:t xml:space="preserve"> O'Connor, D. (Jun. 1974) World Archaeology, Vol. 6, No. 1, Political Systems, London: Taylor &amp; Francis Ltd. </w:t>
      </w:r>
      <w:r w:rsidRPr="00EE1F9A">
        <w:rPr>
          <w:rFonts w:ascii="Times New Roman" w:hAnsi="Times New Roman" w:cs="Times New Roman"/>
        </w:rPr>
        <w:t xml:space="preserve">pp. 15-38 [Accessible from </w:t>
      </w:r>
      <w:hyperlink r:id="rId2" w:history="1">
        <w:r w:rsidRPr="00EE1F9A">
          <w:rPr>
            <w:rStyle w:val="Hyperlink"/>
            <w:rFonts w:ascii="Times New Roman" w:hAnsi="Times New Roman" w:cs="Times New Roman"/>
          </w:rPr>
          <w:t>https://www.jstor.org/stable/124176</w:t>
        </w:r>
      </w:hyperlink>
      <w:r w:rsidRPr="00EE1F9A">
        <w:rPr>
          <w:rFonts w:ascii="Times New Roman" w:hAnsi="Times New Roman" w:cs="Times New Roman"/>
        </w:rPr>
        <w:t xml:space="preserve"> Accessed 19/04/20]</w:t>
      </w:r>
    </w:p>
  </w:footnote>
  <w:footnote w:id="4">
    <w:p w14:paraId="575404A7" w14:textId="52C0F7EF" w:rsidR="00F84241" w:rsidRPr="00EE1F9A" w:rsidRDefault="00F84241">
      <w:pPr>
        <w:pStyle w:val="FootnoteText"/>
        <w:rPr>
          <w:rFonts w:ascii="Times New Roman" w:hAnsi="Times New Roman" w:cs="Times New Roman"/>
        </w:rPr>
      </w:pPr>
      <w:r w:rsidRPr="00EE1F9A">
        <w:rPr>
          <w:rStyle w:val="FootnoteReference"/>
          <w:rFonts w:ascii="Times New Roman" w:hAnsi="Times New Roman" w:cs="Times New Roman"/>
        </w:rPr>
        <w:footnoteRef/>
      </w:r>
      <w:r w:rsidRPr="00EE1F9A">
        <w:rPr>
          <w:rFonts w:ascii="Times New Roman" w:hAnsi="Times New Roman" w:cs="Times New Roman"/>
        </w:rPr>
        <w:t xml:space="preserve"> Mark, J. (13 October 2016), Ancient Egyptian Government, Ancient History Encyclopaedia, </w:t>
      </w:r>
      <w:r>
        <w:rPr>
          <w:rFonts w:ascii="Times New Roman" w:hAnsi="Times New Roman" w:cs="Times New Roman"/>
        </w:rPr>
        <w:t xml:space="preserve">from </w:t>
      </w:r>
      <w:hyperlink r:id="rId3" w:history="1">
        <w:r w:rsidRPr="00AA3201">
          <w:rPr>
            <w:rStyle w:val="Hyperlink"/>
            <w:rFonts w:ascii="Times New Roman" w:hAnsi="Times New Roman" w:cs="Times New Roman"/>
          </w:rPr>
          <w:t>https://www.ancient.eu/Egyptian_Government/</w:t>
        </w:r>
      </w:hyperlink>
      <w:r w:rsidRPr="00EE1F9A">
        <w:rPr>
          <w:rFonts w:ascii="Times New Roman" w:hAnsi="Times New Roman" w:cs="Times New Roman"/>
        </w:rPr>
        <w:t xml:space="preserve"> [Accessed 19.04/20]</w:t>
      </w:r>
    </w:p>
  </w:footnote>
  <w:footnote w:id="5">
    <w:p w14:paraId="3D7C3BF3" w14:textId="3F9AF6EC" w:rsidR="00F84241" w:rsidRPr="00EE1F9A" w:rsidRDefault="00F84241">
      <w:pPr>
        <w:pStyle w:val="FootnoteText"/>
        <w:rPr>
          <w:rFonts w:ascii="Times New Roman" w:hAnsi="Times New Roman" w:cs="Times New Roman"/>
        </w:rPr>
      </w:pPr>
      <w:r w:rsidRPr="00EE1F9A">
        <w:rPr>
          <w:rStyle w:val="FootnoteReference"/>
          <w:rFonts w:ascii="Times New Roman" w:hAnsi="Times New Roman" w:cs="Times New Roman"/>
        </w:rPr>
        <w:footnoteRef/>
      </w:r>
      <w:r w:rsidRPr="00EE1F9A">
        <w:rPr>
          <w:rFonts w:ascii="Times New Roman" w:hAnsi="Times New Roman" w:cs="Times New Roman"/>
        </w:rPr>
        <w:t xml:space="preserve"> O'Connor, D. </w:t>
      </w:r>
      <w:hyperlink r:id="rId4" w:history="1">
        <w:r w:rsidRPr="00EE1F9A">
          <w:rPr>
            <w:rStyle w:val="Hyperlink"/>
            <w:rFonts w:ascii="Times New Roman" w:hAnsi="Times New Roman" w:cs="Times New Roman"/>
          </w:rPr>
          <w:t>https://www.jstor.org/stable/124176</w:t>
        </w:r>
      </w:hyperlink>
      <w:r w:rsidRPr="00EE1F9A">
        <w:rPr>
          <w:rFonts w:ascii="Times New Roman" w:hAnsi="Times New Roman" w:cs="Times New Roman"/>
        </w:rPr>
        <w:t xml:space="preserve"> [Accessed 19/04/20]</w:t>
      </w:r>
    </w:p>
  </w:footnote>
  <w:footnote w:id="6">
    <w:p w14:paraId="17ABD24B" w14:textId="08AC13B2" w:rsidR="00F84241" w:rsidRPr="00A548EA" w:rsidRDefault="00F84241">
      <w:pPr>
        <w:pStyle w:val="FootnoteText"/>
        <w:rPr>
          <w:rFonts w:ascii="Times New Roman" w:hAnsi="Times New Roman" w:cs="Times New Roman"/>
        </w:rPr>
      </w:pPr>
      <w:r w:rsidRPr="00A548EA">
        <w:rPr>
          <w:rStyle w:val="FootnoteReference"/>
          <w:rFonts w:ascii="Times New Roman" w:hAnsi="Times New Roman" w:cs="Times New Roman"/>
        </w:rPr>
        <w:footnoteRef/>
      </w:r>
      <w:r w:rsidRPr="00A548EA">
        <w:rPr>
          <w:rFonts w:ascii="Times New Roman" w:hAnsi="Times New Roman" w:cs="Times New Roman"/>
        </w:rPr>
        <w:t xml:space="preserve"> One of the five Sea Peoples’ ship depictions in Ramses III’s naval battle scene. </w:t>
      </w:r>
      <w:proofErr w:type="spellStart"/>
      <w:r w:rsidRPr="00A548EA">
        <w:rPr>
          <w:rFonts w:ascii="Times New Roman" w:hAnsi="Times New Roman" w:cs="Times New Roman"/>
        </w:rPr>
        <w:t>Medinet</w:t>
      </w:r>
      <w:proofErr w:type="spellEnd"/>
      <w:r w:rsidRPr="00A548EA">
        <w:rPr>
          <w:rFonts w:ascii="Times New Roman" w:hAnsi="Times New Roman" w:cs="Times New Roman"/>
        </w:rPr>
        <w:t xml:space="preserve"> Habu. From </w:t>
      </w:r>
      <w:proofErr w:type="spellStart"/>
      <w:r w:rsidRPr="00A548EA">
        <w:rPr>
          <w:rFonts w:ascii="Times New Roman" w:hAnsi="Times New Roman" w:cs="Times New Roman"/>
        </w:rPr>
        <w:t>Wachsmann</w:t>
      </w:r>
      <w:proofErr w:type="spellEnd"/>
      <w:r w:rsidRPr="00A548EA">
        <w:rPr>
          <w:rFonts w:ascii="Times New Roman" w:hAnsi="Times New Roman" w:cs="Times New Roman"/>
        </w:rPr>
        <w:t xml:space="preserve"> 2013: 38, fig. 2.5 </w:t>
      </w:r>
      <w:r>
        <w:rPr>
          <w:rFonts w:ascii="Times New Roman" w:hAnsi="Times New Roman" w:cs="Times New Roman"/>
        </w:rPr>
        <w:t xml:space="preserve">from </w:t>
      </w:r>
      <w:hyperlink r:id="rId5" w:history="1">
        <w:r w:rsidRPr="00AA3201">
          <w:rPr>
            <w:rStyle w:val="Hyperlink"/>
            <w:rFonts w:ascii="Times New Roman" w:hAnsi="Times New Roman" w:cs="Times New Roman"/>
          </w:rPr>
          <w:t>https://blogs.getty.edu/iris/egyptian-ship-model-sheds-light-on-bronze-age-warfare-and-religion/</w:t>
        </w:r>
      </w:hyperlink>
      <w:r w:rsidRPr="00A548EA">
        <w:rPr>
          <w:rFonts w:ascii="Times New Roman" w:hAnsi="Times New Roman" w:cs="Times New Roman"/>
        </w:rPr>
        <w:t xml:space="preserve"> </w:t>
      </w:r>
    </w:p>
  </w:footnote>
  <w:footnote w:id="7">
    <w:p w14:paraId="0C677D73" w14:textId="0318D993" w:rsidR="00F84241" w:rsidRPr="00A548EA" w:rsidRDefault="00F84241">
      <w:pPr>
        <w:pStyle w:val="FootnoteText"/>
        <w:rPr>
          <w:rFonts w:ascii="Times New Roman" w:hAnsi="Times New Roman" w:cs="Times New Roman"/>
        </w:rPr>
      </w:pPr>
      <w:r w:rsidRPr="00A548EA">
        <w:rPr>
          <w:rStyle w:val="FootnoteReference"/>
          <w:rFonts w:ascii="Times New Roman" w:hAnsi="Times New Roman" w:cs="Times New Roman"/>
        </w:rPr>
        <w:footnoteRef/>
      </w:r>
      <w:r w:rsidRPr="00A548EA">
        <w:rPr>
          <w:rFonts w:ascii="Times New Roman" w:hAnsi="Times New Roman" w:cs="Times New Roman"/>
        </w:rPr>
        <w:t xml:space="preserve"> Wooden Ship-Cart Model, late 13th–early 12th century B.C. Wood with traces of paint, 5 3/16 × 15 3/16 × 2 3/16 in. Courtesy of the Petrie Museum of Egyptian Archaeology, UCL. Photo: J. Paul Getty Museum, Rebecca Vera-Martinez </w:t>
      </w:r>
      <w:r>
        <w:rPr>
          <w:rFonts w:ascii="Times New Roman" w:hAnsi="Times New Roman" w:cs="Times New Roman"/>
        </w:rPr>
        <w:t xml:space="preserve">from </w:t>
      </w:r>
      <w:hyperlink r:id="rId6" w:history="1">
        <w:r w:rsidRPr="00AA3201">
          <w:rPr>
            <w:rStyle w:val="Hyperlink"/>
            <w:rFonts w:ascii="Times New Roman" w:hAnsi="Times New Roman" w:cs="Times New Roman"/>
          </w:rPr>
          <w:t>https://blogs.getty.edu/iris/egyptian-ship-model-sheds-light-on-bronze-age-warfare-and-religion/</w:t>
        </w:r>
      </w:hyperlink>
      <w:r w:rsidRPr="00A548EA">
        <w:rPr>
          <w:rFonts w:ascii="Times New Roman" w:hAnsi="Times New Roman" w:cs="Times New Roman"/>
        </w:rPr>
        <w:t xml:space="preserve"> </w:t>
      </w:r>
    </w:p>
  </w:footnote>
  <w:footnote w:id="8">
    <w:p w14:paraId="3DD5E4AD" w14:textId="6600B921" w:rsidR="00F84241" w:rsidRPr="008E5ECA" w:rsidRDefault="00F84241">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Herodotus, (2.37)</w:t>
      </w:r>
    </w:p>
  </w:footnote>
  <w:footnote w:id="9">
    <w:p w14:paraId="57B8B27B" w14:textId="1CF7F96C" w:rsidR="00F84241" w:rsidRPr="004701B2" w:rsidRDefault="00F84241">
      <w:pPr>
        <w:pStyle w:val="FootnoteText"/>
        <w:rPr>
          <w:rFonts w:ascii="Times New Roman" w:hAnsi="Times New Roman" w:cs="Times New Roman"/>
        </w:rPr>
      </w:pPr>
      <w:r w:rsidRPr="004701B2">
        <w:rPr>
          <w:rStyle w:val="FootnoteReference"/>
          <w:rFonts w:ascii="Times New Roman" w:hAnsi="Times New Roman" w:cs="Times New Roman"/>
        </w:rPr>
        <w:footnoteRef/>
      </w:r>
      <w:r w:rsidRPr="004701B2">
        <w:rPr>
          <w:rFonts w:ascii="Times New Roman" w:hAnsi="Times New Roman" w:cs="Times New Roman"/>
        </w:rPr>
        <w:t xml:space="preserve"> Teeter, E</w:t>
      </w:r>
      <w:r>
        <w:rPr>
          <w:rFonts w:ascii="Times New Roman" w:hAnsi="Times New Roman" w:cs="Times New Roman"/>
        </w:rPr>
        <w:t>. (</w:t>
      </w:r>
      <w:r w:rsidRPr="004701B2">
        <w:rPr>
          <w:rFonts w:ascii="Times New Roman" w:hAnsi="Times New Roman" w:cs="Times New Roman"/>
        </w:rPr>
        <w:t>2011/06/13</w:t>
      </w:r>
      <w:r>
        <w:rPr>
          <w:rFonts w:ascii="Times New Roman" w:hAnsi="Times New Roman" w:cs="Times New Roman"/>
        </w:rPr>
        <w:t xml:space="preserve">) </w:t>
      </w:r>
      <w:r w:rsidRPr="004701B2">
        <w:rPr>
          <w:rFonts w:ascii="Times New Roman" w:hAnsi="Times New Roman" w:cs="Times New Roman"/>
        </w:rPr>
        <w:t>Religion and Ritual in Ancient Egypt</w:t>
      </w:r>
      <w:r>
        <w:rPr>
          <w:rFonts w:ascii="Times New Roman" w:hAnsi="Times New Roman" w:cs="Times New Roman"/>
        </w:rPr>
        <w:t xml:space="preserve">, (Cambridge: University Press) p. 4 [Accessed from </w:t>
      </w:r>
      <w:hyperlink r:id="rId7" w:history="1">
        <w:r w:rsidRPr="00ED2F40">
          <w:rPr>
            <w:rStyle w:val="Hyperlink"/>
            <w:rFonts w:ascii="Times New Roman" w:hAnsi="Times New Roman" w:cs="Times New Roman"/>
          </w:rPr>
          <w:t>https://www.dawsonera.com:443/abstract/9781139229043</w:t>
        </w:r>
      </w:hyperlink>
      <w:r>
        <w:rPr>
          <w:rFonts w:ascii="Times New Roman" w:hAnsi="Times New Roman" w:cs="Times New Roman"/>
        </w:rPr>
        <w:t xml:space="preserve"> 22/04/20]</w:t>
      </w:r>
    </w:p>
  </w:footnote>
  <w:footnote w:id="10">
    <w:p w14:paraId="7588EE95" w14:textId="138DD710" w:rsidR="00F84241" w:rsidRDefault="00F84241">
      <w:pPr>
        <w:pStyle w:val="FootnoteText"/>
      </w:pPr>
      <w:r>
        <w:rPr>
          <w:rStyle w:val="FootnoteReference"/>
        </w:rPr>
        <w:footnoteRef/>
      </w:r>
      <w:r>
        <w:t xml:space="preserve"> Teeter, E. </w:t>
      </w:r>
      <w:hyperlink r:id="rId8" w:history="1">
        <w:r w:rsidRPr="00ED2F40">
          <w:rPr>
            <w:rStyle w:val="Hyperlink"/>
          </w:rPr>
          <w:t>https://www.dawsonera.com/abstract/9781139229043</w:t>
        </w:r>
      </w:hyperlink>
      <w:r>
        <w:t xml:space="preserve"> p. 39 [Accessed 22/04/20] </w:t>
      </w:r>
    </w:p>
  </w:footnote>
  <w:footnote w:id="11">
    <w:p w14:paraId="1B0E0289" w14:textId="11D70723" w:rsidR="00F84241" w:rsidRPr="002D6CC0" w:rsidRDefault="00F84241">
      <w:pPr>
        <w:pStyle w:val="FootnoteText"/>
        <w:rPr>
          <w:rFonts w:ascii="Times New Roman" w:hAnsi="Times New Roman" w:cs="Times New Roman"/>
        </w:rPr>
      </w:pPr>
      <w:r w:rsidRPr="002D6CC0">
        <w:rPr>
          <w:rStyle w:val="FootnoteReference"/>
          <w:rFonts w:ascii="Times New Roman" w:hAnsi="Times New Roman" w:cs="Times New Roman"/>
        </w:rPr>
        <w:footnoteRef/>
      </w:r>
      <w:r w:rsidRPr="002D6CC0">
        <w:rPr>
          <w:rFonts w:ascii="Times New Roman" w:hAnsi="Times New Roman" w:cs="Times New Roman"/>
        </w:rPr>
        <w:t xml:space="preserve"> Dorman</w:t>
      </w:r>
      <w:r>
        <w:rPr>
          <w:rFonts w:ascii="Times New Roman" w:hAnsi="Times New Roman" w:cs="Times New Roman"/>
        </w:rPr>
        <w:t>, P</w:t>
      </w:r>
      <w:r w:rsidRPr="002D6CC0">
        <w:rPr>
          <w:rFonts w:ascii="Times New Roman" w:hAnsi="Times New Roman" w:cs="Times New Roman"/>
        </w:rPr>
        <w:t xml:space="preserve"> &amp; </w:t>
      </w:r>
      <w:proofErr w:type="spellStart"/>
      <w:r w:rsidRPr="002D6CC0">
        <w:rPr>
          <w:rFonts w:ascii="Times New Roman" w:hAnsi="Times New Roman" w:cs="Times New Roman"/>
        </w:rPr>
        <w:t>Drower</w:t>
      </w:r>
      <w:proofErr w:type="spellEnd"/>
      <w:r>
        <w:rPr>
          <w:rFonts w:ascii="Times New Roman" w:hAnsi="Times New Roman" w:cs="Times New Roman"/>
        </w:rPr>
        <w:t>, M. (</w:t>
      </w:r>
      <w:r w:rsidRPr="002D6CC0">
        <w:rPr>
          <w:rFonts w:ascii="Times New Roman" w:hAnsi="Times New Roman" w:cs="Times New Roman"/>
        </w:rPr>
        <w:t>November 19, 2019</w:t>
      </w:r>
      <w:r>
        <w:rPr>
          <w:rFonts w:ascii="Times New Roman" w:hAnsi="Times New Roman" w:cs="Times New Roman"/>
        </w:rPr>
        <w:t xml:space="preserve">) </w:t>
      </w:r>
      <w:r w:rsidRPr="002D6CC0">
        <w:rPr>
          <w:rFonts w:ascii="Times New Roman" w:hAnsi="Times New Roman" w:cs="Times New Roman"/>
        </w:rPr>
        <w:t>Karnak</w:t>
      </w:r>
      <w:r>
        <w:rPr>
          <w:rFonts w:ascii="Times New Roman" w:hAnsi="Times New Roman" w:cs="Times New Roman"/>
        </w:rPr>
        <w:t xml:space="preserve">, </w:t>
      </w:r>
      <w:proofErr w:type="spellStart"/>
      <w:r w:rsidRPr="002D6CC0">
        <w:rPr>
          <w:rFonts w:ascii="Times New Roman" w:hAnsi="Times New Roman" w:cs="Times New Roman"/>
        </w:rPr>
        <w:t>Encyclopædia</w:t>
      </w:r>
      <w:proofErr w:type="spellEnd"/>
      <w:r w:rsidRPr="002D6CC0">
        <w:rPr>
          <w:rFonts w:ascii="Times New Roman" w:hAnsi="Times New Roman" w:cs="Times New Roman"/>
        </w:rPr>
        <w:t xml:space="preserve"> Britannica</w:t>
      </w:r>
      <w:r>
        <w:rPr>
          <w:rFonts w:ascii="Times New Roman" w:hAnsi="Times New Roman" w:cs="Times New Roman"/>
        </w:rPr>
        <w:t xml:space="preserve"> (</w:t>
      </w:r>
      <w:proofErr w:type="spellStart"/>
      <w:r w:rsidRPr="002D6CC0">
        <w:rPr>
          <w:rFonts w:ascii="Times New Roman" w:hAnsi="Times New Roman" w:cs="Times New Roman"/>
        </w:rPr>
        <w:t>Encyclopædia</w:t>
      </w:r>
      <w:proofErr w:type="spellEnd"/>
      <w:r w:rsidRPr="002D6CC0">
        <w:rPr>
          <w:rFonts w:ascii="Times New Roman" w:hAnsi="Times New Roman" w:cs="Times New Roman"/>
        </w:rPr>
        <w:t xml:space="preserve"> Britannica</w:t>
      </w:r>
      <w:r>
        <w:rPr>
          <w:rFonts w:ascii="Times New Roman" w:hAnsi="Times New Roman" w:cs="Times New Roman"/>
        </w:rPr>
        <w:t xml:space="preserve">, Inc.) Available at: </w:t>
      </w:r>
      <w:hyperlink r:id="rId9" w:history="1">
        <w:r w:rsidRPr="00ED2F40">
          <w:rPr>
            <w:rStyle w:val="Hyperlink"/>
            <w:rFonts w:ascii="Times New Roman" w:hAnsi="Times New Roman" w:cs="Times New Roman"/>
          </w:rPr>
          <w:t>https://www.britannica.com/place/Karnak</w:t>
        </w:r>
      </w:hyperlink>
      <w:r>
        <w:rPr>
          <w:rFonts w:ascii="Times New Roman" w:hAnsi="Times New Roman" w:cs="Times New Roman"/>
        </w:rPr>
        <w:t xml:space="preserve"> [Accessed 22/04/20]</w:t>
      </w:r>
    </w:p>
  </w:footnote>
  <w:footnote w:id="12">
    <w:p w14:paraId="484DEAFE" w14:textId="30881BB4" w:rsidR="00F84241" w:rsidRPr="002D6CC0" w:rsidRDefault="00F84241">
      <w:pPr>
        <w:pStyle w:val="FootnoteText"/>
        <w:rPr>
          <w:rFonts w:ascii="Times New Roman" w:hAnsi="Times New Roman" w:cs="Times New Roman"/>
        </w:rPr>
      </w:pPr>
      <w:r w:rsidRPr="002D6CC0">
        <w:rPr>
          <w:rStyle w:val="FootnoteReference"/>
          <w:rFonts w:ascii="Times New Roman" w:hAnsi="Times New Roman" w:cs="Times New Roman"/>
        </w:rPr>
        <w:footnoteRef/>
      </w:r>
      <w:r w:rsidRPr="002D6CC0">
        <w:rPr>
          <w:rFonts w:ascii="Times New Roman" w:hAnsi="Times New Roman" w:cs="Times New Roman"/>
        </w:rPr>
        <w:t xml:space="preserve"> The Editors of Encyclopaedia Britannica</w:t>
      </w:r>
      <w:r>
        <w:rPr>
          <w:rFonts w:ascii="Times New Roman" w:hAnsi="Times New Roman" w:cs="Times New Roman"/>
        </w:rPr>
        <w:t xml:space="preserve"> (</w:t>
      </w:r>
      <w:r w:rsidRPr="002D6CC0">
        <w:rPr>
          <w:rFonts w:ascii="Times New Roman" w:hAnsi="Times New Roman" w:cs="Times New Roman"/>
        </w:rPr>
        <w:t>August 26, 2015</w:t>
      </w:r>
      <w:r>
        <w:rPr>
          <w:rFonts w:ascii="Times New Roman" w:hAnsi="Times New Roman" w:cs="Times New Roman"/>
        </w:rPr>
        <w:t xml:space="preserve">) </w:t>
      </w:r>
      <w:proofErr w:type="spellStart"/>
      <w:r w:rsidRPr="002D6CC0">
        <w:rPr>
          <w:rFonts w:ascii="Times New Roman" w:hAnsi="Times New Roman" w:cs="Times New Roman"/>
        </w:rPr>
        <w:t>Madīnat</w:t>
      </w:r>
      <w:proofErr w:type="spellEnd"/>
      <w:r w:rsidRPr="002D6CC0">
        <w:rPr>
          <w:rFonts w:ascii="Times New Roman" w:hAnsi="Times New Roman" w:cs="Times New Roman"/>
        </w:rPr>
        <w:t xml:space="preserve"> Habu</w:t>
      </w:r>
      <w:r>
        <w:rPr>
          <w:rFonts w:ascii="Times New Roman" w:hAnsi="Times New Roman" w:cs="Times New Roman"/>
        </w:rPr>
        <w:t xml:space="preserve">, </w:t>
      </w:r>
      <w:proofErr w:type="spellStart"/>
      <w:r w:rsidRPr="002D6CC0">
        <w:rPr>
          <w:rFonts w:ascii="Times New Roman" w:hAnsi="Times New Roman" w:cs="Times New Roman"/>
        </w:rPr>
        <w:t>Encyclopædia</w:t>
      </w:r>
      <w:proofErr w:type="spellEnd"/>
      <w:r w:rsidRPr="002D6CC0">
        <w:rPr>
          <w:rFonts w:ascii="Times New Roman" w:hAnsi="Times New Roman" w:cs="Times New Roman"/>
        </w:rPr>
        <w:t xml:space="preserve"> Britannica</w:t>
      </w:r>
      <w:r>
        <w:rPr>
          <w:rFonts w:ascii="Times New Roman" w:hAnsi="Times New Roman" w:cs="Times New Roman"/>
        </w:rPr>
        <w:t xml:space="preserve"> (</w:t>
      </w:r>
      <w:proofErr w:type="spellStart"/>
      <w:r w:rsidRPr="002D6CC0">
        <w:rPr>
          <w:rFonts w:ascii="Times New Roman" w:hAnsi="Times New Roman" w:cs="Times New Roman"/>
        </w:rPr>
        <w:t>Encyclopædia</w:t>
      </w:r>
      <w:proofErr w:type="spellEnd"/>
      <w:r w:rsidRPr="002D6CC0">
        <w:rPr>
          <w:rFonts w:ascii="Times New Roman" w:hAnsi="Times New Roman" w:cs="Times New Roman"/>
        </w:rPr>
        <w:t xml:space="preserve"> Britannica</w:t>
      </w:r>
      <w:r>
        <w:rPr>
          <w:rFonts w:ascii="Times New Roman" w:hAnsi="Times New Roman" w:cs="Times New Roman"/>
        </w:rPr>
        <w:t xml:space="preserve">, Inc.) Available at </w:t>
      </w:r>
      <w:hyperlink r:id="rId10" w:history="1">
        <w:r w:rsidRPr="00ED2F40">
          <w:rPr>
            <w:rStyle w:val="Hyperlink"/>
            <w:rFonts w:ascii="Times New Roman" w:hAnsi="Times New Roman" w:cs="Times New Roman"/>
          </w:rPr>
          <w:t>https://www.britannica.com/place/Madinat-Habu</w:t>
        </w:r>
      </w:hyperlink>
      <w:r>
        <w:rPr>
          <w:rFonts w:ascii="Times New Roman" w:hAnsi="Times New Roman" w:cs="Times New Roman"/>
        </w:rPr>
        <w:t xml:space="preserve"> [Accessed 22/04/20]</w:t>
      </w:r>
    </w:p>
  </w:footnote>
  <w:footnote w:id="13">
    <w:p w14:paraId="43B78403" w14:textId="72239764" w:rsidR="00F84241" w:rsidRPr="002D6CC0" w:rsidRDefault="00F84241">
      <w:pPr>
        <w:pStyle w:val="FootnoteText"/>
        <w:rPr>
          <w:rFonts w:ascii="Times New Roman" w:hAnsi="Times New Roman" w:cs="Times New Roman"/>
        </w:rPr>
      </w:pPr>
      <w:r w:rsidRPr="002D6CC0">
        <w:rPr>
          <w:rStyle w:val="FootnoteReference"/>
          <w:rFonts w:ascii="Times New Roman" w:hAnsi="Times New Roman" w:cs="Times New Roman"/>
        </w:rPr>
        <w:footnoteRef/>
      </w:r>
      <w:r w:rsidRPr="002D6CC0">
        <w:rPr>
          <w:rFonts w:ascii="Times New Roman" w:hAnsi="Times New Roman" w:cs="Times New Roman"/>
        </w:rPr>
        <w:t xml:space="preserve"> The Editors of Encyclopaedia Britannica</w:t>
      </w:r>
      <w:r>
        <w:rPr>
          <w:rFonts w:ascii="Times New Roman" w:hAnsi="Times New Roman" w:cs="Times New Roman"/>
        </w:rPr>
        <w:t xml:space="preserve"> (</w:t>
      </w:r>
      <w:r w:rsidRPr="002D6CC0">
        <w:rPr>
          <w:rFonts w:ascii="Times New Roman" w:hAnsi="Times New Roman" w:cs="Times New Roman"/>
        </w:rPr>
        <w:t>April 22, 2020</w:t>
      </w:r>
      <w:r>
        <w:rPr>
          <w:rFonts w:ascii="Times New Roman" w:hAnsi="Times New Roman" w:cs="Times New Roman"/>
        </w:rPr>
        <w:t xml:space="preserve">) </w:t>
      </w:r>
      <w:proofErr w:type="spellStart"/>
      <w:r w:rsidRPr="002D6CC0">
        <w:rPr>
          <w:rFonts w:ascii="Times New Roman" w:hAnsi="Times New Roman" w:cs="Times New Roman"/>
        </w:rPr>
        <w:t>Ramesseum</w:t>
      </w:r>
      <w:proofErr w:type="spellEnd"/>
      <w:r>
        <w:rPr>
          <w:rFonts w:ascii="Times New Roman" w:hAnsi="Times New Roman" w:cs="Times New Roman"/>
        </w:rPr>
        <w:t xml:space="preserve">, </w:t>
      </w:r>
      <w:proofErr w:type="spellStart"/>
      <w:r w:rsidRPr="002D6CC0">
        <w:rPr>
          <w:rFonts w:ascii="Times New Roman" w:hAnsi="Times New Roman" w:cs="Times New Roman"/>
        </w:rPr>
        <w:t>Encyclopædia</w:t>
      </w:r>
      <w:proofErr w:type="spellEnd"/>
      <w:r w:rsidRPr="002D6CC0">
        <w:rPr>
          <w:rFonts w:ascii="Times New Roman" w:hAnsi="Times New Roman" w:cs="Times New Roman"/>
        </w:rPr>
        <w:t xml:space="preserve"> Britannica</w:t>
      </w:r>
      <w:r>
        <w:rPr>
          <w:rFonts w:ascii="Times New Roman" w:hAnsi="Times New Roman" w:cs="Times New Roman"/>
        </w:rPr>
        <w:t xml:space="preserve"> (</w:t>
      </w:r>
      <w:proofErr w:type="spellStart"/>
      <w:r w:rsidRPr="002D6CC0">
        <w:rPr>
          <w:rFonts w:ascii="Times New Roman" w:hAnsi="Times New Roman" w:cs="Times New Roman"/>
        </w:rPr>
        <w:t>Encyclopædia</w:t>
      </w:r>
      <w:proofErr w:type="spellEnd"/>
      <w:r w:rsidRPr="002D6CC0">
        <w:rPr>
          <w:rFonts w:ascii="Times New Roman" w:hAnsi="Times New Roman" w:cs="Times New Roman"/>
        </w:rPr>
        <w:t xml:space="preserve"> Britannica, </w:t>
      </w:r>
      <w:proofErr w:type="spellStart"/>
      <w:r w:rsidRPr="002D6CC0">
        <w:rPr>
          <w:rFonts w:ascii="Times New Roman" w:hAnsi="Times New Roman" w:cs="Times New Roman"/>
        </w:rPr>
        <w:t>inc</w:t>
      </w:r>
      <w:r>
        <w:rPr>
          <w:rFonts w:ascii="Times New Roman" w:hAnsi="Times New Roman" w:cs="Times New Roman"/>
        </w:rPr>
        <w:t>.</w:t>
      </w:r>
      <w:proofErr w:type="spellEnd"/>
      <w:r>
        <w:rPr>
          <w:rFonts w:ascii="Times New Roman" w:hAnsi="Times New Roman" w:cs="Times New Roman"/>
        </w:rPr>
        <w:t xml:space="preserve">) </w:t>
      </w:r>
      <w:r w:rsidRPr="002D6CC0">
        <w:rPr>
          <w:rFonts w:ascii="Times New Roman" w:hAnsi="Times New Roman" w:cs="Times New Roman"/>
        </w:rPr>
        <w:t xml:space="preserve">Available at: </w:t>
      </w:r>
      <w:hyperlink r:id="rId11" w:history="1">
        <w:r w:rsidRPr="00ED2F40">
          <w:rPr>
            <w:rStyle w:val="Hyperlink"/>
            <w:rFonts w:ascii="Times New Roman" w:hAnsi="Times New Roman" w:cs="Times New Roman"/>
          </w:rPr>
          <w:t>https://www.britannica.com/topic/Ramesseum</w:t>
        </w:r>
      </w:hyperlink>
      <w:r>
        <w:rPr>
          <w:rFonts w:ascii="Times New Roman" w:hAnsi="Times New Roman" w:cs="Times New Roman"/>
        </w:rPr>
        <w:t xml:space="preserve"> </w:t>
      </w:r>
      <w:r w:rsidRPr="002D6CC0">
        <w:rPr>
          <w:rFonts w:ascii="Times New Roman" w:hAnsi="Times New Roman" w:cs="Times New Roman"/>
        </w:rPr>
        <w:t>[Accessed 22</w:t>
      </w:r>
      <w:r>
        <w:rPr>
          <w:rFonts w:ascii="Times New Roman" w:hAnsi="Times New Roman" w:cs="Times New Roman"/>
        </w:rPr>
        <w:t>/04/</w:t>
      </w:r>
      <w:r w:rsidRPr="002D6CC0">
        <w:rPr>
          <w:rFonts w:ascii="Times New Roman" w:hAnsi="Times New Roman" w:cs="Times New Roman"/>
        </w:rPr>
        <w:t>20].</w:t>
      </w:r>
    </w:p>
  </w:footnote>
  <w:footnote w:id="14">
    <w:p w14:paraId="1C5AEE37" w14:textId="4074DC05" w:rsidR="00F84241" w:rsidRPr="00F84241" w:rsidRDefault="00F84241">
      <w:pPr>
        <w:pStyle w:val="FootnoteText"/>
        <w:rPr>
          <w:rFonts w:ascii="Times New Roman" w:hAnsi="Times New Roman" w:cs="Times New Roman"/>
        </w:rPr>
      </w:pPr>
      <w:r w:rsidRPr="00F84241">
        <w:rPr>
          <w:rStyle w:val="FootnoteReference"/>
          <w:rFonts w:ascii="Times New Roman" w:hAnsi="Times New Roman" w:cs="Times New Roman"/>
        </w:rPr>
        <w:footnoteRef/>
      </w:r>
      <w:r w:rsidRPr="00F84241">
        <w:rPr>
          <w:rFonts w:ascii="Times New Roman" w:hAnsi="Times New Roman" w:cs="Times New Roman"/>
        </w:rPr>
        <w:t xml:space="preserve"> University College London (2002) Kingship in Ancient Egypt. </w:t>
      </w:r>
      <w:hyperlink r:id="rId12" w:history="1">
        <w:r w:rsidRPr="00F84241">
          <w:rPr>
            <w:rStyle w:val="Hyperlink"/>
            <w:rFonts w:ascii="Times New Roman" w:hAnsi="Times New Roman" w:cs="Times New Roman"/>
          </w:rPr>
          <w:t>https://www.ucl.ac.uk/museums-static/digitalegypt/ideology/king/what.html</w:t>
        </w:r>
      </w:hyperlink>
      <w:r w:rsidRPr="00F84241">
        <w:rPr>
          <w:rFonts w:ascii="Times New Roman" w:hAnsi="Times New Roman" w:cs="Times New Roman"/>
        </w:rPr>
        <w:t xml:space="preserve"> [Accessed 22/04/20]</w:t>
      </w:r>
    </w:p>
  </w:footnote>
  <w:footnote w:id="15">
    <w:p w14:paraId="7825E320" w14:textId="4143EA2D" w:rsidR="00F84241" w:rsidRDefault="00F84241">
      <w:pPr>
        <w:pStyle w:val="FootnoteText"/>
      </w:pPr>
      <w:r>
        <w:rPr>
          <w:rStyle w:val="FootnoteReference"/>
        </w:rPr>
        <w:footnoteRef/>
      </w:r>
      <w:r>
        <w:t xml:space="preserve"> </w:t>
      </w:r>
      <w:r w:rsidRPr="00F84241">
        <w:t>University College London (2002</w:t>
      </w:r>
      <w:r>
        <w:t>) [digital image]</w:t>
      </w:r>
      <w:r w:rsidRPr="00F84241">
        <w:t xml:space="preserve"> </w:t>
      </w:r>
      <w:hyperlink r:id="rId13" w:history="1">
        <w:r w:rsidRPr="00ED2F40">
          <w:rPr>
            <w:rStyle w:val="Hyperlink"/>
          </w:rPr>
          <w:t>https://www.ucl.ac.uk/museums-static/digitalegypt/ideology/king/what.html</w:t>
        </w:r>
      </w:hyperlink>
      <w:r>
        <w:t xml:space="preserve"> </w:t>
      </w:r>
      <w:r w:rsidRPr="00F84241">
        <w:t>[Accessed 22/04/20]</w:t>
      </w:r>
    </w:p>
  </w:footnote>
  <w:footnote w:id="16">
    <w:p w14:paraId="4AC247B4" w14:textId="084B22DA" w:rsidR="00F84241" w:rsidRPr="00A548EA" w:rsidRDefault="00F84241">
      <w:pPr>
        <w:pStyle w:val="FootnoteText"/>
        <w:rPr>
          <w:rFonts w:ascii="Times New Roman" w:hAnsi="Times New Roman" w:cs="Times New Roman"/>
        </w:rPr>
      </w:pPr>
      <w:r w:rsidRPr="00A548EA">
        <w:rPr>
          <w:rStyle w:val="FootnoteReference"/>
          <w:rFonts w:ascii="Times New Roman" w:hAnsi="Times New Roman" w:cs="Times New Roman"/>
        </w:rPr>
        <w:footnoteRef/>
      </w:r>
      <w:r w:rsidRPr="00A548EA">
        <w:rPr>
          <w:rFonts w:ascii="Times New Roman" w:hAnsi="Times New Roman" w:cs="Times New Roman"/>
        </w:rPr>
        <w:t xml:space="preserve"> Edwards, A., &amp; O'Neill, P. (2005). The Social and Political Position of Woman in Ancient Egypt. PMLA, 120(3), 843-857. Retrieved April 20, 2020, from </w:t>
      </w:r>
      <w:hyperlink r:id="rId14" w:history="1">
        <w:r w:rsidRPr="00AA3201">
          <w:rPr>
            <w:rStyle w:val="Hyperlink"/>
            <w:rFonts w:ascii="Times New Roman" w:hAnsi="Times New Roman" w:cs="Times New Roman"/>
          </w:rPr>
          <w:t>www.jstor.org/stable/25486220</w:t>
        </w:r>
      </w:hyperlink>
      <w:r>
        <w:rPr>
          <w:rFonts w:ascii="Times New Roman" w:hAnsi="Times New Roman" w:cs="Times New Roman"/>
        </w:rPr>
        <w:t xml:space="preserve"> p.5</w:t>
      </w:r>
    </w:p>
  </w:footnote>
  <w:footnote w:id="17">
    <w:p w14:paraId="2BE41250" w14:textId="206591CA" w:rsidR="00F84241" w:rsidRDefault="00F84241">
      <w:pPr>
        <w:pStyle w:val="FootnoteText"/>
      </w:pPr>
      <w:r>
        <w:rPr>
          <w:rStyle w:val="FootnoteReference"/>
        </w:rPr>
        <w:footnoteRef/>
      </w:r>
      <w:r>
        <w:t xml:space="preserve"> </w:t>
      </w:r>
      <w:r w:rsidRPr="00EC3329">
        <w:t xml:space="preserve">Edwards &amp; O’Neill (2005) </w:t>
      </w:r>
      <w:hyperlink r:id="rId15" w:history="1">
        <w:r w:rsidRPr="00AA3201">
          <w:rPr>
            <w:rStyle w:val="Hyperlink"/>
          </w:rPr>
          <w:t>http://www.jstor.org/stable/25486220</w:t>
        </w:r>
      </w:hyperlink>
      <w:r>
        <w:t xml:space="preserve"> </w:t>
      </w:r>
      <w:r w:rsidRPr="00EC3329">
        <w:t xml:space="preserve">p. </w:t>
      </w:r>
      <w:r>
        <w:t>11</w:t>
      </w:r>
    </w:p>
  </w:footnote>
  <w:footnote w:id="18">
    <w:p w14:paraId="7A64BE4A" w14:textId="724015A7" w:rsidR="00F84241" w:rsidRDefault="00F84241">
      <w:pPr>
        <w:pStyle w:val="FootnoteText"/>
      </w:pPr>
      <w:r w:rsidRPr="00A548EA">
        <w:rPr>
          <w:rStyle w:val="FootnoteReference"/>
          <w:rFonts w:ascii="Times New Roman" w:hAnsi="Times New Roman" w:cs="Times New Roman"/>
        </w:rPr>
        <w:footnoteRef/>
      </w:r>
      <w:r w:rsidRPr="00A548EA">
        <w:rPr>
          <w:rFonts w:ascii="Times New Roman" w:hAnsi="Times New Roman" w:cs="Times New Roman"/>
        </w:rPr>
        <w:t xml:space="preserve"> Mark, J. J. (2016, September 26). Love, Sex, and Marriage in Ancient Egypt. Ancient History Encyclopaedia. Retrieved from </w:t>
      </w:r>
      <w:hyperlink r:id="rId16" w:history="1">
        <w:r w:rsidRPr="00AA3201">
          <w:rPr>
            <w:rStyle w:val="Hyperlink"/>
            <w:rFonts w:ascii="Times New Roman" w:hAnsi="Times New Roman" w:cs="Times New Roman"/>
          </w:rPr>
          <w:t>https://www.ancient.eu/article/934/</w:t>
        </w:r>
      </w:hyperlink>
      <w:r>
        <w:rPr>
          <w:rFonts w:ascii="Times New Roman" w:hAnsi="Times New Roman" w:cs="Times New Roman"/>
        </w:rPr>
        <w:t xml:space="preserve"> [Accessed 20/04/20] (second paragraph)</w:t>
      </w:r>
    </w:p>
  </w:footnote>
  <w:footnote w:id="19">
    <w:p w14:paraId="1C942F9E" w14:textId="28CABCA7" w:rsidR="00F84241" w:rsidRDefault="00F84241">
      <w:pPr>
        <w:pStyle w:val="FootnoteText"/>
      </w:pPr>
      <w:r>
        <w:rPr>
          <w:rStyle w:val="FootnoteReference"/>
        </w:rPr>
        <w:footnoteRef/>
      </w:r>
      <w:r>
        <w:t xml:space="preserve"> </w:t>
      </w:r>
      <w:r w:rsidRPr="007314DD">
        <w:rPr>
          <w:rFonts w:ascii="Times New Roman" w:hAnsi="Times New Roman" w:cs="Times New Roman"/>
        </w:rPr>
        <w:t>Edwards</w:t>
      </w:r>
      <w:r>
        <w:rPr>
          <w:rFonts w:ascii="Times New Roman" w:hAnsi="Times New Roman" w:cs="Times New Roman"/>
        </w:rPr>
        <w:t xml:space="preserve"> &amp; O’Neill (2005) </w:t>
      </w:r>
      <w:hyperlink r:id="rId17" w:history="1">
        <w:r w:rsidRPr="00AA3201">
          <w:rPr>
            <w:rStyle w:val="Hyperlink"/>
            <w:rFonts w:ascii="Times New Roman" w:hAnsi="Times New Roman" w:cs="Times New Roman"/>
          </w:rPr>
          <w:t>http://www.jstor.org/stable/25486220</w:t>
        </w:r>
      </w:hyperlink>
      <w:r>
        <w:rPr>
          <w:rFonts w:ascii="Times New Roman" w:hAnsi="Times New Roman" w:cs="Times New Roman"/>
        </w:rPr>
        <w:t xml:space="preserve"> p. 5</w:t>
      </w:r>
    </w:p>
  </w:footnote>
  <w:footnote w:id="20">
    <w:p w14:paraId="10A784E8" w14:textId="198E2443" w:rsidR="00F84241" w:rsidRDefault="00F84241">
      <w:pPr>
        <w:pStyle w:val="FootnoteText"/>
      </w:pPr>
      <w:r>
        <w:rPr>
          <w:rStyle w:val="FootnoteReference"/>
        </w:rPr>
        <w:footnoteRef/>
      </w:r>
      <w:r>
        <w:t xml:space="preserve"> </w:t>
      </w:r>
      <w:r w:rsidRPr="007314DD">
        <w:t xml:space="preserve">Edwards &amp; O’Neill (2005) </w:t>
      </w:r>
      <w:hyperlink r:id="rId18" w:history="1">
        <w:r w:rsidRPr="00AA3201">
          <w:rPr>
            <w:rStyle w:val="Hyperlink"/>
          </w:rPr>
          <w:t>http://www.jstor.org/stable/25486220</w:t>
        </w:r>
      </w:hyperlink>
      <w:r>
        <w:t xml:space="preserve"> </w:t>
      </w:r>
      <w:r w:rsidRPr="007314DD">
        <w:t>p. 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D12EBA"/>
    <w:multiLevelType w:val="multilevel"/>
    <w:tmpl w:val="A0AA2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62D"/>
    <w:rsid w:val="000C705F"/>
    <w:rsid w:val="000F062D"/>
    <w:rsid w:val="0013255D"/>
    <w:rsid w:val="00245141"/>
    <w:rsid w:val="00261ED4"/>
    <w:rsid w:val="002B069D"/>
    <w:rsid w:val="002D6CC0"/>
    <w:rsid w:val="0034417D"/>
    <w:rsid w:val="00373D15"/>
    <w:rsid w:val="003F3831"/>
    <w:rsid w:val="00401495"/>
    <w:rsid w:val="004701B2"/>
    <w:rsid w:val="00470FEE"/>
    <w:rsid w:val="005055EB"/>
    <w:rsid w:val="00536F48"/>
    <w:rsid w:val="00584F79"/>
    <w:rsid w:val="005A5143"/>
    <w:rsid w:val="006A0423"/>
    <w:rsid w:val="006E0CA5"/>
    <w:rsid w:val="00700B5C"/>
    <w:rsid w:val="007314DD"/>
    <w:rsid w:val="007334B9"/>
    <w:rsid w:val="007603B1"/>
    <w:rsid w:val="00781FEB"/>
    <w:rsid w:val="008E5ECA"/>
    <w:rsid w:val="009362CD"/>
    <w:rsid w:val="00954F80"/>
    <w:rsid w:val="009E3A1E"/>
    <w:rsid w:val="00A109F0"/>
    <w:rsid w:val="00A548EA"/>
    <w:rsid w:val="00A8084C"/>
    <w:rsid w:val="00AC5B5F"/>
    <w:rsid w:val="00AD6C06"/>
    <w:rsid w:val="00AF2746"/>
    <w:rsid w:val="00B5272E"/>
    <w:rsid w:val="00BE21DF"/>
    <w:rsid w:val="00BE58FC"/>
    <w:rsid w:val="00C87820"/>
    <w:rsid w:val="00C904B8"/>
    <w:rsid w:val="00CD79AB"/>
    <w:rsid w:val="00D462D8"/>
    <w:rsid w:val="00D63631"/>
    <w:rsid w:val="00DB4024"/>
    <w:rsid w:val="00E22FE0"/>
    <w:rsid w:val="00EC3329"/>
    <w:rsid w:val="00EC6881"/>
    <w:rsid w:val="00EE1F9A"/>
    <w:rsid w:val="00EE3E91"/>
    <w:rsid w:val="00EF02C3"/>
    <w:rsid w:val="00F84241"/>
    <w:rsid w:val="00FA0B82"/>
    <w:rsid w:val="00FC0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2E4344"/>
  <w15:chartTrackingRefBased/>
  <w15:docId w15:val="{EC7F10F0-69B0-4CC0-A042-A20C1FA5E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C68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6881"/>
    <w:rPr>
      <w:sz w:val="20"/>
      <w:szCs w:val="20"/>
    </w:rPr>
  </w:style>
  <w:style w:type="character" w:styleId="FootnoteReference">
    <w:name w:val="footnote reference"/>
    <w:basedOn w:val="DefaultParagraphFont"/>
    <w:uiPriority w:val="99"/>
    <w:semiHidden/>
    <w:unhideWhenUsed/>
    <w:rsid w:val="00EC6881"/>
    <w:rPr>
      <w:vertAlign w:val="superscript"/>
    </w:rPr>
  </w:style>
  <w:style w:type="character" w:styleId="Hyperlink">
    <w:name w:val="Hyperlink"/>
    <w:basedOn w:val="DefaultParagraphFont"/>
    <w:uiPriority w:val="99"/>
    <w:unhideWhenUsed/>
    <w:rsid w:val="006A0423"/>
    <w:rPr>
      <w:color w:val="0563C1" w:themeColor="hyperlink"/>
      <w:u w:val="single"/>
    </w:rPr>
  </w:style>
  <w:style w:type="character" w:styleId="UnresolvedMention">
    <w:name w:val="Unresolved Mention"/>
    <w:basedOn w:val="DefaultParagraphFont"/>
    <w:uiPriority w:val="99"/>
    <w:semiHidden/>
    <w:unhideWhenUsed/>
    <w:rsid w:val="006A0423"/>
    <w:rPr>
      <w:color w:val="605E5C"/>
      <w:shd w:val="clear" w:color="auto" w:fill="E1DFDD"/>
    </w:rPr>
  </w:style>
  <w:style w:type="character" w:styleId="FollowedHyperlink">
    <w:name w:val="FollowedHyperlink"/>
    <w:basedOn w:val="DefaultParagraphFont"/>
    <w:uiPriority w:val="99"/>
    <w:semiHidden/>
    <w:unhideWhenUsed/>
    <w:rsid w:val="00A109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750915">
      <w:bodyDiv w:val="1"/>
      <w:marLeft w:val="0"/>
      <w:marRight w:val="0"/>
      <w:marTop w:val="0"/>
      <w:marBottom w:val="0"/>
      <w:divBdr>
        <w:top w:val="none" w:sz="0" w:space="0" w:color="auto"/>
        <w:left w:val="none" w:sz="0" w:space="0" w:color="auto"/>
        <w:bottom w:val="none" w:sz="0" w:space="0" w:color="auto"/>
        <w:right w:val="none" w:sz="0" w:space="0" w:color="auto"/>
      </w:divBdr>
      <w:divsChild>
        <w:div w:id="223948567">
          <w:marLeft w:val="0"/>
          <w:marRight w:val="0"/>
          <w:marTop w:val="0"/>
          <w:marBottom w:val="0"/>
          <w:divBdr>
            <w:top w:val="none" w:sz="0" w:space="0" w:color="auto"/>
            <w:left w:val="none" w:sz="0" w:space="0" w:color="auto"/>
            <w:bottom w:val="none" w:sz="0" w:space="0" w:color="auto"/>
            <w:right w:val="none" w:sz="0" w:space="0" w:color="auto"/>
          </w:divBdr>
        </w:div>
      </w:divsChild>
    </w:div>
    <w:div w:id="769812440">
      <w:bodyDiv w:val="1"/>
      <w:marLeft w:val="0"/>
      <w:marRight w:val="0"/>
      <w:marTop w:val="0"/>
      <w:marBottom w:val="0"/>
      <w:divBdr>
        <w:top w:val="none" w:sz="0" w:space="0" w:color="auto"/>
        <w:left w:val="none" w:sz="0" w:space="0" w:color="auto"/>
        <w:bottom w:val="none" w:sz="0" w:space="0" w:color="auto"/>
        <w:right w:val="none" w:sz="0" w:space="0" w:color="auto"/>
      </w:divBdr>
    </w:div>
    <w:div w:id="1353727643">
      <w:bodyDiv w:val="1"/>
      <w:marLeft w:val="0"/>
      <w:marRight w:val="0"/>
      <w:marTop w:val="0"/>
      <w:marBottom w:val="0"/>
      <w:divBdr>
        <w:top w:val="none" w:sz="0" w:space="0" w:color="auto"/>
        <w:left w:val="none" w:sz="0" w:space="0" w:color="auto"/>
        <w:bottom w:val="none" w:sz="0" w:space="0" w:color="auto"/>
        <w:right w:val="none" w:sz="0" w:space="0" w:color="auto"/>
      </w:divBdr>
    </w:div>
    <w:div w:id="1536505152">
      <w:bodyDiv w:val="1"/>
      <w:marLeft w:val="0"/>
      <w:marRight w:val="0"/>
      <w:marTop w:val="0"/>
      <w:marBottom w:val="0"/>
      <w:divBdr>
        <w:top w:val="none" w:sz="0" w:space="0" w:color="auto"/>
        <w:left w:val="none" w:sz="0" w:space="0" w:color="auto"/>
        <w:bottom w:val="none" w:sz="0" w:space="0" w:color="auto"/>
        <w:right w:val="none" w:sz="0" w:space="0" w:color="auto"/>
      </w:divBdr>
    </w:div>
    <w:div w:id="2053646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getty.edu/iris/egyptian-ship-model-sheds-light-on-bronze-age-warfare-and-religion/" TargetMode="External"/><Relationship Id="rId13" Type="http://schemas.openxmlformats.org/officeDocument/2006/relationships/hyperlink" Target="https://www.jstor.org/stable/12417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awsonera.com:443/abstract/978113922904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2548622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logs.getty.edu/iris/egyptian-ship-model-sheds-light-on-bronze-age-warfare-and-religion/" TargetMode="External"/><Relationship Id="rId4" Type="http://schemas.openxmlformats.org/officeDocument/2006/relationships/settings" Target="settings.xml"/><Relationship Id="rId9" Type="http://schemas.openxmlformats.org/officeDocument/2006/relationships/hyperlink" Target="https://www.ucl.ac.uk/museums-static/digitalegypt/ideology/king/what.html"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dawsonera.com/abstract/9781139229043" TargetMode="External"/><Relationship Id="rId13" Type="http://schemas.openxmlformats.org/officeDocument/2006/relationships/hyperlink" Target="https://www.ucl.ac.uk/museums-static/digitalegypt/ideology/king/what.html" TargetMode="External"/><Relationship Id="rId18" Type="http://schemas.openxmlformats.org/officeDocument/2006/relationships/hyperlink" Target="http://www.jstor.org/stable/25486220" TargetMode="External"/><Relationship Id="rId3" Type="http://schemas.openxmlformats.org/officeDocument/2006/relationships/hyperlink" Target="https://www.ancient.eu/Egyptian_Government/" TargetMode="External"/><Relationship Id="rId7" Type="http://schemas.openxmlformats.org/officeDocument/2006/relationships/hyperlink" Target="https://www.dawsonera.com:443/abstract/9781139229043" TargetMode="External"/><Relationship Id="rId12" Type="http://schemas.openxmlformats.org/officeDocument/2006/relationships/hyperlink" Target="https://www.ucl.ac.uk/museums-static/digitalegypt/ideology/king/what.html" TargetMode="External"/><Relationship Id="rId17" Type="http://schemas.openxmlformats.org/officeDocument/2006/relationships/hyperlink" Target="http://www.jstor.org/stable/25486220" TargetMode="External"/><Relationship Id="rId2" Type="http://schemas.openxmlformats.org/officeDocument/2006/relationships/hyperlink" Target="https://www.jstor.org/stable/124176" TargetMode="External"/><Relationship Id="rId16" Type="http://schemas.openxmlformats.org/officeDocument/2006/relationships/hyperlink" Target="https://www.ancient.eu/article/934/" TargetMode="External"/><Relationship Id="rId1" Type="http://schemas.openxmlformats.org/officeDocument/2006/relationships/hyperlink" Target="https://blogs.getty.edu/iris/egyptian-ship-model-sheds-light-on-bronze-age-warfare-and-religion/" TargetMode="External"/><Relationship Id="rId6" Type="http://schemas.openxmlformats.org/officeDocument/2006/relationships/hyperlink" Target="https://blogs.getty.edu/iris/egyptian-ship-model-sheds-light-on-bronze-age-warfare-and-religion/" TargetMode="External"/><Relationship Id="rId11" Type="http://schemas.openxmlformats.org/officeDocument/2006/relationships/hyperlink" Target="https://www.britannica.com/topic/Ramesseum" TargetMode="External"/><Relationship Id="rId5" Type="http://schemas.openxmlformats.org/officeDocument/2006/relationships/hyperlink" Target="https://blogs.getty.edu/iris/egyptian-ship-model-sheds-light-on-bronze-age-warfare-and-religion/" TargetMode="External"/><Relationship Id="rId15" Type="http://schemas.openxmlformats.org/officeDocument/2006/relationships/hyperlink" Target="http://www.jstor.org/stable/25486220" TargetMode="External"/><Relationship Id="rId10" Type="http://schemas.openxmlformats.org/officeDocument/2006/relationships/hyperlink" Target="https://www.britannica.com/place/Madinat-Habu" TargetMode="External"/><Relationship Id="rId4" Type="http://schemas.openxmlformats.org/officeDocument/2006/relationships/hyperlink" Target="https://www.jstor.org/stable/124176" TargetMode="External"/><Relationship Id="rId9" Type="http://schemas.openxmlformats.org/officeDocument/2006/relationships/hyperlink" Target="https://www.britannica.com/place/Karnak" TargetMode="External"/><Relationship Id="rId14" Type="http://schemas.openxmlformats.org/officeDocument/2006/relationships/hyperlink" Target="http://www.jstor.org/stable/254862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D08C7E-CBDF-4EBC-9DEE-B7D58CC79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5224</TotalTime>
  <Pages>6</Pages>
  <Words>2578</Words>
  <Characters>12865</Characters>
  <Application>Microsoft Office Word</Application>
  <DocSecurity>0</DocSecurity>
  <Lines>160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Jordan (1900962)</dc:creator>
  <cp:keywords/>
  <dc:description/>
  <cp:lastModifiedBy>Matthew Jordan (1900962)</cp:lastModifiedBy>
  <cp:revision>4</cp:revision>
  <dcterms:created xsi:type="dcterms:W3CDTF">2020-04-17T11:51:00Z</dcterms:created>
  <dcterms:modified xsi:type="dcterms:W3CDTF">2020-04-22T20:08:00Z</dcterms:modified>
</cp:coreProperties>
</file>