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A77002" w:rsidRDefault="00A77002">
      <w:pPr>
        <w:jc w:val="center"/>
        <w:rPr>
          <w:b/>
          <w:sz w:val="32"/>
          <w:szCs w:val="32"/>
        </w:rPr>
      </w:pPr>
    </w:p>
    <w:p w14:paraId="00000002" w14:textId="77777777" w:rsidR="00A77002" w:rsidRDefault="00A77002">
      <w:pPr>
        <w:jc w:val="center"/>
        <w:rPr>
          <w:b/>
          <w:sz w:val="32"/>
          <w:szCs w:val="32"/>
        </w:rPr>
      </w:pPr>
    </w:p>
    <w:p w14:paraId="00000003" w14:textId="77777777" w:rsidR="00A77002" w:rsidRDefault="00A77002">
      <w:pPr>
        <w:jc w:val="center"/>
        <w:rPr>
          <w:b/>
          <w:sz w:val="32"/>
          <w:szCs w:val="32"/>
        </w:rPr>
      </w:pPr>
    </w:p>
    <w:p w14:paraId="00000004" w14:textId="77777777" w:rsidR="00A77002" w:rsidRDefault="00A77002">
      <w:pPr>
        <w:jc w:val="center"/>
        <w:rPr>
          <w:b/>
          <w:sz w:val="32"/>
          <w:szCs w:val="32"/>
        </w:rPr>
      </w:pPr>
    </w:p>
    <w:p w14:paraId="00000005" w14:textId="77777777" w:rsidR="00A77002" w:rsidRDefault="00A77002">
      <w:pPr>
        <w:jc w:val="center"/>
        <w:rPr>
          <w:b/>
          <w:sz w:val="32"/>
          <w:szCs w:val="32"/>
        </w:rPr>
      </w:pPr>
    </w:p>
    <w:p w14:paraId="00000006" w14:textId="77777777" w:rsidR="00A77002" w:rsidRDefault="00A77002">
      <w:pPr>
        <w:jc w:val="center"/>
        <w:rPr>
          <w:b/>
          <w:sz w:val="32"/>
          <w:szCs w:val="32"/>
        </w:rPr>
      </w:pPr>
    </w:p>
    <w:p w14:paraId="00000007" w14:textId="77777777" w:rsidR="00A77002" w:rsidRDefault="004660FE">
      <w:pPr>
        <w:jc w:val="center"/>
        <w:rPr>
          <w:b/>
          <w:sz w:val="32"/>
          <w:szCs w:val="32"/>
        </w:rPr>
      </w:pPr>
      <w:r>
        <w:rPr>
          <w:b/>
          <w:sz w:val="32"/>
          <w:szCs w:val="32"/>
        </w:rPr>
        <w:t>Employee Engagement and Motivation</w:t>
      </w:r>
    </w:p>
    <w:p w14:paraId="30A8E56E" w14:textId="69DF191D" w:rsidR="009463FB" w:rsidRPr="009463FB" w:rsidRDefault="009463FB" w:rsidP="009463FB">
      <w:pPr>
        <w:jc w:val="center"/>
        <w:rPr>
          <w:b/>
          <w:sz w:val="32"/>
          <w:szCs w:val="32"/>
        </w:rPr>
      </w:pPr>
      <w:r>
        <w:rPr>
          <w:b/>
          <w:sz w:val="32"/>
          <w:szCs w:val="32"/>
        </w:rPr>
        <w:t>N</w:t>
      </w:r>
      <w:r w:rsidRPr="009463FB">
        <w:rPr>
          <w:b/>
          <w:sz w:val="32"/>
          <w:szCs w:val="32"/>
        </w:rPr>
        <w:t>ame</w:t>
      </w:r>
      <w:r>
        <w:rPr>
          <w:b/>
          <w:sz w:val="32"/>
          <w:szCs w:val="32"/>
        </w:rPr>
        <w:t>:</w:t>
      </w:r>
      <w:r w:rsidR="000577A4">
        <w:rPr>
          <w:b/>
          <w:sz w:val="32"/>
          <w:szCs w:val="32"/>
        </w:rPr>
        <w:t xml:space="preserve"> Victor </w:t>
      </w:r>
      <w:proofErr w:type="spellStart"/>
      <w:r w:rsidR="000577A4">
        <w:rPr>
          <w:b/>
          <w:sz w:val="32"/>
          <w:szCs w:val="32"/>
        </w:rPr>
        <w:t>Badaluta</w:t>
      </w:r>
      <w:proofErr w:type="spellEnd"/>
    </w:p>
    <w:p w14:paraId="5A767424" w14:textId="1123CE32" w:rsidR="009463FB" w:rsidRPr="009463FB" w:rsidRDefault="009463FB" w:rsidP="009463FB">
      <w:pPr>
        <w:jc w:val="center"/>
        <w:rPr>
          <w:b/>
          <w:sz w:val="32"/>
          <w:szCs w:val="32"/>
        </w:rPr>
      </w:pPr>
      <w:r w:rsidRPr="009463FB">
        <w:rPr>
          <w:b/>
          <w:sz w:val="32"/>
          <w:szCs w:val="32"/>
        </w:rPr>
        <w:t>The module title and module code</w:t>
      </w:r>
      <w:r>
        <w:rPr>
          <w:b/>
          <w:sz w:val="32"/>
          <w:szCs w:val="32"/>
        </w:rPr>
        <w:t>:</w:t>
      </w:r>
      <w:r w:rsidRPr="009463FB">
        <w:t xml:space="preserve"> </w:t>
      </w:r>
      <w:r>
        <w:t xml:space="preserve"> </w:t>
      </w:r>
      <w:r w:rsidRPr="009463FB">
        <w:rPr>
          <w:b/>
          <w:sz w:val="32"/>
          <w:szCs w:val="32"/>
        </w:rPr>
        <w:t>Personnel Resourcing and</w:t>
      </w:r>
      <w:r>
        <w:rPr>
          <w:b/>
          <w:sz w:val="32"/>
          <w:szCs w:val="32"/>
        </w:rPr>
        <w:t xml:space="preserve"> </w:t>
      </w:r>
      <w:r w:rsidRPr="009463FB">
        <w:rPr>
          <w:b/>
          <w:sz w:val="32"/>
          <w:szCs w:val="32"/>
        </w:rPr>
        <w:t>Development</w:t>
      </w:r>
      <w:r>
        <w:rPr>
          <w:b/>
          <w:sz w:val="32"/>
          <w:szCs w:val="32"/>
        </w:rPr>
        <w:t xml:space="preserve"> and </w:t>
      </w:r>
      <w:r w:rsidRPr="009463FB">
        <w:rPr>
          <w:b/>
          <w:sz w:val="32"/>
          <w:szCs w:val="32"/>
        </w:rPr>
        <w:t>BMIH5005</w:t>
      </w:r>
    </w:p>
    <w:p w14:paraId="68FA73D5" w14:textId="74DCD75D" w:rsidR="009463FB" w:rsidRDefault="009463FB" w:rsidP="009463FB">
      <w:pPr>
        <w:jc w:val="center"/>
        <w:rPr>
          <w:b/>
          <w:sz w:val="32"/>
          <w:szCs w:val="32"/>
        </w:rPr>
      </w:pPr>
      <w:r>
        <w:rPr>
          <w:b/>
          <w:sz w:val="32"/>
          <w:szCs w:val="32"/>
        </w:rPr>
        <w:t>L</w:t>
      </w:r>
      <w:r w:rsidRPr="009463FB">
        <w:rPr>
          <w:b/>
          <w:sz w:val="32"/>
          <w:szCs w:val="32"/>
        </w:rPr>
        <w:t>ecturer’s name</w:t>
      </w:r>
      <w:r>
        <w:rPr>
          <w:b/>
          <w:sz w:val="32"/>
          <w:szCs w:val="32"/>
        </w:rPr>
        <w:t>:</w:t>
      </w:r>
      <w:r w:rsidR="000577A4">
        <w:rPr>
          <w:b/>
          <w:sz w:val="32"/>
          <w:szCs w:val="32"/>
        </w:rPr>
        <w:t xml:space="preserve"> Helen Lee</w:t>
      </w:r>
      <w:bookmarkStart w:id="0" w:name="_GoBack"/>
      <w:bookmarkEnd w:id="0"/>
    </w:p>
    <w:p w14:paraId="00000008" w14:textId="77777777" w:rsidR="00A77002" w:rsidRDefault="004660FE">
      <w:pPr>
        <w:jc w:val="center"/>
      </w:pPr>
      <w:r>
        <w:br w:type="page"/>
      </w:r>
    </w:p>
    <w:bookmarkStart w:id="1" w:name="_bfbwm5s2l7b" w:colFirst="0" w:colLast="0" w:displacedByCustomXml="next"/>
    <w:bookmarkEnd w:id="1" w:displacedByCustomXml="next"/>
    <w:sdt>
      <w:sdtPr>
        <w:rPr>
          <w:rFonts w:ascii="Arial" w:eastAsia="Arial" w:hAnsi="Arial" w:cs="Arial"/>
          <w:color w:val="auto"/>
          <w:sz w:val="24"/>
          <w:szCs w:val="24"/>
          <w:lang w:val="en-GB"/>
        </w:rPr>
        <w:id w:val="-1159929627"/>
        <w:docPartObj>
          <w:docPartGallery w:val="Table of Contents"/>
          <w:docPartUnique/>
        </w:docPartObj>
      </w:sdtPr>
      <w:sdtEndPr>
        <w:rPr>
          <w:b/>
          <w:bCs/>
          <w:noProof/>
        </w:rPr>
      </w:sdtEndPr>
      <w:sdtContent>
        <w:p w14:paraId="3C93FC26" w14:textId="61BF8007" w:rsidR="0014233A" w:rsidRPr="0014233A" w:rsidRDefault="0014233A" w:rsidP="009463FB">
          <w:pPr>
            <w:pStyle w:val="a5"/>
            <w:jc w:val="center"/>
            <w:rPr>
              <w:rFonts w:ascii="Arial" w:hAnsi="Arial" w:cs="Arial"/>
              <w:b/>
              <w:bCs/>
              <w:color w:val="auto"/>
              <w:sz w:val="24"/>
              <w:szCs w:val="24"/>
            </w:rPr>
          </w:pPr>
          <w:r w:rsidRPr="0014233A">
            <w:rPr>
              <w:rFonts w:ascii="Arial" w:hAnsi="Arial" w:cs="Arial"/>
              <w:b/>
              <w:bCs/>
              <w:color w:val="auto"/>
              <w:sz w:val="24"/>
              <w:szCs w:val="24"/>
            </w:rPr>
            <w:t>Table of Contents</w:t>
          </w:r>
        </w:p>
        <w:p w14:paraId="54EF0517" w14:textId="3CF217ED" w:rsidR="0014233A" w:rsidRPr="0014233A" w:rsidRDefault="0014233A">
          <w:pPr>
            <w:pStyle w:val="10"/>
            <w:tabs>
              <w:tab w:val="right" w:leader="dot" w:pos="9019"/>
            </w:tabs>
            <w:rPr>
              <w:noProof/>
            </w:rPr>
          </w:pPr>
          <w:r w:rsidRPr="0014233A">
            <w:fldChar w:fldCharType="begin"/>
          </w:r>
          <w:r w:rsidRPr="0014233A">
            <w:instrText xml:space="preserve"> TOC \o "1-3" \h \z \u </w:instrText>
          </w:r>
          <w:r w:rsidRPr="0014233A">
            <w:fldChar w:fldCharType="separate"/>
          </w:r>
          <w:hyperlink w:anchor="_Toc148118981" w:history="1">
            <w:r w:rsidRPr="0014233A">
              <w:rPr>
                <w:rStyle w:val="a6"/>
                <w:noProof/>
                <w:color w:val="auto"/>
              </w:rPr>
              <w:t>Introduction</w:t>
            </w:r>
            <w:r w:rsidRPr="0014233A">
              <w:rPr>
                <w:noProof/>
                <w:webHidden/>
              </w:rPr>
              <w:tab/>
            </w:r>
            <w:r w:rsidRPr="0014233A">
              <w:rPr>
                <w:noProof/>
                <w:webHidden/>
              </w:rPr>
              <w:fldChar w:fldCharType="begin"/>
            </w:r>
            <w:r w:rsidRPr="0014233A">
              <w:rPr>
                <w:noProof/>
                <w:webHidden/>
              </w:rPr>
              <w:instrText xml:space="preserve"> PAGEREF _Toc148118981 \h </w:instrText>
            </w:r>
            <w:r w:rsidRPr="0014233A">
              <w:rPr>
                <w:noProof/>
                <w:webHidden/>
              </w:rPr>
            </w:r>
            <w:r w:rsidRPr="0014233A">
              <w:rPr>
                <w:noProof/>
                <w:webHidden/>
              </w:rPr>
              <w:fldChar w:fldCharType="separate"/>
            </w:r>
            <w:r>
              <w:rPr>
                <w:noProof/>
                <w:webHidden/>
              </w:rPr>
              <w:t>2</w:t>
            </w:r>
            <w:r w:rsidRPr="0014233A">
              <w:rPr>
                <w:noProof/>
                <w:webHidden/>
              </w:rPr>
              <w:fldChar w:fldCharType="end"/>
            </w:r>
          </w:hyperlink>
        </w:p>
        <w:p w14:paraId="70A32B5A" w14:textId="65A2D7BF" w:rsidR="0014233A" w:rsidRPr="0014233A" w:rsidRDefault="004660FE">
          <w:pPr>
            <w:pStyle w:val="10"/>
            <w:tabs>
              <w:tab w:val="right" w:leader="dot" w:pos="9019"/>
            </w:tabs>
            <w:rPr>
              <w:noProof/>
            </w:rPr>
          </w:pPr>
          <w:hyperlink w:anchor="_Toc148118982" w:history="1">
            <w:r w:rsidR="0014233A" w:rsidRPr="0014233A">
              <w:rPr>
                <w:rStyle w:val="a6"/>
                <w:noProof/>
                <w:color w:val="auto"/>
              </w:rPr>
              <w:t>Main Body</w:t>
            </w:r>
            <w:r w:rsidR="0014233A" w:rsidRPr="0014233A">
              <w:rPr>
                <w:noProof/>
                <w:webHidden/>
              </w:rPr>
              <w:tab/>
            </w:r>
            <w:r w:rsidR="0014233A" w:rsidRPr="0014233A">
              <w:rPr>
                <w:noProof/>
                <w:webHidden/>
              </w:rPr>
              <w:fldChar w:fldCharType="begin"/>
            </w:r>
            <w:r w:rsidR="0014233A" w:rsidRPr="0014233A">
              <w:rPr>
                <w:noProof/>
                <w:webHidden/>
              </w:rPr>
              <w:instrText xml:space="preserve"> PAGEREF _Toc148118982 \h </w:instrText>
            </w:r>
            <w:r w:rsidR="0014233A" w:rsidRPr="0014233A">
              <w:rPr>
                <w:noProof/>
                <w:webHidden/>
              </w:rPr>
            </w:r>
            <w:r w:rsidR="0014233A" w:rsidRPr="0014233A">
              <w:rPr>
                <w:noProof/>
                <w:webHidden/>
              </w:rPr>
              <w:fldChar w:fldCharType="separate"/>
            </w:r>
            <w:r w:rsidR="0014233A">
              <w:rPr>
                <w:noProof/>
                <w:webHidden/>
              </w:rPr>
              <w:t>2</w:t>
            </w:r>
            <w:r w:rsidR="0014233A" w:rsidRPr="0014233A">
              <w:rPr>
                <w:noProof/>
                <w:webHidden/>
              </w:rPr>
              <w:fldChar w:fldCharType="end"/>
            </w:r>
          </w:hyperlink>
        </w:p>
        <w:p w14:paraId="3EC32065" w14:textId="1574E467" w:rsidR="0014233A" w:rsidRPr="0014233A" w:rsidRDefault="004660FE">
          <w:pPr>
            <w:pStyle w:val="10"/>
            <w:tabs>
              <w:tab w:val="right" w:leader="dot" w:pos="9019"/>
            </w:tabs>
            <w:rPr>
              <w:noProof/>
            </w:rPr>
          </w:pPr>
          <w:hyperlink w:anchor="_Toc148118983" w:history="1">
            <w:r w:rsidR="0014233A" w:rsidRPr="0014233A">
              <w:rPr>
                <w:rStyle w:val="a6"/>
                <w:noProof/>
                <w:color w:val="auto"/>
              </w:rPr>
              <w:t>Conclusion</w:t>
            </w:r>
            <w:r w:rsidR="0014233A" w:rsidRPr="0014233A">
              <w:rPr>
                <w:noProof/>
                <w:webHidden/>
              </w:rPr>
              <w:tab/>
            </w:r>
            <w:r w:rsidR="0014233A" w:rsidRPr="0014233A">
              <w:rPr>
                <w:noProof/>
                <w:webHidden/>
              </w:rPr>
              <w:fldChar w:fldCharType="begin"/>
            </w:r>
            <w:r w:rsidR="0014233A" w:rsidRPr="0014233A">
              <w:rPr>
                <w:noProof/>
                <w:webHidden/>
              </w:rPr>
              <w:instrText xml:space="preserve"> PAGEREF _Toc148118983 \h </w:instrText>
            </w:r>
            <w:r w:rsidR="0014233A" w:rsidRPr="0014233A">
              <w:rPr>
                <w:noProof/>
                <w:webHidden/>
              </w:rPr>
            </w:r>
            <w:r w:rsidR="0014233A" w:rsidRPr="0014233A">
              <w:rPr>
                <w:noProof/>
                <w:webHidden/>
              </w:rPr>
              <w:fldChar w:fldCharType="separate"/>
            </w:r>
            <w:r w:rsidR="0014233A">
              <w:rPr>
                <w:noProof/>
                <w:webHidden/>
              </w:rPr>
              <w:t>7</w:t>
            </w:r>
            <w:r w:rsidR="0014233A" w:rsidRPr="0014233A">
              <w:rPr>
                <w:noProof/>
                <w:webHidden/>
              </w:rPr>
              <w:fldChar w:fldCharType="end"/>
            </w:r>
          </w:hyperlink>
        </w:p>
        <w:p w14:paraId="143D18C5" w14:textId="492B3C58" w:rsidR="0014233A" w:rsidRDefault="004660FE" w:rsidP="0014233A">
          <w:pPr>
            <w:pStyle w:val="10"/>
            <w:tabs>
              <w:tab w:val="right" w:leader="dot" w:pos="9019"/>
            </w:tabs>
          </w:pPr>
          <w:hyperlink w:anchor="_Toc148118984" w:history="1">
            <w:r w:rsidR="0014233A" w:rsidRPr="0014233A">
              <w:rPr>
                <w:rStyle w:val="a6"/>
                <w:noProof/>
                <w:color w:val="auto"/>
              </w:rPr>
              <w:t>References</w:t>
            </w:r>
            <w:r w:rsidR="0014233A" w:rsidRPr="0014233A">
              <w:rPr>
                <w:noProof/>
                <w:webHidden/>
              </w:rPr>
              <w:tab/>
            </w:r>
            <w:r w:rsidR="0014233A" w:rsidRPr="0014233A">
              <w:rPr>
                <w:noProof/>
                <w:webHidden/>
              </w:rPr>
              <w:fldChar w:fldCharType="begin"/>
            </w:r>
            <w:r w:rsidR="0014233A" w:rsidRPr="0014233A">
              <w:rPr>
                <w:noProof/>
                <w:webHidden/>
              </w:rPr>
              <w:instrText xml:space="preserve"> PAGEREF _Toc148118984 \h </w:instrText>
            </w:r>
            <w:r w:rsidR="0014233A" w:rsidRPr="0014233A">
              <w:rPr>
                <w:noProof/>
                <w:webHidden/>
              </w:rPr>
            </w:r>
            <w:r w:rsidR="0014233A" w:rsidRPr="0014233A">
              <w:rPr>
                <w:noProof/>
                <w:webHidden/>
              </w:rPr>
              <w:fldChar w:fldCharType="separate"/>
            </w:r>
            <w:r w:rsidR="0014233A">
              <w:rPr>
                <w:noProof/>
                <w:webHidden/>
              </w:rPr>
              <w:t>9</w:t>
            </w:r>
            <w:r w:rsidR="0014233A" w:rsidRPr="0014233A">
              <w:rPr>
                <w:noProof/>
                <w:webHidden/>
              </w:rPr>
              <w:fldChar w:fldCharType="end"/>
            </w:r>
          </w:hyperlink>
          <w:r w:rsidR="0014233A" w:rsidRPr="0014233A">
            <w:rPr>
              <w:noProof/>
            </w:rPr>
            <w:fldChar w:fldCharType="end"/>
          </w:r>
        </w:p>
      </w:sdtContent>
    </w:sdt>
    <w:p w14:paraId="4B4AB9A9" w14:textId="77777777" w:rsidR="0014233A" w:rsidRDefault="0014233A">
      <w:pPr>
        <w:rPr>
          <w:b/>
        </w:rPr>
      </w:pPr>
      <w:bookmarkStart w:id="2" w:name="_Toc148118981"/>
      <w:r>
        <w:br w:type="page"/>
      </w:r>
    </w:p>
    <w:p w14:paraId="00000009" w14:textId="04A1B934" w:rsidR="00A77002" w:rsidRDefault="004660FE">
      <w:pPr>
        <w:pStyle w:val="1"/>
      </w:pPr>
      <w:r>
        <w:lastRenderedPageBreak/>
        <w:t>Introduction</w:t>
      </w:r>
      <w:bookmarkEnd w:id="2"/>
    </w:p>
    <w:p w14:paraId="0000000A" w14:textId="77777777" w:rsidR="00A77002" w:rsidRDefault="004660FE">
      <w:r>
        <w:t xml:space="preserve">In </w:t>
      </w:r>
      <w:r>
        <w:t>today's cutthroat corporate environment, employee engagement is a key component of organisational success. It goes beyond regular job satisfaction to encompass a strong connection between employees and their organisations. This essay focuses on effective e</w:t>
      </w:r>
      <w:r>
        <w:t>mployee engagement strategies, focusing on Generation Y and Generation Z, two significant generational cohorts in the modern workforce. An important factor in raising employee engagement is human resources or HR. Understanding these generations' distinctiv</w:t>
      </w:r>
      <w:r>
        <w:t>e characteristics, such as the need for meaningful jobs, a preference for tech-driven communication, and a desire for personal advancement, is crucial in order to engage them. Customised engagement activities are possible at many points of the employee lif</w:t>
      </w:r>
      <w:r>
        <w:t>ecycle, including as recruitment, onboarding, training, retention, and separation (</w:t>
      </w:r>
      <w:proofErr w:type="spellStart"/>
      <w:r>
        <w:t>Gladka</w:t>
      </w:r>
      <w:proofErr w:type="spellEnd"/>
      <w:r>
        <w:t xml:space="preserve"> </w:t>
      </w:r>
      <w:r>
        <w:rPr>
          <w:i/>
        </w:rPr>
        <w:t xml:space="preserve">et al. </w:t>
      </w:r>
      <w:r>
        <w:t>2022). With the help of these strategies, employees become more committed and driven, which raises output and lowers attrition rates. Effective engagement stra</w:t>
      </w:r>
      <w:r>
        <w:t>tegies are illustrated using real-world hotel business scenarios, highlighting the benefits of these approaches. The Ritz London Hotel is used as a practical example in this essay to demonstrate excellent engagement tactics in the hotel business. The selec</w:t>
      </w:r>
      <w:r>
        <w:t xml:space="preserve">ted hotel represents best practices and demonstrates the value of these approaches in real-world circumstances. Furthermore, the essay presents an adaptable model of employee engagement for real-world implementation, stressing the importance of methodical </w:t>
      </w:r>
      <w:r>
        <w:t>measurement and evaluation. This essay concludes by providing a thorough analysis of employee engagement, highlighting the need to develop commitment throughout the employee lifecycle and concentrating on Generations Y and Z. Organizations that wish to pro</w:t>
      </w:r>
      <w:r>
        <w:t>sper in the cutthroat commercial world of today must undertake such activities.</w:t>
      </w:r>
    </w:p>
    <w:p w14:paraId="0000000B" w14:textId="77777777" w:rsidR="00A77002" w:rsidRDefault="004660FE">
      <w:pPr>
        <w:pStyle w:val="1"/>
      </w:pPr>
      <w:bookmarkStart w:id="3" w:name="_35yuul29jf2x" w:colFirst="0" w:colLast="0"/>
      <w:bookmarkStart w:id="4" w:name="_Toc148118982"/>
      <w:bookmarkEnd w:id="3"/>
      <w:r>
        <w:t>Main Body</w:t>
      </w:r>
      <w:bookmarkEnd w:id="4"/>
    </w:p>
    <w:p w14:paraId="0000000C" w14:textId="57D64D33" w:rsidR="00A77002" w:rsidRDefault="004660FE">
      <w:r>
        <w:t>The cornerstone of any organization's workforce management is human resources, and as organizational dynamics have changed in the modern period, HR's job has expanded</w:t>
      </w:r>
      <w:r>
        <w:t xml:space="preserve"> significantly to include engaging employees from Generation Y and Z. This section examines the growing function of human resources in modern organizations, emphasizing its critical role in employee engagement while also discussing the problems and opportu</w:t>
      </w:r>
      <w:r>
        <w:t xml:space="preserve">nities associated with engaging Generation Y </w:t>
      </w:r>
      <w:r>
        <w:lastRenderedPageBreak/>
        <w:t>and Z. Human resources has evolved from a largely administrative function to a strategic partner within enterprises. It is now deeply involved in developing company strategies and culture, rather than just handl</w:t>
      </w:r>
      <w:r>
        <w:t>ing personnel data and processing payments. A common HR framework presented is the Ulrich Model, which highlights HR's role in producing value for firms by becoming a strategic partner, administrative expert, employee champion and change agent (</w:t>
      </w:r>
      <w:proofErr w:type="spellStart"/>
      <w:r>
        <w:t>Cayrat</w:t>
      </w:r>
      <w:proofErr w:type="spellEnd"/>
      <w:r>
        <w:t xml:space="preserve"> and </w:t>
      </w:r>
      <w:r>
        <w:t>Boxall, 2023). Real-world examples, such as The Ritz London Hotel, demonstrate how HR, as a strategic partner, is critical in establishing an organization's culture, supporting employee growth, and assuring alignment with broader company objectives. It has</w:t>
      </w:r>
      <w:r>
        <w:t xml:space="preserve"> evolved from its traditional duty of handling personnel data and processing payments to a driver of organizational success and innovation. HR plays a vital role in defining an organization's culture, promoting employee growth and ensuring alignment with b</w:t>
      </w:r>
      <w:r>
        <w:t xml:space="preserve">roader business objectives in this capacity. It is more than just a service provider; it is a catalyst for organizational success and </w:t>
      </w:r>
      <w:r w:rsidR="0014233A">
        <w:t>innovation.</w:t>
      </w:r>
      <w:r>
        <w:t xml:space="preserve"> Employee involvement is critical for improving organizational performance and efficiency. HR, as the steward o</w:t>
      </w:r>
      <w:r>
        <w:t>f employee experiences, is critical to facilitating engagement. Employee engagement is not a one-size-fits-all strategy; it necessitates adjusting tactics to satisfy the preferences of various generations, especially Generation Y or Millennials and Generat</w:t>
      </w:r>
      <w:r>
        <w:t>ion Z (Munir and Siddiqui, 2023). To build an engaging workplace, HR managers must grasp these generations' beliefs and expectations. According to Herzberg's Two-Factor Theory, HR can influence both hygiene factors are job components such as remuneration a</w:t>
      </w:r>
      <w:r>
        <w:t>nd working conditions and motivators are factors that drive pleasure and engagement such as recognition and growth chances (</w:t>
      </w:r>
      <w:proofErr w:type="spellStart"/>
      <w:r>
        <w:t>Ihensekien</w:t>
      </w:r>
      <w:proofErr w:type="spellEnd"/>
      <w:r>
        <w:t xml:space="preserve"> and Joel, 2023). HR's tasks include developing salary packages, career development programs and recognition systems that </w:t>
      </w:r>
      <w:r>
        <w:t xml:space="preserve">reflect Generation Y and Z's distinct desires. Human resource management faces both challenges and opportunities when it comes to engaging Generation Y and Z. Addressing their inclination for flexible work arrangements, their expectations for rapid career </w:t>
      </w:r>
      <w:r>
        <w:t>advancement and their demand for continual learning and development are all challenges (</w:t>
      </w:r>
      <w:proofErr w:type="spellStart"/>
      <w:r>
        <w:t>Burawat</w:t>
      </w:r>
      <w:proofErr w:type="spellEnd"/>
      <w:r>
        <w:t>, 2023). HR must devise solutions to address these demands while adhering to the organization's broader goals. However, these generations bring with them new opp</w:t>
      </w:r>
      <w:r>
        <w:t xml:space="preserve">ortunities. Their technological prowess can be used to develop novel HR practices such as digital onboarding processes and mobile-friendly learning platforms. Their desire for meaningful employment is consistent with the </w:t>
      </w:r>
      <w:r>
        <w:lastRenderedPageBreak/>
        <w:t xml:space="preserve">current trend toward more socially </w:t>
      </w:r>
      <w:r>
        <w:t>responsible corporations. Finally, the role of human resources in engaging employees, particularly Generation Y and Z, has evolved from a purely administrative function to a strategic and value-creating partner. Understanding the distinct features and pref</w:t>
      </w:r>
      <w:r>
        <w:t>erences of different generations allows HR to develop targeted engagement strategies to solve the difficulties and capitalize on the possibilities they bring, eventually leading to improved organizational performance and competitiveness.</w:t>
      </w:r>
    </w:p>
    <w:p w14:paraId="0000000D" w14:textId="77777777" w:rsidR="00A77002" w:rsidRDefault="004660FE">
      <w:r>
        <w:t>Generation Y, also</w:t>
      </w:r>
      <w:r>
        <w:t xml:space="preserve"> known as Millennials, is a substantial demographic generation born between 1980 and 1996, and its individual qualities have a considerable impact on their job expectations and desires (Dixit, 2023). These professionals have an intrinsic ability to harness</w:t>
      </w:r>
      <w:r>
        <w:t xml:space="preserve"> technology efficiently, creating a synergy with HRM practices by implementing digital technologies to improve communication, collaboration, and task management in the workplace. Millennials choose companies that represent their values and offer opportunit</w:t>
      </w:r>
      <w:r>
        <w:t xml:space="preserve">ies for personal growth (Delgado </w:t>
      </w:r>
      <w:r>
        <w:rPr>
          <w:i/>
        </w:rPr>
        <w:t>et al.,</w:t>
      </w:r>
      <w:r>
        <w:t xml:space="preserve"> 2020). Furthermore, Millennials' desire for personal and professional development aligns with HRM's role in providing opportunities for skill enhancement, mentoring programs, and clear career progression pathways, a</w:t>
      </w:r>
      <w:r>
        <w:t>s individuals seek to meet their psychological needs for competence and relatedness, as defined by the Self-Determination Theory (Botte et al. 2020). Their proclivity for collaboration and teamwork promotes HRM's emphasis on building a pleasant working env</w:t>
      </w:r>
      <w:r>
        <w:t>ironment, sticking to the theory's principles by cultivating an environment that meets Millennials' demand for autonomy and connectedness. Therefore, HR strategies should be in line with the preferences and demands of Millennials in order to effectively en</w:t>
      </w:r>
      <w:r>
        <w:t>gage and retain them (Armstrong and Taylor, 2020). This entails incorporating digital technologies into work processes, enabling flexible work arrangements, establishing clear career routes, and developing a collaborative and communicative work atmosphere.</w:t>
      </w:r>
      <w:r>
        <w:t xml:space="preserve"> Such initiatives can result in a more engaged and motivated Millennial workforce.</w:t>
      </w:r>
    </w:p>
    <w:p w14:paraId="0000000E" w14:textId="77777777" w:rsidR="00A77002" w:rsidRDefault="004660FE">
      <w:r>
        <w:t>Employee engagement is a key undertaking that provides several benefits to organizations. To get a highly engaged workforce, a range of approaches and strategies must be use</w:t>
      </w:r>
      <w:r>
        <w:t xml:space="preserve">d. Companies can apply a variety of techniques to effectively engage employees, such as building a healthy workplace culture that promotes open communication, collaboration and appreciation (Shrm.org, 2023). Another important </w:t>
      </w:r>
      <w:r>
        <w:lastRenderedPageBreak/>
        <w:t>part of involvement is providi</w:t>
      </w:r>
      <w:r>
        <w:t xml:space="preserve">ng opportunities for skill development and career growth. Furthermore, providing a good work-life balance and flexible working hours can improve employee well-being and motivation (Maharani </w:t>
      </w:r>
      <w:r>
        <w:rPr>
          <w:i/>
        </w:rPr>
        <w:t xml:space="preserve">et al. </w:t>
      </w:r>
      <w:r>
        <w:t>2020). Employers can engage staff members by involving them</w:t>
      </w:r>
      <w:r>
        <w:t xml:space="preserve"> in decision-making and asking for their opinions on important problems. The benefits of having a highly engaged staff are numerous. Increased productivity is one of the most significant advantages. Employees who are engaged are more than merely obedient; </w:t>
      </w:r>
      <w:r>
        <w:t xml:space="preserve">they are emotionally linked to their work and the goals of the firm. Improving employee engagement goes beyond simply increasing productivity. While it is true that firms with high levels of engagement report a 22% increase in productivity, according to a </w:t>
      </w:r>
      <w:r>
        <w:t>recent meta-analysis of 1.4 million employees conducted by the Gallup Organization, the benefits of enhancing engagement extend beyond productivity gains. (Hbr.org, 2023) This emotional investment leads to increased productivity, with engaged individuals f</w:t>
      </w:r>
      <w:r>
        <w:t>requently outperforming less-involved rivals by a large margin. Another significant advantage is that turnover is reduced. Organizations might incur significant costs as a result of high turnover rates, both in terms of recruitment costs and the loss of ke</w:t>
      </w:r>
      <w:r>
        <w:t>y institutional knowledge. Employees who are engaged tend to stay with their employers longer, resulting in lower turnover rates and significant cost savings. Several organizations in the United Kingdom are good examples of successful employee engagement.</w:t>
      </w:r>
      <w:r>
        <w:rPr>
          <w:i/>
        </w:rPr>
        <w:t xml:space="preserve"> </w:t>
      </w:r>
      <w:r>
        <w:t>For example,</w:t>
      </w:r>
      <w:r>
        <w:rPr>
          <w:i/>
        </w:rPr>
        <w:t xml:space="preserve"> </w:t>
      </w:r>
      <w:r>
        <w:t>The John Lewis Partnership, the UK's largest employee-owned business, boasts impressive figures, with total trading sales exceeding £12.3 billion and a workforce of 80,000 Partners (Johnlewispartnership.co.uk, 2023). This unique structure, com</w:t>
      </w:r>
      <w:r>
        <w:t>plemented by profit-sharing systems, cultivates a profound sense of ownership and accountability among employees. Consequently, the organization consistently reports remarkably high levels of engagement. This commitment transcends the workplace and is refl</w:t>
      </w:r>
      <w:r>
        <w:t>ected in outstanding external performance. John Lewis consistently outperforms competitors, excelling in customer satisfaction and profitability. Recently, the John Lewis Partnership secured the coveted top spot in the Employee Ownership Top 50 largest bus</w:t>
      </w:r>
      <w:r>
        <w:t>inesses list, reaffirming its exceptional dedication to and success in employee engagement (Johnlewispartnership.co.uk, 2023).</w:t>
      </w:r>
    </w:p>
    <w:p w14:paraId="0000000F" w14:textId="77777777" w:rsidR="00A77002" w:rsidRDefault="004660FE">
      <w:r>
        <w:t>Similarly, Unilever UK, a major consumer goods corporation, is dedicated to sustainability and social responsibility, ideals that</w:t>
      </w:r>
      <w:r>
        <w:t xml:space="preserve"> many of its employees share. </w:t>
      </w:r>
      <w:r>
        <w:lastRenderedPageBreak/>
        <w:t>Unilever has witnessed a huge increase in employee engagement in sustainability programs, which has benefited both its environmental efforts and financial success. In 2022, 82% of office employee survey respondents agreed Unil</w:t>
      </w:r>
      <w:r>
        <w:t xml:space="preserve">ever cares about their well-being, with 84% of factory employee survey respondents confirming the same (Unilever.com, 2023). Finally, engaging people through diverse means and strategies is critical to corporate success. The benefits, which include higher </w:t>
      </w:r>
      <w:r>
        <w:t>productivity and lower turnover, are enormous. Companies such as Google and Zappos demonstrate how good employee engagement can result in not only a motivated and contented workforce but also improved business performance.</w:t>
      </w:r>
    </w:p>
    <w:p w14:paraId="00000010" w14:textId="77777777" w:rsidR="00A77002" w:rsidRDefault="004660FE">
      <w:r>
        <w:t>The employment lifetime for Gener</w:t>
      </w:r>
      <w:r>
        <w:t>ation Y is a multidimensional journey that is critical for effectively engaging and managing these tech-savvy employees. At the attraction stage, organizations must stress their dedication to purpose-driven work, flexibility and personal growth opportuniti</w:t>
      </w:r>
      <w:r>
        <w:t>es in their employer branding, reaching this audience through digital media (Cattermole, 2019). Streamlined digital application processes, clear communication of career growth opportunities and the promotion of a dynamic and inclusive work culture are crit</w:t>
      </w:r>
      <w:r>
        <w:t>ical during the recruitment phase. It is critical to emphasize diversity, technological innovation and mentorship possibilities. To help new employees adjust quickly, the onboarding process must be thorough, including individualized orientation, technologi</w:t>
      </w:r>
      <w:r>
        <w:t>cal training and mentor introductions. Employee development programs must fit with these generations' ambitions, providing chances for ongoing learning and skill diversity. To create loyalty, retention methods should focus on rewarding accomplishments, giv</w:t>
      </w:r>
      <w:r>
        <w:t>ing clear career progression paths and fostering a culture of feedback and inclusivity. Finally, the Separation phase, when it comes to employee exits, professionalism and exit interviews can provide useful information for boosting retention and engagement</w:t>
      </w:r>
      <w:r>
        <w:t xml:space="preserve"> tactics.</w:t>
      </w:r>
    </w:p>
    <w:p w14:paraId="00000011" w14:textId="77777777" w:rsidR="00A77002" w:rsidRDefault="004660FE">
      <w:pPr>
        <w:rPr>
          <w:b/>
        </w:rPr>
      </w:pPr>
      <w:r>
        <w:t>The hotel business in the United Kingdom demonstrates great employee engagement practices. The Ritz London, an iconic luxury hotel, is a prime example. They place a high priority on the well-being of their employees and regularly train their staf</w:t>
      </w:r>
      <w:r>
        <w:t>f members. The Ritz also develops a sense of belonging among its employees through recognition and inclusion. Similarly, Premier Inn, a popular hotel operator, places a premium on employee development and offers programs like "The Premier Inn Academy" to h</w:t>
      </w:r>
      <w:r>
        <w:t xml:space="preserve">elp cultivate talent. Their dedication to diversity and </w:t>
      </w:r>
      <w:r>
        <w:lastRenderedPageBreak/>
        <w:t>inclusion is visible in a variety of programs aimed at maintaining an egalitarian workplace. Premier Inn has been named one of the UK’s top places to work by the Top Employers Institute (Premierinn.co</w:t>
      </w:r>
      <w:r>
        <w:t xml:space="preserve">m, 2023). These examples highlight best practices in the hotel sector in the United Kingdom, highlighting the importance of staff development, appreciation and inclusion. Such tactics not only promote employee happiness but also contribute to better guest </w:t>
      </w:r>
      <w:r>
        <w:t>experiences, thus increasing these institutions' competitive advantage.</w:t>
      </w:r>
    </w:p>
    <w:p w14:paraId="00000012" w14:textId="0E0D6059" w:rsidR="00A77002" w:rsidRDefault="004660FE">
      <w:proofErr w:type="gramStart"/>
      <w:r>
        <w:t>Gallup's Q12 model, which outlines 12 critical characteristics that drive employee engagement, is a well-known employee engagement model (Moletsane, 2022).</w:t>
      </w:r>
      <w:proofErr w:type="gramEnd"/>
      <w:r>
        <w:t xml:space="preserve"> Job expectations, recognitio</w:t>
      </w:r>
      <w:r>
        <w:t>n, possibilities for professional progress and the quality of workplace relationships are among these elements. Adapting and implementing this approach in the hotel business entails adapting it to hotel employees' individual needs and preferences. For exam</w:t>
      </w:r>
      <w:r>
        <w:t xml:space="preserve">ple, </w:t>
      </w:r>
      <w:r w:rsidR="0014233A">
        <w:t>recognizing</w:t>
      </w:r>
      <w:r>
        <w:t xml:space="preserve"> exceptional guest service might be important and providing possibilities for cross-training or specialization in multiple hotel jobs can meet the desire for professional progress. Regular surveys, feedback methods and performance metrics l</w:t>
      </w:r>
      <w:r>
        <w:t>ike employee turnover rates and visitor satisfaction scores can be used to measure and assess engagement (</w:t>
      </w:r>
      <w:proofErr w:type="spellStart"/>
      <w:r>
        <w:t>Budrienė</w:t>
      </w:r>
      <w:proofErr w:type="spellEnd"/>
      <w:r>
        <w:t xml:space="preserve"> and </w:t>
      </w:r>
      <w:proofErr w:type="spellStart"/>
      <w:r>
        <w:t>Diskienė</w:t>
      </w:r>
      <w:proofErr w:type="spellEnd"/>
      <w:r>
        <w:t>, 2020). Hotels may identify areas for development, make data-driven decisions and build a work climate that promotes a highly en</w:t>
      </w:r>
      <w:r>
        <w:t xml:space="preserve">gaged and motivated workforce by consistently </w:t>
      </w:r>
      <w:proofErr w:type="spellStart"/>
      <w:r>
        <w:t>analyzing</w:t>
      </w:r>
      <w:proofErr w:type="spellEnd"/>
      <w:r>
        <w:t xml:space="preserve"> employee engagement using a model like Gallup's Q12. As a result, the hotel industry's service quality and client experiences may improve.</w:t>
      </w:r>
    </w:p>
    <w:p w14:paraId="00000013" w14:textId="77777777" w:rsidR="00A77002" w:rsidRDefault="004660FE">
      <w:pPr>
        <w:pStyle w:val="1"/>
      </w:pPr>
      <w:bookmarkStart w:id="5" w:name="_2js9hrxb8als" w:colFirst="0" w:colLast="0"/>
      <w:bookmarkStart w:id="6" w:name="_Toc148118983"/>
      <w:bookmarkEnd w:id="5"/>
      <w:r>
        <w:t>Conclusion</w:t>
      </w:r>
      <w:bookmarkEnd w:id="6"/>
    </w:p>
    <w:p w14:paraId="00000014" w14:textId="77777777" w:rsidR="00A77002" w:rsidRDefault="004660FE">
      <w:r>
        <w:t>In conclusion, this essay has emphasized the criti</w:t>
      </w:r>
      <w:r>
        <w:t>cal role of Human Resources in increasing employee engagement, particularly in the context of Generations Y and Z. It has investigated the changing role of human resources in modern enterprises, stressing its metamorphosis into a strategic partner in devel</w:t>
      </w:r>
      <w:r>
        <w:t>oping an engaged culture. The distinct features and preferences of Millennials and Generation Z have been identified, providing insights on how to modify HR strategies to match their expectations. Employee engagement has been emphasized through various tec</w:t>
      </w:r>
      <w:r>
        <w:t xml:space="preserve">hniques such as encouraging a healthy workplace culture, skill development and work-life balance. The advantages of a highly engaged workforce, such as improved </w:t>
      </w:r>
      <w:r>
        <w:lastRenderedPageBreak/>
        <w:t>productivity and lower turnover, have been emphasized. Real-world hotel examples, such as Hilto</w:t>
      </w:r>
      <w:r>
        <w:t>n's Ritz London and Premier Inn, have shown how effective employee engagement efforts contribute to not only staff happiness but also improved client experiences and a competitive edge. The nurturing of commitment and involvement is critical for organizati</w:t>
      </w:r>
      <w:r>
        <w:t>onal success in this era of generational diversity in the workforce. Employee engagement is clearly not a passing fad, but rather a necessary component of long-term economic success.</w:t>
      </w:r>
    </w:p>
    <w:p w14:paraId="00000015" w14:textId="77777777" w:rsidR="00A77002" w:rsidRDefault="004660FE">
      <w:pPr>
        <w:pStyle w:val="1"/>
      </w:pPr>
      <w:bookmarkStart w:id="7" w:name="_nrd5ve6xsj96" w:colFirst="0" w:colLast="0"/>
      <w:bookmarkEnd w:id="7"/>
      <w:r>
        <w:br w:type="page"/>
      </w:r>
    </w:p>
    <w:p w14:paraId="00000016" w14:textId="77777777" w:rsidR="00A77002" w:rsidRDefault="004660FE">
      <w:pPr>
        <w:pStyle w:val="1"/>
      </w:pPr>
      <w:bookmarkStart w:id="8" w:name="_tullkjluu7ep" w:colFirst="0" w:colLast="0"/>
      <w:bookmarkStart w:id="9" w:name="_Toc148118984"/>
      <w:bookmarkEnd w:id="8"/>
      <w:r>
        <w:lastRenderedPageBreak/>
        <w:t>References</w:t>
      </w:r>
      <w:bookmarkEnd w:id="9"/>
    </w:p>
    <w:p w14:paraId="5A9E8189" w14:textId="77777777" w:rsidR="0014233A" w:rsidRDefault="0014233A" w:rsidP="0014233A">
      <w:proofErr w:type="gramStart"/>
      <w:r>
        <w:t xml:space="preserve">Ahmad, M.I.S., </w:t>
      </w:r>
      <w:proofErr w:type="spellStart"/>
      <w:r>
        <w:t>Idrus</w:t>
      </w:r>
      <w:proofErr w:type="spellEnd"/>
      <w:r>
        <w:t xml:space="preserve">, M.I. and </w:t>
      </w:r>
      <w:proofErr w:type="spellStart"/>
      <w:r>
        <w:t>Rijal</w:t>
      </w:r>
      <w:proofErr w:type="spellEnd"/>
      <w:r>
        <w:t>, S., 2023.</w:t>
      </w:r>
      <w:proofErr w:type="gramEnd"/>
      <w:r>
        <w:t xml:space="preserve"> </w:t>
      </w:r>
      <w:proofErr w:type="gramStart"/>
      <w:r>
        <w:t>The Role of Education in Fostering Entrepreneurial Spirit in the Young Generation.</w:t>
      </w:r>
      <w:proofErr w:type="gramEnd"/>
      <w:r>
        <w:t xml:space="preserve"> </w:t>
      </w:r>
      <w:proofErr w:type="gramStart"/>
      <w:r>
        <w:t>Journal of Contemporary Administration and Management (ADMAN), 1(2), pp.93-100.</w:t>
      </w:r>
      <w:proofErr w:type="gramEnd"/>
    </w:p>
    <w:p w14:paraId="0DDC5BD5" w14:textId="77777777" w:rsidR="0014233A" w:rsidRDefault="0014233A" w:rsidP="0014233A">
      <w:proofErr w:type="gramStart"/>
      <w:r>
        <w:t>Armstrong, M. and Taylor, S., 2020.</w:t>
      </w:r>
      <w:proofErr w:type="gramEnd"/>
      <w:r>
        <w:t xml:space="preserve"> </w:t>
      </w:r>
      <w:proofErr w:type="gramStart"/>
      <w:r>
        <w:t>Armstrong's handbook of human resource management practice.</w:t>
      </w:r>
      <w:proofErr w:type="gramEnd"/>
      <w:r>
        <w:t xml:space="preserve"> </w:t>
      </w:r>
      <w:proofErr w:type="gramStart"/>
      <w:r>
        <w:t>Kogan Page Publishers.</w:t>
      </w:r>
      <w:proofErr w:type="gramEnd"/>
    </w:p>
    <w:p w14:paraId="59BBC5E8" w14:textId="77777777" w:rsidR="0014233A" w:rsidRDefault="0014233A" w:rsidP="0014233A">
      <w:r>
        <w:t xml:space="preserve">Botte, B., Bakkes, S. and Veltkamp, R., 2020. Motivation in gamification: constructing a correlation between gamification achievements and self-determination theory. In Games and Learning Alliance: 9th International Conference, GALA 2020, Laval, France, December 9–10, 2020, Proceedings 9 (pp. 157-166). </w:t>
      </w:r>
      <w:proofErr w:type="gramStart"/>
      <w:r>
        <w:t>Springer International Publishing.</w:t>
      </w:r>
      <w:proofErr w:type="gramEnd"/>
    </w:p>
    <w:p w14:paraId="13A432B8" w14:textId="77777777" w:rsidR="0014233A" w:rsidRDefault="0014233A" w:rsidP="0014233A">
      <w:proofErr w:type="spellStart"/>
      <w:r>
        <w:t>Budrienė</w:t>
      </w:r>
      <w:proofErr w:type="spellEnd"/>
      <w:r>
        <w:t xml:space="preserve">, D. and </w:t>
      </w:r>
      <w:proofErr w:type="spellStart"/>
      <w:r>
        <w:t>Diskienė</w:t>
      </w:r>
      <w:proofErr w:type="spellEnd"/>
      <w:r>
        <w:t xml:space="preserve">, D., 2020. Employee engagement: Types, levels and relationship with the practice of HRM. </w:t>
      </w:r>
      <w:proofErr w:type="gramStart"/>
      <w:r>
        <w:t>Malaysian e commerce journal, 4(2), pp.42-47.</w:t>
      </w:r>
      <w:proofErr w:type="gramEnd"/>
    </w:p>
    <w:p w14:paraId="1D3A83BA" w14:textId="77777777" w:rsidR="0014233A" w:rsidRDefault="0014233A" w:rsidP="0014233A">
      <w:proofErr w:type="spellStart"/>
      <w:r>
        <w:t>Burawat</w:t>
      </w:r>
      <w:proofErr w:type="spellEnd"/>
      <w:r>
        <w:t xml:space="preserve">, P., 2023. </w:t>
      </w:r>
      <w:proofErr w:type="gramStart"/>
      <w:r>
        <w:t>Examining generational differences in the workplace: Narcissism, work centrality, and the impact on employee engagement and discretionary effort.</w:t>
      </w:r>
      <w:proofErr w:type="gramEnd"/>
      <w:r>
        <w:t xml:space="preserve"> </w:t>
      </w:r>
      <w:proofErr w:type="gramStart"/>
      <w:r>
        <w:t>Industrial and Commercial Training.</w:t>
      </w:r>
      <w:proofErr w:type="gramEnd"/>
    </w:p>
    <w:p w14:paraId="68DC49F7" w14:textId="77777777" w:rsidR="0014233A" w:rsidRDefault="0014233A" w:rsidP="0014233A">
      <w:r>
        <w:t xml:space="preserve">Cattermole, G., 2019. </w:t>
      </w:r>
      <w:proofErr w:type="gramStart"/>
      <w:r>
        <w:t>Developing the employee lifecycle to keep top talent.</w:t>
      </w:r>
      <w:proofErr w:type="gramEnd"/>
      <w:r>
        <w:t xml:space="preserve"> Strategic HR review, 18(6), pp.258-262.</w:t>
      </w:r>
    </w:p>
    <w:p w14:paraId="660E68F0" w14:textId="77777777" w:rsidR="0014233A" w:rsidRDefault="0014233A" w:rsidP="0014233A">
      <w:proofErr w:type="spellStart"/>
      <w:r>
        <w:t>Cayrat</w:t>
      </w:r>
      <w:proofErr w:type="spellEnd"/>
      <w:r>
        <w:t>, C. and Boxall, P., 2023. The roles of the HR function: A systematic review of tensions, continuity and change. Human Resource Management Review, p.100984.</w:t>
      </w:r>
    </w:p>
    <w:p w14:paraId="51DCA1B8" w14:textId="77777777" w:rsidR="0014233A" w:rsidRDefault="0014233A" w:rsidP="0014233A">
      <w:r>
        <w:t xml:space="preserve">Delgado, D., Hill, N., Regalado, A. and Waldman, N., 2020. </w:t>
      </w:r>
      <w:proofErr w:type="gramStart"/>
      <w:r>
        <w:t>Millennials leading the workforce.</w:t>
      </w:r>
      <w:proofErr w:type="gramEnd"/>
      <w:r>
        <w:t xml:space="preserve"> </w:t>
      </w:r>
      <w:proofErr w:type="gramStart"/>
      <w:r>
        <w:t>Journal of Business Studies Quarterly, 10(2), pp.35-42.</w:t>
      </w:r>
      <w:proofErr w:type="gramEnd"/>
    </w:p>
    <w:p w14:paraId="1834E437" w14:textId="77777777" w:rsidR="0014233A" w:rsidRDefault="0014233A" w:rsidP="0014233A">
      <w:r>
        <w:t xml:space="preserve">Dixit, A., 2023. </w:t>
      </w:r>
      <w:proofErr w:type="gramStart"/>
      <w:r>
        <w:t>A Review of Personality Characteristics of Millennials.</w:t>
      </w:r>
      <w:proofErr w:type="gramEnd"/>
      <w:r>
        <w:t xml:space="preserve"> </w:t>
      </w:r>
      <w:proofErr w:type="gramStart"/>
      <w:r>
        <w:t>SMS Journal of Entrepreneurship &amp; Innovation, 9(2), pp.60-69.</w:t>
      </w:r>
      <w:proofErr w:type="gramEnd"/>
    </w:p>
    <w:p w14:paraId="4023D9B0" w14:textId="77777777" w:rsidR="0014233A" w:rsidRDefault="0014233A" w:rsidP="0014233A">
      <w:proofErr w:type="spellStart"/>
      <w:proofErr w:type="gramStart"/>
      <w:r>
        <w:t>Gladka</w:t>
      </w:r>
      <w:proofErr w:type="spellEnd"/>
      <w:r>
        <w:t xml:space="preserve">, O., Fedorova, V. and </w:t>
      </w:r>
      <w:proofErr w:type="spellStart"/>
      <w:r>
        <w:t>Dohadailo</w:t>
      </w:r>
      <w:proofErr w:type="spellEnd"/>
      <w:r>
        <w:t>, Y., 2022.</w:t>
      </w:r>
      <w:proofErr w:type="gramEnd"/>
      <w:r>
        <w:t xml:space="preserve"> </w:t>
      </w:r>
      <w:proofErr w:type="gramStart"/>
      <w:r>
        <w:t>Development of conceptual bases of the employee life cycle within an organization.</w:t>
      </w:r>
      <w:proofErr w:type="gramEnd"/>
      <w:r>
        <w:t xml:space="preserve"> Business: Theory and Practice, 23(1), pp.39-52.</w:t>
      </w:r>
    </w:p>
    <w:p w14:paraId="3A630842" w14:textId="77777777" w:rsidR="0014233A" w:rsidRDefault="0014233A" w:rsidP="0014233A">
      <w:r>
        <w:lastRenderedPageBreak/>
        <w:t>Hbr.org (2023)</w:t>
      </w:r>
      <w:proofErr w:type="gramStart"/>
      <w:r>
        <w:t>,  “</w:t>
      </w:r>
      <w:proofErr w:type="gramEnd"/>
      <w:r>
        <w:t xml:space="preserve">Employee Engagement Does More than Boost Productivity” Available at: </w:t>
      </w:r>
      <w:hyperlink r:id="rId9">
        <w:r>
          <w:rPr>
            <w:color w:val="1155CC"/>
            <w:u w:val="single"/>
          </w:rPr>
          <w:t>https://hbr.org/2013/07/employee-engagement-does-more</w:t>
        </w:r>
      </w:hyperlink>
      <w:r>
        <w:t xml:space="preserve"> [Accessed on: 13.10.2023]</w:t>
      </w:r>
    </w:p>
    <w:p w14:paraId="0440A538" w14:textId="77777777" w:rsidR="0014233A" w:rsidRDefault="0014233A" w:rsidP="0014233A">
      <w:proofErr w:type="spellStart"/>
      <w:r>
        <w:t>Ihensekien</w:t>
      </w:r>
      <w:proofErr w:type="spellEnd"/>
      <w:r>
        <w:t xml:space="preserve">, O.A. and Joel, A.C., 2023. Abraham Maslow's Hierarchy of Needs and Frederick Herzberg's Two-Factor Motivation Theories: Implications for Organizational Performance. </w:t>
      </w:r>
      <w:proofErr w:type="gramStart"/>
      <w:r>
        <w:t>Romanian Economic Journal, 26(85).</w:t>
      </w:r>
      <w:proofErr w:type="gramEnd"/>
    </w:p>
    <w:p w14:paraId="3F0F15A2" w14:textId="77777777" w:rsidR="0014233A" w:rsidRDefault="0014233A" w:rsidP="0014233A">
      <w:r>
        <w:t xml:space="preserve">Johnlewispartnership.co.uk (2023) “Employee Ownership” Available at: </w:t>
      </w:r>
      <w:hyperlink r:id="rId10">
        <w:r>
          <w:rPr>
            <w:color w:val="1155CC"/>
            <w:u w:val="single"/>
          </w:rPr>
          <w:t xml:space="preserve">https://www.johnlewispartnership.co.uk/work/employee-ownership.html </w:t>
        </w:r>
      </w:hyperlink>
      <w:r>
        <w:t>[Accessed on: 13.10.2023]</w:t>
      </w:r>
    </w:p>
    <w:p w14:paraId="40BDBBD9" w14:textId="77777777" w:rsidR="0014233A" w:rsidRDefault="0014233A" w:rsidP="0014233A">
      <w:proofErr w:type="gramStart"/>
      <w:r>
        <w:t>Maharani, A., Intan, S., Mahlani, S.A. and Berlian, C.W., 2020.</w:t>
      </w:r>
      <w:proofErr w:type="gramEnd"/>
      <w:r>
        <w:t xml:space="preserve"> Flexible working arrangement, stress, </w:t>
      </w:r>
      <w:proofErr w:type="spellStart"/>
      <w:r>
        <w:t>worklife</w:t>
      </w:r>
      <w:proofErr w:type="spellEnd"/>
      <w:r>
        <w:t xml:space="preserve"> balance and motivation: Evidence from postgraduate students as worker. </w:t>
      </w:r>
      <w:proofErr w:type="spellStart"/>
      <w:proofErr w:type="gramStart"/>
      <w:r>
        <w:t>Jurnal</w:t>
      </w:r>
      <w:proofErr w:type="spellEnd"/>
      <w:r>
        <w:t xml:space="preserve"> </w:t>
      </w:r>
      <w:proofErr w:type="spellStart"/>
      <w:r>
        <w:t>Organisasi</w:t>
      </w:r>
      <w:proofErr w:type="spellEnd"/>
      <w:r>
        <w:t xml:space="preserve"> Dan </w:t>
      </w:r>
      <w:proofErr w:type="spellStart"/>
      <w:r>
        <w:t>Manajemen</w:t>
      </w:r>
      <w:proofErr w:type="spellEnd"/>
      <w:r>
        <w:t>, 16(2), pp.196-213.</w:t>
      </w:r>
      <w:proofErr w:type="gramEnd"/>
    </w:p>
    <w:p w14:paraId="49DC3F0F" w14:textId="77777777" w:rsidR="0014233A" w:rsidRDefault="0014233A" w:rsidP="0014233A">
      <w:r>
        <w:t xml:space="preserve">Moletsane, G.M., 2022. </w:t>
      </w:r>
      <w:proofErr w:type="gramStart"/>
      <w:r>
        <w:t>Evaluating the Impact of Employee Engagement Practices on the Impact of Employee Performance during the COVID-19 Lockdown in the Private Sector: Case of MT &amp; T COMMUNICATIONS (Pseudonym).</w:t>
      </w:r>
      <w:proofErr w:type="gramEnd"/>
    </w:p>
    <w:p w14:paraId="216C0A60" w14:textId="77777777" w:rsidR="0014233A" w:rsidRDefault="0014233A" w:rsidP="0014233A">
      <w:proofErr w:type="gramStart"/>
      <w:r>
        <w:t>Munir, S. and Siddiqui, D.A., 2023.</w:t>
      </w:r>
      <w:proofErr w:type="gramEnd"/>
      <w:r>
        <w:t xml:space="preserve"> Workforce Generations: Dependable Asset or Negligible Liability. </w:t>
      </w:r>
      <w:proofErr w:type="gramStart"/>
      <w:r>
        <w:t>Available at SSRN.</w:t>
      </w:r>
      <w:proofErr w:type="gramEnd"/>
    </w:p>
    <w:p w14:paraId="48D6DC3E" w14:textId="77777777" w:rsidR="0014233A" w:rsidRDefault="0014233A" w:rsidP="0014233A">
      <w:r>
        <w:t xml:space="preserve">Premierinn.com (2023) “Premier Inn named Top Employer” Available at: </w:t>
      </w:r>
      <w:hyperlink r:id="rId11">
        <w:r>
          <w:rPr>
            <w:color w:val="1155CC"/>
            <w:u w:val="single"/>
          </w:rPr>
          <w:t>https://www.premierinn.com/gb/en/news/2022/top-employer.html</w:t>
        </w:r>
      </w:hyperlink>
      <w:r>
        <w:t xml:space="preserve"> [Accessed on: 13.10.2023]</w:t>
      </w:r>
    </w:p>
    <w:p w14:paraId="75CC086B" w14:textId="77777777" w:rsidR="0014233A" w:rsidRDefault="0014233A" w:rsidP="0014233A">
      <w:r>
        <w:t xml:space="preserve">Shrm.org (2023) “Developing and Sustaining Employee Engagement” Available at: </w:t>
      </w:r>
      <w:hyperlink r:id="rId12">
        <w:r>
          <w:rPr>
            <w:color w:val="1155CC"/>
            <w:u w:val="single"/>
          </w:rPr>
          <w:t>https://www.shrm.org/resourcesandtools/tools-and-samples/toolkits/pages/sustainingemployeeengagement.aspx</w:t>
        </w:r>
      </w:hyperlink>
      <w:r>
        <w:t xml:space="preserve"> [Accessed on: 13.10.2023]</w:t>
      </w:r>
    </w:p>
    <w:p w14:paraId="2F6BDF2B" w14:textId="77777777" w:rsidR="0014233A" w:rsidRDefault="0014233A" w:rsidP="0014233A">
      <w:proofErr w:type="gramStart"/>
      <w:r>
        <w:t>Torrington, D, Hall, L, Atkinson, C, &amp; Taylor, S 2020, Human Resource Management PDF EBook, Pearson Education, Limited, Harlow.</w:t>
      </w:r>
      <w:proofErr w:type="gramEnd"/>
      <w:r>
        <w:t xml:space="preserve"> Available from: ProQuest </w:t>
      </w:r>
      <w:proofErr w:type="spellStart"/>
      <w:r>
        <w:t>Ebook</w:t>
      </w:r>
      <w:proofErr w:type="spellEnd"/>
      <w:r>
        <w:t xml:space="preserve"> Central.</w:t>
      </w:r>
    </w:p>
    <w:p w14:paraId="585D367B" w14:textId="77777777" w:rsidR="0014233A" w:rsidRDefault="0014233A" w:rsidP="0014233A">
      <w:r>
        <w:lastRenderedPageBreak/>
        <w:t xml:space="preserve">Unilever.com (2023) “Employee health and wellbeing” Available at: </w:t>
      </w:r>
      <w:hyperlink r:id="rId13">
        <w:r>
          <w:rPr>
            <w:color w:val="1155CC"/>
            <w:u w:val="single"/>
          </w:rPr>
          <w:t>https://www.unilever.com/planet-and-society/responsible-business/employee-wellbeing/</w:t>
        </w:r>
      </w:hyperlink>
      <w:r>
        <w:t xml:space="preserve"> [Accessed on: 13.10.2023]</w:t>
      </w:r>
    </w:p>
    <w:sectPr w:rsidR="0014233A" w:rsidSect="0014233A">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AC188" w14:textId="77777777" w:rsidR="004660FE" w:rsidRDefault="004660FE" w:rsidP="0014233A">
      <w:pPr>
        <w:spacing w:before="0" w:line="240" w:lineRule="auto"/>
      </w:pPr>
      <w:r>
        <w:separator/>
      </w:r>
    </w:p>
  </w:endnote>
  <w:endnote w:type="continuationSeparator" w:id="0">
    <w:p w14:paraId="1F5A0C0F" w14:textId="77777777" w:rsidR="004660FE" w:rsidRDefault="004660FE" w:rsidP="0014233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2978424"/>
      <w:docPartObj>
        <w:docPartGallery w:val="Page Numbers (Bottom of Page)"/>
        <w:docPartUnique/>
      </w:docPartObj>
    </w:sdtPr>
    <w:sdtEndPr>
      <w:rPr>
        <w:noProof/>
      </w:rPr>
    </w:sdtEndPr>
    <w:sdtContent>
      <w:p w14:paraId="53BEC6FC" w14:textId="551A1FF1" w:rsidR="0014233A" w:rsidRDefault="0014233A">
        <w:pPr>
          <w:pStyle w:val="a9"/>
          <w:jc w:val="right"/>
        </w:pPr>
        <w:r>
          <w:fldChar w:fldCharType="begin"/>
        </w:r>
        <w:r>
          <w:instrText xml:space="preserve"> PAGE   \* MERGEFORMAT </w:instrText>
        </w:r>
        <w:r>
          <w:fldChar w:fldCharType="separate"/>
        </w:r>
        <w:r w:rsidR="000577A4">
          <w:rPr>
            <w:noProof/>
          </w:rPr>
          <w:t>1</w:t>
        </w:r>
        <w:r>
          <w:rPr>
            <w:noProof/>
          </w:rPr>
          <w:fldChar w:fldCharType="end"/>
        </w:r>
      </w:p>
    </w:sdtContent>
  </w:sdt>
  <w:p w14:paraId="6A068422" w14:textId="77777777" w:rsidR="0014233A" w:rsidRDefault="0014233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81815D" w14:textId="77777777" w:rsidR="004660FE" w:rsidRDefault="004660FE" w:rsidP="0014233A">
      <w:pPr>
        <w:spacing w:before="0" w:line="240" w:lineRule="auto"/>
      </w:pPr>
      <w:r>
        <w:separator/>
      </w:r>
    </w:p>
  </w:footnote>
  <w:footnote w:type="continuationSeparator" w:id="0">
    <w:p w14:paraId="123CD559" w14:textId="77777777" w:rsidR="004660FE" w:rsidRDefault="004660FE" w:rsidP="0014233A">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6D1202"/>
    <w:multiLevelType w:val="multilevel"/>
    <w:tmpl w:val="10BA12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002"/>
    <w:rsid w:val="000577A4"/>
    <w:rsid w:val="000D36B9"/>
    <w:rsid w:val="0014233A"/>
    <w:rsid w:val="004660FE"/>
    <w:rsid w:val="00662E66"/>
    <w:rsid w:val="009463FB"/>
    <w:rsid w:val="00A77002"/>
    <w:rsid w:val="00B63899"/>
    <w:rsid w:val="00D00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6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en-GB" w:eastAsia="en-US" w:bidi="ar-SA"/>
      </w:rPr>
    </w:rPrDefault>
    <w:pPrDefault>
      <w:pPr>
        <w:spacing w:before="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b/>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0" w:after="60"/>
    </w:pPr>
    <w:rPr>
      <w:sz w:val="52"/>
      <w:szCs w:val="52"/>
    </w:rPr>
  </w:style>
  <w:style w:type="paragraph" w:styleId="a4">
    <w:name w:val="Subtitle"/>
    <w:basedOn w:val="a"/>
    <w:next w:val="a"/>
    <w:uiPriority w:val="11"/>
    <w:qFormat/>
    <w:pPr>
      <w:keepNext/>
      <w:keepLines/>
      <w:spacing w:before="0" w:after="320"/>
    </w:pPr>
    <w:rPr>
      <w:color w:val="666666"/>
      <w:sz w:val="30"/>
      <w:szCs w:val="30"/>
    </w:rPr>
  </w:style>
  <w:style w:type="paragraph" w:styleId="a5">
    <w:name w:val="TOC Heading"/>
    <w:basedOn w:val="1"/>
    <w:next w:val="a"/>
    <w:uiPriority w:val="39"/>
    <w:unhideWhenUsed/>
    <w:qFormat/>
    <w:rsid w:val="0014233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14233A"/>
    <w:pPr>
      <w:spacing w:after="100"/>
    </w:pPr>
  </w:style>
  <w:style w:type="character" w:styleId="a6">
    <w:name w:val="Hyperlink"/>
    <w:basedOn w:val="a0"/>
    <w:uiPriority w:val="99"/>
    <w:unhideWhenUsed/>
    <w:rsid w:val="0014233A"/>
    <w:rPr>
      <w:color w:val="0000FF" w:themeColor="hyperlink"/>
      <w:u w:val="single"/>
    </w:rPr>
  </w:style>
  <w:style w:type="paragraph" w:styleId="a7">
    <w:name w:val="header"/>
    <w:basedOn w:val="a"/>
    <w:link w:val="a8"/>
    <w:uiPriority w:val="99"/>
    <w:unhideWhenUsed/>
    <w:rsid w:val="0014233A"/>
    <w:pPr>
      <w:tabs>
        <w:tab w:val="center" w:pos="4680"/>
        <w:tab w:val="right" w:pos="9360"/>
      </w:tabs>
      <w:spacing w:before="0" w:line="240" w:lineRule="auto"/>
    </w:pPr>
  </w:style>
  <w:style w:type="character" w:customStyle="1" w:styleId="a8">
    <w:name w:val="Верхний колонтитул Знак"/>
    <w:basedOn w:val="a0"/>
    <w:link w:val="a7"/>
    <w:uiPriority w:val="99"/>
    <w:rsid w:val="0014233A"/>
  </w:style>
  <w:style w:type="paragraph" w:styleId="a9">
    <w:name w:val="footer"/>
    <w:basedOn w:val="a"/>
    <w:link w:val="aa"/>
    <w:uiPriority w:val="99"/>
    <w:unhideWhenUsed/>
    <w:rsid w:val="0014233A"/>
    <w:pPr>
      <w:tabs>
        <w:tab w:val="center" w:pos="4680"/>
        <w:tab w:val="right" w:pos="9360"/>
      </w:tabs>
      <w:spacing w:before="0" w:line="240" w:lineRule="auto"/>
    </w:pPr>
  </w:style>
  <w:style w:type="character" w:customStyle="1" w:styleId="aa">
    <w:name w:val="Нижний колонтитул Знак"/>
    <w:basedOn w:val="a0"/>
    <w:link w:val="a9"/>
    <w:uiPriority w:val="99"/>
    <w:rsid w:val="0014233A"/>
  </w:style>
  <w:style w:type="paragraph" w:styleId="ab">
    <w:name w:val="Balloon Text"/>
    <w:basedOn w:val="a"/>
    <w:link w:val="ac"/>
    <w:uiPriority w:val="99"/>
    <w:semiHidden/>
    <w:unhideWhenUsed/>
    <w:rsid w:val="000577A4"/>
    <w:pPr>
      <w:spacing w:before="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577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4"/>
        <w:szCs w:val="24"/>
        <w:lang w:val="en-GB" w:eastAsia="en-US" w:bidi="ar-SA"/>
      </w:rPr>
    </w:rPrDefault>
    <w:pPrDefault>
      <w:pPr>
        <w:spacing w:before="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b/>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0" w:after="60"/>
    </w:pPr>
    <w:rPr>
      <w:sz w:val="52"/>
      <w:szCs w:val="52"/>
    </w:rPr>
  </w:style>
  <w:style w:type="paragraph" w:styleId="a4">
    <w:name w:val="Subtitle"/>
    <w:basedOn w:val="a"/>
    <w:next w:val="a"/>
    <w:uiPriority w:val="11"/>
    <w:qFormat/>
    <w:pPr>
      <w:keepNext/>
      <w:keepLines/>
      <w:spacing w:before="0" w:after="320"/>
    </w:pPr>
    <w:rPr>
      <w:color w:val="666666"/>
      <w:sz w:val="30"/>
      <w:szCs w:val="30"/>
    </w:rPr>
  </w:style>
  <w:style w:type="paragraph" w:styleId="a5">
    <w:name w:val="TOC Heading"/>
    <w:basedOn w:val="1"/>
    <w:next w:val="a"/>
    <w:uiPriority w:val="39"/>
    <w:unhideWhenUsed/>
    <w:qFormat/>
    <w:rsid w:val="0014233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0">
    <w:name w:val="toc 1"/>
    <w:basedOn w:val="a"/>
    <w:next w:val="a"/>
    <w:autoRedefine/>
    <w:uiPriority w:val="39"/>
    <w:unhideWhenUsed/>
    <w:rsid w:val="0014233A"/>
    <w:pPr>
      <w:spacing w:after="100"/>
    </w:pPr>
  </w:style>
  <w:style w:type="character" w:styleId="a6">
    <w:name w:val="Hyperlink"/>
    <w:basedOn w:val="a0"/>
    <w:uiPriority w:val="99"/>
    <w:unhideWhenUsed/>
    <w:rsid w:val="0014233A"/>
    <w:rPr>
      <w:color w:val="0000FF" w:themeColor="hyperlink"/>
      <w:u w:val="single"/>
    </w:rPr>
  </w:style>
  <w:style w:type="paragraph" w:styleId="a7">
    <w:name w:val="header"/>
    <w:basedOn w:val="a"/>
    <w:link w:val="a8"/>
    <w:uiPriority w:val="99"/>
    <w:unhideWhenUsed/>
    <w:rsid w:val="0014233A"/>
    <w:pPr>
      <w:tabs>
        <w:tab w:val="center" w:pos="4680"/>
        <w:tab w:val="right" w:pos="9360"/>
      </w:tabs>
      <w:spacing w:before="0" w:line="240" w:lineRule="auto"/>
    </w:pPr>
  </w:style>
  <w:style w:type="character" w:customStyle="1" w:styleId="a8">
    <w:name w:val="Верхний колонтитул Знак"/>
    <w:basedOn w:val="a0"/>
    <w:link w:val="a7"/>
    <w:uiPriority w:val="99"/>
    <w:rsid w:val="0014233A"/>
  </w:style>
  <w:style w:type="paragraph" w:styleId="a9">
    <w:name w:val="footer"/>
    <w:basedOn w:val="a"/>
    <w:link w:val="aa"/>
    <w:uiPriority w:val="99"/>
    <w:unhideWhenUsed/>
    <w:rsid w:val="0014233A"/>
    <w:pPr>
      <w:tabs>
        <w:tab w:val="center" w:pos="4680"/>
        <w:tab w:val="right" w:pos="9360"/>
      </w:tabs>
      <w:spacing w:before="0" w:line="240" w:lineRule="auto"/>
    </w:pPr>
  </w:style>
  <w:style w:type="character" w:customStyle="1" w:styleId="aa">
    <w:name w:val="Нижний колонтитул Знак"/>
    <w:basedOn w:val="a0"/>
    <w:link w:val="a9"/>
    <w:uiPriority w:val="99"/>
    <w:rsid w:val="0014233A"/>
  </w:style>
  <w:style w:type="paragraph" w:styleId="ab">
    <w:name w:val="Balloon Text"/>
    <w:basedOn w:val="a"/>
    <w:link w:val="ac"/>
    <w:uiPriority w:val="99"/>
    <w:semiHidden/>
    <w:unhideWhenUsed/>
    <w:rsid w:val="000577A4"/>
    <w:pPr>
      <w:spacing w:before="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577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nilever.com/planet-and-society/responsible-business/employee-wellbein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shrm.org/resourcesandtools/tools-and-samples/toolkits/pages/sustainingemployeeengagement.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emierinn.com/gb/en/news/2022/top-employer.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johnlewispartnership.co.uk/work/employee-ownership.html" TargetMode="External"/><Relationship Id="rId4" Type="http://schemas.microsoft.com/office/2007/relationships/stylesWithEffects" Target="stylesWithEffects.xml"/><Relationship Id="rId9" Type="http://schemas.openxmlformats.org/officeDocument/2006/relationships/hyperlink" Target="https://hbr.org/2013/07/employee-engagement-does-mor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0A45E-82B3-4A59-8939-5AFCD6983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3047</Words>
  <Characters>17374</Characters>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20381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2023-10-23T20:16:00Z</dcterms:created>
  <dcterms:modified xsi:type="dcterms:W3CDTF">2023-10-23T20:16:00Z</dcterms:modified>
</cp:coreProperties>
</file>