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55146FE9" w:rsidR="00540448" w:rsidRDefault="74DF0CA3" w:rsidP="51F34292">
      <w:pPr>
        <w:spacing w:line="360" w:lineRule="auto"/>
        <w:rPr>
          <w:rFonts w:ascii="Calibri" w:eastAsia="Calibri" w:hAnsi="Calibri" w:cs="Calibri"/>
          <w:u w:val="single"/>
        </w:rPr>
      </w:pPr>
      <w:r w:rsidRPr="51F34292">
        <w:rPr>
          <w:rFonts w:ascii="Calibri" w:eastAsia="Calibri" w:hAnsi="Calibri" w:cs="Calibri"/>
          <w:u w:val="single"/>
        </w:rPr>
        <w:t>Leadership for systems of quality.</w:t>
      </w:r>
    </w:p>
    <w:p w14:paraId="1BB0ADD5" w14:textId="509EBB8A" w:rsidR="45B2044F" w:rsidRDefault="74DF0CA3" w:rsidP="51F34292">
      <w:pPr>
        <w:spacing w:line="360" w:lineRule="auto"/>
        <w:rPr>
          <w:rFonts w:ascii="Calibri" w:eastAsia="Calibri" w:hAnsi="Calibri" w:cs="Calibri"/>
        </w:rPr>
      </w:pPr>
      <w:r w:rsidRPr="51F34292">
        <w:rPr>
          <w:rFonts w:ascii="Calibri" w:eastAsia="Calibri" w:hAnsi="Calibri" w:cs="Calibri"/>
        </w:rPr>
        <w:t>ECEY6011/C</w:t>
      </w:r>
    </w:p>
    <w:p w14:paraId="70D97237" w14:textId="661C4646" w:rsidR="45B2044F" w:rsidRDefault="7641A655" w:rsidP="51F34292">
      <w:pPr>
        <w:spacing w:line="360" w:lineRule="auto"/>
        <w:rPr>
          <w:rFonts w:ascii="Calibri" w:eastAsia="Calibri" w:hAnsi="Calibri" w:cs="Calibri"/>
        </w:rPr>
      </w:pPr>
      <w:r w:rsidRPr="51F34292">
        <w:rPr>
          <w:rFonts w:ascii="Calibri" w:eastAsia="Calibri" w:hAnsi="Calibri" w:cs="Calibri"/>
        </w:rPr>
        <w:t xml:space="preserve">Student number - </w:t>
      </w:r>
      <w:r w:rsidR="74DF0CA3" w:rsidRPr="51F34292">
        <w:rPr>
          <w:rFonts w:ascii="Calibri" w:eastAsia="Calibri" w:hAnsi="Calibri" w:cs="Calibri"/>
        </w:rPr>
        <w:t>2305254</w:t>
      </w:r>
    </w:p>
    <w:p w14:paraId="04931C58" w14:textId="739B78A0" w:rsidR="45B2044F" w:rsidRDefault="553134D4" w:rsidP="51F34292">
      <w:pPr>
        <w:spacing w:line="360" w:lineRule="auto"/>
        <w:rPr>
          <w:rFonts w:ascii="Calibri" w:eastAsia="Calibri" w:hAnsi="Calibri" w:cs="Calibri"/>
        </w:rPr>
      </w:pPr>
      <w:r w:rsidRPr="51F34292">
        <w:rPr>
          <w:rFonts w:ascii="Calibri" w:eastAsia="Calibri" w:hAnsi="Calibri" w:cs="Calibri"/>
        </w:rPr>
        <w:t>Kelsey Myles.</w:t>
      </w:r>
    </w:p>
    <w:p w14:paraId="357CF76F" w14:textId="4CE12963" w:rsidR="10E35912" w:rsidRDefault="10E35912" w:rsidP="51F34292">
      <w:pPr>
        <w:spacing w:line="360" w:lineRule="auto"/>
        <w:rPr>
          <w:rFonts w:ascii="Calibri" w:eastAsia="Calibri" w:hAnsi="Calibri" w:cs="Calibri"/>
        </w:rPr>
      </w:pPr>
      <w:r w:rsidRPr="51F34292">
        <w:rPr>
          <w:rFonts w:ascii="Calibri" w:eastAsia="Calibri" w:hAnsi="Calibri" w:cs="Calibri"/>
        </w:rPr>
        <w:t>Word count – 2,0</w:t>
      </w:r>
      <w:r w:rsidR="6A504ACA" w:rsidRPr="51F34292">
        <w:rPr>
          <w:rFonts w:ascii="Calibri" w:eastAsia="Calibri" w:hAnsi="Calibri" w:cs="Calibri"/>
        </w:rPr>
        <w:t>30</w:t>
      </w:r>
    </w:p>
    <w:p w14:paraId="2C17F109" w14:textId="1A37D113" w:rsidR="29F90659" w:rsidRDefault="03604B55" w:rsidP="51F34292">
      <w:pPr>
        <w:spacing w:line="360" w:lineRule="auto"/>
        <w:rPr>
          <w:rFonts w:ascii="Calibri" w:eastAsia="Calibri" w:hAnsi="Calibri" w:cs="Calibri"/>
          <w:b/>
          <w:bCs/>
          <w:u w:val="single"/>
        </w:rPr>
      </w:pPr>
      <w:r w:rsidRPr="51F34292">
        <w:rPr>
          <w:rFonts w:ascii="Calibri" w:eastAsia="Calibri" w:hAnsi="Calibri" w:cs="Calibri"/>
          <w:b/>
          <w:bCs/>
          <w:u w:val="single"/>
        </w:rPr>
        <w:t>Introduction.</w:t>
      </w:r>
    </w:p>
    <w:p w14:paraId="67626292" w14:textId="7A7C2457" w:rsidR="4AA4B5B8" w:rsidRDefault="33930896" w:rsidP="51F34292">
      <w:pPr>
        <w:spacing w:before="240" w:after="240" w:line="360" w:lineRule="auto"/>
        <w:rPr>
          <w:rFonts w:ascii="Calibri" w:eastAsia="Calibri" w:hAnsi="Calibri" w:cs="Calibri"/>
        </w:rPr>
      </w:pPr>
      <w:r w:rsidRPr="4C6CD0AB">
        <w:rPr>
          <w:rFonts w:ascii="Calibri" w:eastAsia="Calibri" w:hAnsi="Calibri" w:cs="Calibri"/>
        </w:rPr>
        <w:t xml:space="preserve">Quality in early years settings is often discussed </w:t>
      </w:r>
      <w:r w:rsidR="00306044" w:rsidRPr="4C6CD0AB">
        <w:rPr>
          <w:rFonts w:ascii="Calibri" w:eastAsia="Calibri" w:hAnsi="Calibri" w:cs="Calibri"/>
        </w:rPr>
        <w:t>and relates</w:t>
      </w:r>
      <w:r w:rsidRPr="4C6CD0AB">
        <w:rPr>
          <w:rFonts w:ascii="Calibri" w:eastAsia="Calibri" w:hAnsi="Calibri" w:cs="Calibri"/>
        </w:rPr>
        <w:t xml:space="preserve"> to statutory requirements, </w:t>
      </w:r>
      <w:r w:rsidR="5422F550" w:rsidRPr="4C6CD0AB">
        <w:rPr>
          <w:rFonts w:ascii="Calibri" w:eastAsia="Calibri" w:hAnsi="Calibri" w:cs="Calibri"/>
        </w:rPr>
        <w:t>but</w:t>
      </w:r>
      <w:r w:rsidRPr="4C6CD0AB">
        <w:rPr>
          <w:rFonts w:ascii="Calibri" w:eastAsia="Calibri" w:hAnsi="Calibri" w:cs="Calibri"/>
        </w:rPr>
        <w:t xml:space="preserve"> through reflection it becomes clear that meeting these minimum standards does not automatically result in high-quality experiences for children (NICE, n.d). While frameworks provide an essential foundation for safeguarding and learning, they cannot fully capture the complexity of practice or the importance of relationships, interactions, and environment (</w:t>
      </w:r>
      <w:r w:rsidR="19A123B2" w:rsidRPr="4C6CD0AB">
        <w:rPr>
          <w:rFonts w:ascii="Calibri" w:eastAsia="Calibri" w:hAnsi="Calibri" w:cs="Calibri"/>
        </w:rPr>
        <w:t xml:space="preserve">Ofsted, 2026). </w:t>
      </w:r>
    </w:p>
    <w:p w14:paraId="6B4D468B" w14:textId="07BC236E" w:rsidR="4AA4B5B8" w:rsidRDefault="19A123B2" w:rsidP="51F34292">
      <w:pPr>
        <w:spacing w:before="240" w:after="240" w:line="360" w:lineRule="auto"/>
        <w:rPr>
          <w:rFonts w:ascii="Calibri" w:eastAsia="Calibri" w:hAnsi="Calibri" w:cs="Calibri"/>
        </w:rPr>
      </w:pPr>
      <w:r w:rsidRPr="4C6CD0AB">
        <w:rPr>
          <w:rFonts w:ascii="Calibri" w:eastAsia="Calibri" w:hAnsi="Calibri" w:cs="Calibri"/>
        </w:rPr>
        <w:t>This reflection explores how quality can be developed beyond these requirements using the Baby Effective Early Learning Programme (BEEL) and the Early Childhood Environment Rating Scale (ECERS).</w:t>
      </w:r>
      <w:r w:rsidR="52D55FFA" w:rsidRPr="4C6CD0AB">
        <w:rPr>
          <w:rFonts w:ascii="Calibri" w:eastAsia="Calibri" w:hAnsi="Calibri" w:cs="Calibri"/>
        </w:rPr>
        <w:t xml:space="preserve"> From experience and observation, it is evident that quality in early years provision is not something that can be achieved by following guidelines. Instead, it is shaped by the everyday decisions practitioners make, particularly in how they interact with children and organise the learning environment</w:t>
      </w:r>
      <w:r w:rsidR="34B32F34" w:rsidRPr="4C6CD0AB">
        <w:rPr>
          <w:rFonts w:ascii="Calibri" w:eastAsia="Calibri" w:hAnsi="Calibri" w:cs="Calibri"/>
        </w:rPr>
        <w:t>.</w:t>
      </w:r>
    </w:p>
    <w:p w14:paraId="3AAE09AC" w14:textId="556D3D48" w:rsidR="55C97919" w:rsidRDefault="64AD38B9" w:rsidP="51F34292">
      <w:pPr>
        <w:spacing w:before="240" w:after="240" w:line="360" w:lineRule="auto"/>
        <w:rPr>
          <w:rFonts w:ascii="Calibri" w:eastAsia="Calibri" w:hAnsi="Calibri" w:cs="Calibri"/>
          <w:b/>
          <w:bCs/>
          <w:u w:val="single"/>
        </w:rPr>
      </w:pPr>
      <w:r w:rsidRPr="51F34292">
        <w:rPr>
          <w:rFonts w:ascii="Calibri" w:eastAsia="Calibri" w:hAnsi="Calibri" w:cs="Calibri"/>
          <w:b/>
          <w:bCs/>
          <w:u w:val="single"/>
        </w:rPr>
        <w:t>Moving Beyond Statutory Requirements.</w:t>
      </w:r>
    </w:p>
    <w:p w14:paraId="433DC52D" w14:textId="6E5C0C35" w:rsidR="4EFA7E66" w:rsidRDefault="64E0D2E5" w:rsidP="51F34292">
      <w:pPr>
        <w:spacing w:before="240" w:after="240" w:line="360" w:lineRule="auto"/>
        <w:rPr>
          <w:rFonts w:ascii="Calibri" w:eastAsia="Calibri" w:hAnsi="Calibri" w:cs="Calibri"/>
        </w:rPr>
      </w:pPr>
      <w:r w:rsidRPr="4C6CD0AB">
        <w:rPr>
          <w:rFonts w:ascii="Calibri" w:eastAsia="Calibri" w:hAnsi="Calibri" w:cs="Calibri"/>
        </w:rPr>
        <w:t xml:space="preserve">Statutory frameworks such as the Early Years Foundation Phase establish a </w:t>
      </w:r>
      <w:r w:rsidR="642EEBDE" w:rsidRPr="4C6CD0AB">
        <w:rPr>
          <w:rFonts w:ascii="Calibri" w:eastAsia="Calibri" w:hAnsi="Calibri" w:cs="Calibri"/>
        </w:rPr>
        <w:t>baseline</w:t>
      </w:r>
      <w:r w:rsidRPr="4C6CD0AB">
        <w:rPr>
          <w:rFonts w:ascii="Calibri" w:eastAsia="Calibri" w:hAnsi="Calibri" w:cs="Calibri"/>
        </w:rPr>
        <w:t xml:space="preserve"> for practice, yet they are not designed to </w:t>
      </w:r>
      <w:r w:rsidR="291F30A6" w:rsidRPr="4C6CD0AB">
        <w:rPr>
          <w:rFonts w:ascii="Calibri" w:eastAsia="Calibri" w:hAnsi="Calibri" w:cs="Calibri"/>
        </w:rPr>
        <w:t>show</w:t>
      </w:r>
      <w:r w:rsidRPr="4C6CD0AB">
        <w:rPr>
          <w:rFonts w:ascii="Calibri" w:eastAsia="Calibri" w:hAnsi="Calibri" w:cs="Calibri"/>
        </w:rPr>
        <w:t xml:space="preserve"> excellence. Reflecting on </w:t>
      </w:r>
      <w:bookmarkStart w:id="0" w:name="_Int_1fItHeYK"/>
      <w:proofErr w:type="gramStart"/>
      <w:r w:rsidR="22122517" w:rsidRPr="4C6CD0AB">
        <w:rPr>
          <w:rFonts w:ascii="Calibri" w:eastAsia="Calibri" w:hAnsi="Calibri" w:cs="Calibri"/>
        </w:rPr>
        <w:t xml:space="preserve">this </w:t>
      </w:r>
      <w:r w:rsidR="48B751A5" w:rsidRPr="4C6CD0AB">
        <w:rPr>
          <w:rFonts w:ascii="Calibri" w:eastAsia="Calibri" w:hAnsi="Calibri" w:cs="Calibri"/>
        </w:rPr>
        <w:t>highlights</w:t>
      </w:r>
      <w:bookmarkEnd w:id="0"/>
      <w:proofErr w:type="gramEnd"/>
      <w:r w:rsidRPr="4C6CD0AB">
        <w:rPr>
          <w:rFonts w:ascii="Calibri" w:eastAsia="Calibri" w:hAnsi="Calibri" w:cs="Calibri"/>
        </w:rPr>
        <w:t xml:space="preserve"> a clear distinction between compliance and quality (Gov.uk</w:t>
      </w:r>
      <w:r w:rsidR="5DC4AC5B" w:rsidRPr="4C6CD0AB">
        <w:rPr>
          <w:rFonts w:ascii="Calibri" w:eastAsia="Calibri" w:hAnsi="Calibri" w:cs="Calibri"/>
        </w:rPr>
        <w:t>, 2014).</w:t>
      </w:r>
    </w:p>
    <w:p w14:paraId="24684B7D" w14:textId="27E0F85F" w:rsidR="48B39AEA" w:rsidRDefault="2D309BE1" w:rsidP="51F34292">
      <w:pPr>
        <w:spacing w:before="240" w:after="240" w:line="360" w:lineRule="auto"/>
        <w:rPr>
          <w:rFonts w:ascii="Calibri" w:eastAsia="Calibri" w:hAnsi="Calibri" w:cs="Calibri"/>
        </w:rPr>
      </w:pPr>
      <w:r w:rsidRPr="51F34292">
        <w:rPr>
          <w:rFonts w:ascii="Calibri" w:eastAsia="Calibri" w:hAnsi="Calibri" w:cs="Calibri"/>
        </w:rPr>
        <w:t>The importance of going beyond statutory expectations is supported by theorists such as Vygotsky, who emphasised the role of social interaction in learning. This suggests that quality cannot be measured solely through policies or environments but must consider the depth of engagement between practitioners and children (Saul McLeod, 2025).</w:t>
      </w:r>
      <w:r w:rsidR="060BC5AC" w:rsidRPr="51F34292">
        <w:rPr>
          <w:rFonts w:ascii="Calibri" w:eastAsia="Calibri" w:hAnsi="Calibri" w:cs="Calibri"/>
        </w:rPr>
        <w:t xml:space="preserve"> Similarly, </w:t>
      </w:r>
      <w:r w:rsidR="060BC5AC" w:rsidRPr="51F34292">
        <w:rPr>
          <w:rFonts w:ascii="Calibri" w:eastAsia="Calibri" w:hAnsi="Calibri" w:cs="Calibri"/>
        </w:rPr>
        <w:lastRenderedPageBreak/>
        <w:t>Bowlby highlights the importance of secure attachments, reinforcing the idea that emotional relationships are central to early development (Kathy Brodie, n.d).</w:t>
      </w:r>
    </w:p>
    <w:p w14:paraId="5B7EADDE" w14:textId="4AB39ECA" w:rsidR="04D08817" w:rsidRDefault="68E5C33E" w:rsidP="51F34292">
      <w:pPr>
        <w:spacing w:before="240" w:after="240" w:line="360" w:lineRule="auto"/>
        <w:rPr>
          <w:rFonts w:ascii="Calibri" w:eastAsia="Calibri" w:hAnsi="Calibri" w:cs="Calibri"/>
        </w:rPr>
      </w:pPr>
      <w:r w:rsidRPr="4C6CD0AB">
        <w:rPr>
          <w:rFonts w:ascii="Calibri" w:eastAsia="Calibri" w:hAnsi="Calibri" w:cs="Calibri"/>
        </w:rPr>
        <w:t>From a reflective point of view, approaches like the Baby Effective Early Learning Programme and the Early Childhood Environment Rating Scale create space for practitioners to look beyond everyday routines and think more deeply about what quality really means in practice</w:t>
      </w:r>
      <w:r w:rsidR="094CD9BA" w:rsidRPr="4C6CD0AB">
        <w:rPr>
          <w:rFonts w:ascii="Calibri" w:eastAsia="Calibri" w:hAnsi="Calibri" w:cs="Calibri"/>
        </w:rPr>
        <w:t xml:space="preserve"> (</w:t>
      </w:r>
      <w:r w:rsidR="403FA680" w:rsidRPr="4C6CD0AB">
        <w:rPr>
          <w:rFonts w:ascii="Calibri" w:eastAsia="Calibri" w:hAnsi="Calibri" w:cs="Calibri"/>
        </w:rPr>
        <w:t>Early years Wales, n.d).</w:t>
      </w:r>
    </w:p>
    <w:p w14:paraId="49F50028" w14:textId="6E16CD66" w:rsidR="04D08817" w:rsidRDefault="6278AF08" w:rsidP="51F34292">
      <w:pPr>
        <w:spacing w:before="240" w:after="240" w:line="360" w:lineRule="auto"/>
        <w:rPr>
          <w:rFonts w:ascii="Calibri" w:eastAsia="Calibri" w:hAnsi="Calibri" w:cs="Calibri"/>
          <w:b/>
          <w:bCs/>
          <w:u w:val="single"/>
        </w:rPr>
      </w:pPr>
      <w:r w:rsidRPr="51F34292">
        <w:rPr>
          <w:rFonts w:ascii="Calibri" w:eastAsia="Calibri" w:hAnsi="Calibri" w:cs="Calibri"/>
          <w:b/>
          <w:bCs/>
          <w:u w:val="single"/>
        </w:rPr>
        <w:t>Critical Reflection on the Baby Effective Early Learning Programme (BEEL).</w:t>
      </w:r>
    </w:p>
    <w:p w14:paraId="3C590762" w14:textId="6F06DD6D" w:rsidR="48EF0D51" w:rsidRDefault="466EA02D" w:rsidP="51F34292">
      <w:pPr>
        <w:spacing w:before="240" w:after="240" w:line="360" w:lineRule="auto"/>
        <w:rPr>
          <w:rFonts w:ascii="Calibri" w:eastAsia="Calibri" w:hAnsi="Calibri" w:cs="Calibri"/>
        </w:rPr>
      </w:pPr>
      <w:r w:rsidRPr="51F34292">
        <w:rPr>
          <w:rFonts w:ascii="Calibri" w:eastAsia="Calibri" w:hAnsi="Calibri" w:cs="Calibri"/>
        </w:rPr>
        <w:t>The Baby Effective Early Learning Programme is valuable because it focuses on children from birth to three years, a stage where development is rapid and highly influenced by relationships (Gov.uk, 2025). This early period is widely recognised as critical for brain development, emotional regulation, and attachment formation. The programme aligns closely with attachment theory, as researched by Bowlby, which emphasises the importance of consistent and responsive caregiving in supporting emotional security (Kathy Brodie, n.d)</w:t>
      </w:r>
      <w:r w:rsidR="0C01309A" w:rsidRPr="51F34292">
        <w:rPr>
          <w:rFonts w:ascii="Calibri" w:eastAsia="Calibri" w:hAnsi="Calibri" w:cs="Calibri"/>
        </w:rPr>
        <w:t>.</w:t>
      </w:r>
      <w:r w:rsidRPr="51F34292">
        <w:rPr>
          <w:rFonts w:ascii="Calibri" w:eastAsia="Calibri" w:hAnsi="Calibri" w:cs="Calibri"/>
        </w:rPr>
        <w:t xml:space="preserve"> This theoretical underpinning strengthens the credibility of BEEL, as it is grounded in well-established research on early childhood development</w:t>
      </w:r>
      <w:r w:rsidR="5EA10CD8" w:rsidRPr="51F34292">
        <w:rPr>
          <w:rFonts w:ascii="Calibri" w:eastAsia="Calibri" w:hAnsi="Calibri" w:cs="Calibri"/>
        </w:rPr>
        <w:t xml:space="preserve"> (McGarvie Susan, 2024).</w:t>
      </w:r>
    </w:p>
    <w:p w14:paraId="7D3C6DC1" w14:textId="4B4E5C44" w:rsidR="48EF0D51" w:rsidRDefault="466EA02D" w:rsidP="51F34292">
      <w:pPr>
        <w:spacing w:before="240" w:after="240" w:line="360" w:lineRule="auto"/>
        <w:rPr>
          <w:rFonts w:ascii="Calibri" w:eastAsia="Calibri" w:hAnsi="Calibri" w:cs="Calibri"/>
        </w:rPr>
      </w:pPr>
      <w:r w:rsidRPr="51F34292">
        <w:rPr>
          <w:rFonts w:ascii="Calibri" w:eastAsia="Calibri" w:hAnsi="Calibri" w:cs="Calibri"/>
        </w:rPr>
        <w:t xml:space="preserve">One of the key strengths of BEEL is its emphasis on observation and reflection. It encourages practitioners to slow down and focus on children’s </w:t>
      </w:r>
      <w:r w:rsidR="47435579" w:rsidRPr="51F34292">
        <w:rPr>
          <w:rFonts w:ascii="Calibri" w:eastAsia="Calibri" w:hAnsi="Calibri" w:cs="Calibri"/>
        </w:rPr>
        <w:t>development</w:t>
      </w:r>
      <w:r w:rsidRPr="51F34292">
        <w:rPr>
          <w:rFonts w:ascii="Calibri" w:eastAsia="Calibri" w:hAnsi="Calibri" w:cs="Calibri"/>
        </w:rPr>
        <w:t>, rather than prioritising routines or task completion</w:t>
      </w:r>
      <w:r w:rsidR="6AA2B5E5" w:rsidRPr="51F34292">
        <w:rPr>
          <w:rFonts w:ascii="Calibri" w:eastAsia="Calibri" w:hAnsi="Calibri" w:cs="Calibri"/>
        </w:rPr>
        <w:t xml:space="preserve"> (Nursery World, 2012)</w:t>
      </w:r>
      <w:r w:rsidRPr="51F34292">
        <w:rPr>
          <w:rFonts w:ascii="Calibri" w:eastAsia="Calibri" w:hAnsi="Calibri" w:cs="Calibri"/>
        </w:rPr>
        <w:t>. In practice, this shift can be significant, as busy early</w:t>
      </w:r>
      <w:r w:rsidR="1295C1C8" w:rsidRPr="51F34292">
        <w:rPr>
          <w:rFonts w:ascii="Calibri" w:eastAsia="Calibri" w:hAnsi="Calibri" w:cs="Calibri"/>
        </w:rPr>
        <w:t xml:space="preserve"> years</w:t>
      </w:r>
      <w:r w:rsidRPr="51F34292">
        <w:rPr>
          <w:rFonts w:ascii="Calibri" w:eastAsia="Calibri" w:hAnsi="Calibri" w:cs="Calibri"/>
        </w:rPr>
        <w:t xml:space="preserve"> environments often lead to interactions becoming functional rather than meaningful. BEEL challenges this by promoting a more thoughtful and intentional approach to practice</w:t>
      </w:r>
      <w:r w:rsidR="382CFEAD" w:rsidRPr="51F34292">
        <w:rPr>
          <w:rFonts w:ascii="Calibri" w:eastAsia="Calibri" w:hAnsi="Calibri" w:cs="Calibri"/>
        </w:rPr>
        <w:t xml:space="preserve"> (The Bell Foundation, n.d).</w:t>
      </w:r>
    </w:p>
    <w:p w14:paraId="4F69177D" w14:textId="64BEBAF7" w:rsidR="48EF0D51" w:rsidRDefault="466EA02D" w:rsidP="51F34292">
      <w:pPr>
        <w:spacing w:before="240" w:after="240" w:line="360" w:lineRule="auto"/>
        <w:rPr>
          <w:rFonts w:ascii="Calibri" w:eastAsia="Calibri" w:hAnsi="Calibri" w:cs="Calibri"/>
        </w:rPr>
      </w:pPr>
      <w:r w:rsidRPr="51F34292">
        <w:rPr>
          <w:rFonts w:ascii="Calibri" w:eastAsia="Calibri" w:hAnsi="Calibri" w:cs="Calibri"/>
        </w:rPr>
        <w:t xml:space="preserve">This reflective process also links to the </w:t>
      </w:r>
      <w:r w:rsidR="6B946285" w:rsidRPr="51F34292">
        <w:rPr>
          <w:rFonts w:ascii="Calibri" w:eastAsia="Calibri" w:hAnsi="Calibri" w:cs="Calibri"/>
        </w:rPr>
        <w:t>theory</w:t>
      </w:r>
      <w:r w:rsidRPr="51F34292">
        <w:rPr>
          <w:rFonts w:ascii="Calibri" w:eastAsia="Calibri" w:hAnsi="Calibri" w:cs="Calibri"/>
        </w:rPr>
        <w:t xml:space="preserve"> of Vygotsky, his concept of the Zone of Proximal Development, where learning occurs through guided interaction (Saul McLeod, 2025). By observing children closely and responding appropriately, practitioners are better able to scaffold learning and extend children’s thinking</w:t>
      </w:r>
      <w:r w:rsidR="7B92E27D" w:rsidRPr="51F34292">
        <w:rPr>
          <w:rFonts w:ascii="Calibri" w:eastAsia="Calibri" w:hAnsi="Calibri" w:cs="Calibri"/>
        </w:rPr>
        <w:t xml:space="preserve"> (Sage Journals, n.d)</w:t>
      </w:r>
      <w:r w:rsidRPr="51F34292">
        <w:rPr>
          <w:rFonts w:ascii="Calibri" w:eastAsia="Calibri" w:hAnsi="Calibri" w:cs="Calibri"/>
        </w:rPr>
        <w:t>. This highlights how BEEL not only supports emotional wellbeing but also contributes to cognitive development.</w:t>
      </w:r>
    </w:p>
    <w:p w14:paraId="63C32CE6" w14:textId="01A3217F" w:rsidR="48EF0D51" w:rsidRDefault="466EA02D" w:rsidP="51F34292">
      <w:pPr>
        <w:spacing w:before="240" w:after="240" w:line="360" w:lineRule="auto"/>
        <w:rPr>
          <w:rFonts w:ascii="Calibri" w:eastAsia="Calibri" w:hAnsi="Calibri" w:cs="Calibri"/>
        </w:rPr>
      </w:pPr>
      <w:r w:rsidRPr="4C6CD0AB">
        <w:rPr>
          <w:rFonts w:ascii="Calibri" w:eastAsia="Calibri" w:hAnsi="Calibri" w:cs="Calibri"/>
        </w:rPr>
        <w:lastRenderedPageBreak/>
        <w:t>Reflecting on this approach draws attention to how easily important moments can be overlooked. BEEL supports practitioners in recognising subtle forms of communication</w:t>
      </w:r>
      <w:r w:rsidR="23682920" w:rsidRPr="4C6CD0AB">
        <w:rPr>
          <w:rFonts w:ascii="Calibri" w:eastAsia="Calibri" w:hAnsi="Calibri" w:cs="Calibri"/>
        </w:rPr>
        <w:t xml:space="preserve"> </w:t>
      </w:r>
      <w:r w:rsidR="5B88F737" w:rsidRPr="4C6CD0AB">
        <w:rPr>
          <w:rFonts w:ascii="Calibri" w:eastAsia="Calibri" w:hAnsi="Calibri" w:cs="Calibri"/>
        </w:rPr>
        <w:t>such as</w:t>
      </w:r>
      <w:r w:rsidRPr="4C6CD0AB">
        <w:rPr>
          <w:rFonts w:ascii="Calibri" w:eastAsia="Calibri" w:hAnsi="Calibri" w:cs="Calibri"/>
        </w:rPr>
        <w:t xml:space="preserve"> eye contact, gestures, and changes in behaviour (Nursery World, 2012). These small but significant cues provide insight into children’s needs and interests. Responding to them effectively helps to build secure attachments, which are essential for emotional wellbeing and future learning (Bertram and Pascal, 2006). From a reflective perspective, this reinforces the idea that quality lies not only in planned activities </w:t>
      </w:r>
      <w:r w:rsidR="014F1FEA" w:rsidRPr="4C6CD0AB">
        <w:rPr>
          <w:rFonts w:ascii="Calibri" w:eastAsia="Calibri" w:hAnsi="Calibri" w:cs="Calibri"/>
        </w:rPr>
        <w:t>but also</w:t>
      </w:r>
      <w:r w:rsidRPr="4C6CD0AB">
        <w:rPr>
          <w:rFonts w:ascii="Calibri" w:eastAsia="Calibri" w:hAnsi="Calibri" w:cs="Calibri"/>
        </w:rPr>
        <w:t xml:space="preserve"> in everyday interactions.</w:t>
      </w:r>
    </w:p>
    <w:p w14:paraId="1B77666C" w14:textId="3BC6AEB8" w:rsidR="48EF0D51" w:rsidRDefault="466EA02D" w:rsidP="51F34292">
      <w:pPr>
        <w:spacing w:before="240" w:after="240" w:line="360" w:lineRule="auto"/>
        <w:rPr>
          <w:rFonts w:ascii="Calibri" w:eastAsia="Calibri" w:hAnsi="Calibri" w:cs="Calibri"/>
        </w:rPr>
      </w:pPr>
      <w:r w:rsidRPr="51F34292">
        <w:rPr>
          <w:rFonts w:ascii="Calibri" w:eastAsia="Calibri" w:hAnsi="Calibri" w:cs="Calibri"/>
        </w:rPr>
        <w:t>Another strength of BEEL is its focus on professional development. The programme promotes ongoing reflection and discussion, enabling practitioners to deepen their understanding of child development over time. This approach recognises that quality is not a fixed standard but an evolving process (Education Professional Development, 2021). It encourages a culture of continuous improvement, where practitioners feel supported to reflect on and adapt their practice.</w:t>
      </w:r>
    </w:p>
    <w:p w14:paraId="7BF722D9" w14:textId="2C9BC0A3" w:rsidR="48EF0D51" w:rsidRDefault="466EA02D" w:rsidP="51F34292">
      <w:pPr>
        <w:spacing w:before="240" w:after="240" w:line="360" w:lineRule="auto"/>
        <w:rPr>
          <w:rFonts w:ascii="Calibri" w:eastAsia="Calibri" w:hAnsi="Calibri" w:cs="Calibri"/>
        </w:rPr>
      </w:pPr>
      <w:r w:rsidRPr="51F34292">
        <w:rPr>
          <w:rFonts w:ascii="Calibri" w:eastAsia="Calibri" w:hAnsi="Calibri" w:cs="Calibri"/>
        </w:rPr>
        <w:t>However, despite these strengths, there are challenges. Reflection requires time, which can be difficult to prioritise in busy settings. Without sufficient time and support, reflective practice may become superficial, reducing its effectiveness</w:t>
      </w:r>
      <w:r w:rsidR="2F2EC2A0" w:rsidRPr="51F34292">
        <w:rPr>
          <w:rFonts w:ascii="Calibri" w:eastAsia="Calibri" w:hAnsi="Calibri" w:cs="Calibri"/>
        </w:rPr>
        <w:t xml:space="preserve"> (Linda Finlay, 2008</w:t>
      </w:r>
      <w:proofErr w:type="gramStart"/>
      <w:r w:rsidR="2F2EC2A0" w:rsidRPr="51F34292">
        <w:rPr>
          <w:rFonts w:ascii="Calibri" w:eastAsia="Calibri" w:hAnsi="Calibri" w:cs="Calibri"/>
        </w:rPr>
        <w:t>).</w:t>
      </w:r>
      <w:r w:rsidRPr="51F34292">
        <w:rPr>
          <w:rFonts w:ascii="Calibri" w:eastAsia="Calibri" w:hAnsi="Calibri" w:cs="Calibri"/>
        </w:rPr>
        <w:t>.</w:t>
      </w:r>
      <w:proofErr w:type="gramEnd"/>
      <w:r w:rsidRPr="51F34292">
        <w:rPr>
          <w:rFonts w:ascii="Calibri" w:eastAsia="Calibri" w:hAnsi="Calibri" w:cs="Calibri"/>
        </w:rPr>
        <w:t xml:space="preserve"> There is also a reliance on practitioner motivation and engagement, meaning that outcomes can vary across teams (Bristol Early Years, n.d). </w:t>
      </w:r>
    </w:p>
    <w:p w14:paraId="447B5651" w14:textId="10EAD841" w:rsidR="48EF0D51" w:rsidRDefault="466EA02D" w:rsidP="51F34292">
      <w:pPr>
        <w:spacing w:before="240" w:after="240" w:line="360" w:lineRule="auto"/>
        <w:rPr>
          <w:rFonts w:ascii="Calibri" w:eastAsia="Calibri" w:hAnsi="Calibri" w:cs="Calibri"/>
        </w:rPr>
      </w:pPr>
      <w:r w:rsidRPr="51F34292">
        <w:rPr>
          <w:rFonts w:ascii="Calibri" w:eastAsia="Calibri" w:hAnsi="Calibri" w:cs="Calibri"/>
        </w:rPr>
        <w:t>Overall, while BEEL offers a valuable framework for enhancing quality through reflection and relationship-based practice, its success depends largely on how effectively it is implemented within the setting.</w:t>
      </w:r>
    </w:p>
    <w:p w14:paraId="7D5C02ED" w14:textId="0F251FE0" w:rsidR="48EF0D51" w:rsidRDefault="14019BA6" w:rsidP="51F34292">
      <w:pPr>
        <w:spacing w:before="240" w:after="240" w:line="360" w:lineRule="auto"/>
        <w:rPr>
          <w:rFonts w:ascii="Calibri" w:eastAsia="Calibri" w:hAnsi="Calibri" w:cs="Calibri"/>
          <w:b/>
          <w:bCs/>
          <w:u w:val="single"/>
        </w:rPr>
      </w:pPr>
      <w:r w:rsidRPr="51F34292">
        <w:rPr>
          <w:rFonts w:ascii="Calibri" w:eastAsia="Calibri" w:hAnsi="Calibri" w:cs="Calibri"/>
          <w:b/>
          <w:bCs/>
          <w:u w:val="single"/>
        </w:rPr>
        <w:t>Critical Reflection on the Early Childhood Environment Rating Scale (ECERS)</w:t>
      </w:r>
    </w:p>
    <w:p w14:paraId="1CF493BA" w14:textId="4AFC2DB9" w:rsidR="26CE2971" w:rsidRDefault="0A149E33" w:rsidP="51F34292">
      <w:pPr>
        <w:spacing w:before="240" w:after="240" w:line="360" w:lineRule="auto"/>
        <w:rPr>
          <w:rFonts w:ascii="Calibri" w:eastAsia="Calibri" w:hAnsi="Calibri" w:cs="Calibri"/>
        </w:rPr>
      </w:pPr>
      <w:r w:rsidRPr="51F34292">
        <w:rPr>
          <w:rFonts w:ascii="Calibri" w:eastAsia="Calibri" w:hAnsi="Calibri" w:cs="Calibri"/>
        </w:rPr>
        <w:t>The Early Childhood Environment Rating Scale provides a structured approach to quality assurance, with a clear focus on the environment and the resources available to children. It offers defined criteria and a scoring system, enabling practitioners to identify strengths and areas for development within their setting (Ainur Alpys, 2025). This structured framework can be particularly valuable in supporting consistency and providing a shared understanding of what constitutes quality in early years provision.</w:t>
      </w:r>
    </w:p>
    <w:p w14:paraId="5CE32248" w14:textId="2F1062D6" w:rsidR="26CE2971" w:rsidRDefault="0A149E33" w:rsidP="51F34292">
      <w:pPr>
        <w:spacing w:before="240" w:after="240" w:line="360" w:lineRule="auto"/>
        <w:rPr>
          <w:rFonts w:ascii="Calibri" w:eastAsia="Calibri" w:hAnsi="Calibri" w:cs="Calibri"/>
        </w:rPr>
      </w:pPr>
      <w:r w:rsidRPr="4C6CD0AB">
        <w:rPr>
          <w:rFonts w:ascii="Calibri" w:eastAsia="Calibri" w:hAnsi="Calibri" w:cs="Calibri"/>
        </w:rPr>
        <w:lastRenderedPageBreak/>
        <w:t xml:space="preserve">Reflecting on ECERS, one of its key strengths is the clarity it provides. For practitioners, particularly those with less experience, it offers practical guidance on what high-quality provision looks like in everyday practice (Science Direct, 2018). It encourages practitioners to think critically about how the environment supports children’s learning, for example through ensuring that resources are accessible, inclusive, and organised in a way that promotes independence (Birth to 5 Matters, n.d). </w:t>
      </w:r>
    </w:p>
    <w:p w14:paraId="6C3DF1D3" w14:textId="30E4CC4A" w:rsidR="26CE2971" w:rsidRDefault="0A149E33" w:rsidP="51F34292">
      <w:pPr>
        <w:spacing w:before="240" w:after="240" w:line="360" w:lineRule="auto"/>
        <w:rPr>
          <w:rFonts w:ascii="Calibri" w:eastAsia="Calibri" w:hAnsi="Calibri" w:cs="Calibri"/>
        </w:rPr>
      </w:pPr>
      <w:r w:rsidRPr="51F34292">
        <w:rPr>
          <w:rFonts w:ascii="Calibri" w:eastAsia="Calibri" w:hAnsi="Calibri" w:cs="Calibri"/>
        </w:rPr>
        <w:t xml:space="preserve">The emphasis on the environment reflects the work of </w:t>
      </w:r>
      <w:r w:rsidR="29CF4253" w:rsidRPr="51F34292">
        <w:rPr>
          <w:rFonts w:ascii="Calibri" w:eastAsia="Calibri" w:hAnsi="Calibri" w:cs="Calibri"/>
        </w:rPr>
        <w:t>Piaget,</w:t>
      </w:r>
      <w:r w:rsidRPr="51F34292">
        <w:rPr>
          <w:rFonts w:ascii="Calibri" w:eastAsia="Calibri" w:hAnsi="Calibri" w:cs="Calibri"/>
        </w:rPr>
        <w:t xml:space="preserve"> who highlighted the importance of active learning and exploration in cognitive development. A well-organised environment allows children to interact with materials independently, supporting problem-solving and discovery (The Education Hub, 2021). This suggests that ECERS is grounded in theoretical perspectives that recognise the environment as an important contributor to learning.</w:t>
      </w:r>
    </w:p>
    <w:p w14:paraId="21828611" w14:textId="4E5E81E1" w:rsidR="26CE2971" w:rsidRDefault="6C2AB26D" w:rsidP="51F34292">
      <w:pPr>
        <w:spacing w:before="240" w:after="240" w:line="360" w:lineRule="auto"/>
        <w:rPr>
          <w:rFonts w:ascii="Calibri" w:eastAsia="Calibri" w:hAnsi="Calibri" w:cs="Calibri"/>
        </w:rPr>
      </w:pPr>
      <w:r w:rsidRPr="51F34292">
        <w:rPr>
          <w:rFonts w:ascii="Calibri" w:eastAsia="Calibri" w:hAnsi="Calibri" w:cs="Calibri"/>
        </w:rPr>
        <w:t>From experience during a lecture workshop at university, it became clear that even small changes influenced by ECERS can have a noticeable impact on children’s engagement. Adjustments such as improving room layout or increasing accessibility of resources can encourage independence and participation, particularly for children with disabilities. This demonstrates how ECERS can support inclusive practice by prompting practitioners to consider the needs of all children.</w:t>
      </w:r>
    </w:p>
    <w:p w14:paraId="26E9BF11" w14:textId="7FB69F47" w:rsidR="26CE2971" w:rsidRDefault="6C2AB26D" w:rsidP="51F34292">
      <w:pPr>
        <w:spacing w:before="240" w:after="240" w:line="360" w:lineRule="auto"/>
        <w:rPr>
          <w:rFonts w:ascii="Calibri" w:eastAsia="Calibri" w:hAnsi="Calibri" w:cs="Calibri"/>
        </w:rPr>
      </w:pPr>
      <w:r w:rsidRPr="51F34292">
        <w:rPr>
          <w:rFonts w:ascii="Calibri" w:eastAsia="Calibri" w:hAnsi="Calibri" w:cs="Calibri"/>
        </w:rPr>
        <w:t>Despite these benefits, ECERS also has limitations. Its strong focus on the environment can sometimes lead to an overemphasis on resources rather than the quality of interactions (Journal of Early Childhood Research, 2019). Reflecting on practice suggests that meaningful learning is equally dependent on how practitioners engage with children, not just the materials provided (CPD, 2024). There is also a risk that practitioners may prioritise achieving higher scores rather than making meaningful improvements, resulting in a more superficial approach to quality.</w:t>
      </w:r>
    </w:p>
    <w:p w14:paraId="3B0C2251" w14:textId="6D296BF0" w:rsidR="26CE2971" w:rsidRDefault="6C2AB26D" w:rsidP="51F34292">
      <w:pPr>
        <w:spacing w:before="240" w:after="240" w:line="360" w:lineRule="auto"/>
        <w:rPr>
          <w:rFonts w:ascii="Calibri" w:eastAsia="Calibri" w:hAnsi="Calibri" w:cs="Calibri"/>
        </w:rPr>
      </w:pPr>
      <w:r w:rsidRPr="51F34292">
        <w:rPr>
          <w:rFonts w:ascii="Calibri" w:eastAsia="Calibri" w:hAnsi="Calibri" w:cs="Calibri"/>
        </w:rPr>
        <w:t>Overall, while ECERS provides a valuable and structured framework for evaluating early years environments, its effectiveness depends on being used alongside a focus on interactions and reflective practice.</w:t>
      </w:r>
    </w:p>
    <w:p w14:paraId="45A879EB" w14:textId="4B6B3834" w:rsidR="26CE2971" w:rsidRDefault="54BB8580" w:rsidP="51F34292">
      <w:pPr>
        <w:spacing w:before="240" w:after="240" w:line="360" w:lineRule="auto"/>
        <w:rPr>
          <w:rFonts w:ascii="Calibri" w:eastAsia="Calibri" w:hAnsi="Calibri" w:cs="Calibri"/>
          <w:b/>
          <w:bCs/>
          <w:u w:val="single"/>
        </w:rPr>
      </w:pPr>
      <w:r w:rsidRPr="51F34292">
        <w:rPr>
          <w:rFonts w:ascii="Calibri" w:eastAsia="Calibri" w:hAnsi="Calibri" w:cs="Calibri"/>
          <w:b/>
          <w:bCs/>
          <w:u w:val="single"/>
        </w:rPr>
        <w:t>Comparing BEEL and ECERS</w:t>
      </w:r>
    </w:p>
    <w:p w14:paraId="1CE0ADA8" w14:textId="41C00716" w:rsidR="19EAADD3" w:rsidRDefault="5D3B9167" w:rsidP="51F34292">
      <w:pPr>
        <w:spacing w:before="240" w:after="240" w:line="360" w:lineRule="auto"/>
        <w:rPr>
          <w:rFonts w:ascii="Calibri" w:eastAsia="Calibri" w:hAnsi="Calibri" w:cs="Calibri"/>
        </w:rPr>
      </w:pPr>
      <w:r w:rsidRPr="51F34292">
        <w:rPr>
          <w:rFonts w:ascii="Calibri" w:eastAsia="Calibri" w:hAnsi="Calibri" w:cs="Calibri"/>
        </w:rPr>
        <w:lastRenderedPageBreak/>
        <w:t>Comparing the Baby Effective Early Learning Programme and the Early Childhood Environment Rating Scale highlights two distinct yet complementary approaches to quality assurance. BEEL places a strong emphasis on relationships, reflective practice, and practitioner development (Nathan BEEL, 2026), encouraging practitioners to focus on the emotional and developmental needs of children through meaningful interactions. In contrast, ECERS prioritises the physical environment and measurable standards, offering a structured framework to assess resources, space, and organisation (Environment Rating Scale, n.d). While both approaches provide valuable insights into quality, neither fully captures the complexity of early years provision when used in isolation.</w:t>
      </w:r>
    </w:p>
    <w:p w14:paraId="3BD9B61C" w14:textId="0CB78B0B" w:rsidR="19EAADD3" w:rsidRDefault="5D3B9167" w:rsidP="51F34292">
      <w:pPr>
        <w:spacing w:before="240" w:after="240" w:line="360" w:lineRule="auto"/>
        <w:rPr>
          <w:rFonts w:ascii="Calibri" w:eastAsia="Calibri" w:hAnsi="Calibri" w:cs="Calibri"/>
        </w:rPr>
      </w:pPr>
      <w:r w:rsidRPr="51F34292">
        <w:rPr>
          <w:rFonts w:ascii="Calibri" w:eastAsia="Calibri" w:hAnsi="Calibri" w:cs="Calibri"/>
        </w:rPr>
        <w:t>From a reflective perspective, quality in early years settings is inherently multidimensional (Palaiologou, 2023). It is shaped not only by the environment but also by the quality of interactions, the strength of relationships, and the ability of practitioners to respond to children’s individual needs. BEEL supports the development of sensitive, responsive caregiving, while ECERS ensures that the environment is enabling and accessible. This suggests that integrating both approaches can provide a more balanced and holistic understanding of quality.</w:t>
      </w:r>
    </w:p>
    <w:p w14:paraId="2FC3325C" w14:textId="34A55C67" w:rsidR="19EAADD3" w:rsidRDefault="5D3B9167" w:rsidP="51F34292">
      <w:pPr>
        <w:spacing w:before="240" w:after="240" w:line="360" w:lineRule="auto"/>
        <w:rPr>
          <w:rFonts w:ascii="Calibri" w:eastAsia="Calibri" w:hAnsi="Calibri" w:cs="Calibri"/>
        </w:rPr>
      </w:pPr>
      <w:r w:rsidRPr="51F34292">
        <w:rPr>
          <w:rFonts w:ascii="Calibri" w:eastAsia="Calibri" w:hAnsi="Calibri" w:cs="Calibri"/>
        </w:rPr>
        <w:t>However, combining multiple frameworks is not without challenges. It requires strong and effective leadership to guide implementation and ensure that staff understand the purpose of each approach. Clear communication is essential to avoid confusion or duplication, particularly when practitioners may already feel under pressure. Without this, there is a risk that quality assurance processes become fragmented, with staff focusing on completing tasks rather than engaging in meaningful reflection (BMC, 2025).</w:t>
      </w:r>
    </w:p>
    <w:p w14:paraId="62C1859D" w14:textId="5CBF1BE5" w:rsidR="19EAADD3" w:rsidRDefault="5D3B9167" w:rsidP="51F34292">
      <w:pPr>
        <w:spacing w:before="240" w:after="240" w:line="360" w:lineRule="auto"/>
        <w:rPr>
          <w:rFonts w:ascii="Calibri" w:eastAsia="Calibri" w:hAnsi="Calibri" w:cs="Calibri"/>
        </w:rPr>
      </w:pPr>
      <w:r w:rsidRPr="51F34292">
        <w:rPr>
          <w:rFonts w:ascii="Calibri" w:eastAsia="Calibri" w:hAnsi="Calibri" w:cs="Calibri"/>
        </w:rPr>
        <w:t>Furthermore, there is a need to consider practitioner workload and capacity. Introducing multiple frameworks may feel overwhelming, particularly in busy settings where time for reflection is limited. This highlights the importance of embedding quality assurance into everyday practice, rather than treating it as an additional requirement.</w:t>
      </w:r>
    </w:p>
    <w:p w14:paraId="4CE5B4E2" w14:textId="36F20A3D" w:rsidR="19EAADD3" w:rsidRDefault="71863CA4" w:rsidP="51F34292">
      <w:pPr>
        <w:spacing w:before="240" w:after="240" w:line="360" w:lineRule="auto"/>
        <w:rPr>
          <w:rFonts w:ascii="Calibri" w:eastAsia="Calibri" w:hAnsi="Calibri" w:cs="Calibri"/>
          <w:b/>
          <w:bCs/>
          <w:u w:val="single"/>
        </w:rPr>
      </w:pPr>
      <w:r w:rsidRPr="51F34292">
        <w:rPr>
          <w:rFonts w:ascii="Calibri" w:eastAsia="Calibri" w:hAnsi="Calibri" w:cs="Calibri"/>
          <w:b/>
          <w:bCs/>
          <w:u w:val="single"/>
        </w:rPr>
        <w:t>Challenges in Implementing Quality Assurance Methods</w:t>
      </w:r>
    </w:p>
    <w:p w14:paraId="2A4EAAF2" w14:textId="4D8AE49D" w:rsidR="06AC0B17" w:rsidRDefault="06AC0B17" w:rsidP="51F34292">
      <w:pPr>
        <w:spacing w:before="240" w:after="240" w:line="360" w:lineRule="auto"/>
        <w:rPr>
          <w:rFonts w:ascii="Calibri" w:eastAsia="Calibri" w:hAnsi="Calibri" w:cs="Calibri"/>
        </w:rPr>
      </w:pPr>
      <w:r w:rsidRPr="51F34292">
        <w:rPr>
          <w:rFonts w:ascii="Calibri" w:eastAsia="Calibri" w:hAnsi="Calibri" w:cs="Calibri"/>
        </w:rPr>
        <w:t xml:space="preserve">While the benefits of additional quality assurance methods are clear, their implementation is not without challenges. Time constraints are a significant barrier, as practitioners often </w:t>
      </w:r>
      <w:r w:rsidRPr="51F34292">
        <w:rPr>
          <w:rFonts w:ascii="Calibri" w:eastAsia="Calibri" w:hAnsi="Calibri" w:cs="Calibri"/>
        </w:rPr>
        <w:lastRenderedPageBreak/>
        <w:t>have limited opportunities for reflection within busy daily routines. Financial pressures may also restrict access to training, mentoring, and resources needed to fully engage with quality improvement frameworks (OECD, 2022). These limitations can result in inconsistent implementation, where some aspects of the framework are prioritised while others are overlooked.</w:t>
      </w:r>
    </w:p>
    <w:p w14:paraId="64C1C649" w14:textId="036534A2" w:rsidR="06AC0B17" w:rsidRDefault="06AC0B17" w:rsidP="51F34292">
      <w:pPr>
        <w:spacing w:before="240" w:after="240" w:line="360" w:lineRule="auto"/>
        <w:rPr>
          <w:rFonts w:ascii="Calibri" w:eastAsia="Calibri" w:hAnsi="Calibri" w:cs="Calibri"/>
        </w:rPr>
      </w:pPr>
      <w:r w:rsidRPr="51F34292">
        <w:rPr>
          <w:rFonts w:ascii="Calibri" w:eastAsia="Calibri" w:hAnsi="Calibri" w:cs="Calibri"/>
        </w:rPr>
        <w:t>Staff engagement is another key factor influencing success. Reflective practice requires practitioners to be open, self-critical, and willing to adapt their approaches, which may not always be comfortable or easily achieved. Resistance to change can arise, particularly if quality assurance processes are perceived as additional workload rather than meaningful professional development. This highlights the importance of leadership in creating a supportive environment where reflection is encouraged and valued (The National Strategies Early Years, n.d). Effective leaders play a crucial role in modelling reflective practice, providing guidance, and ensuring that staff feel confident to engage in the process.</w:t>
      </w:r>
    </w:p>
    <w:p w14:paraId="5C8020A8" w14:textId="5AB1614D" w:rsidR="06AC0B17" w:rsidRDefault="06AC0B17" w:rsidP="51F34292">
      <w:pPr>
        <w:spacing w:before="240" w:after="240" w:line="360" w:lineRule="auto"/>
        <w:rPr>
          <w:rFonts w:ascii="Calibri" w:eastAsia="Calibri" w:hAnsi="Calibri" w:cs="Calibri"/>
        </w:rPr>
      </w:pPr>
      <w:r w:rsidRPr="51F34292">
        <w:rPr>
          <w:rFonts w:ascii="Calibri" w:eastAsia="Calibri" w:hAnsi="Calibri" w:cs="Calibri"/>
        </w:rPr>
        <w:t>Sustaining improvements over time can also be challenging. Initial enthusiasm may decline without ongoing support, regular review, and reinforcement (Samuel A Silver, 2025). Reflecting on this suggests that quality improvement should not be viewed as a one-off initiative but as an ongoing, embedded process within everyday practice.</w:t>
      </w:r>
    </w:p>
    <w:p w14:paraId="1607122A" w14:textId="4A45361E" w:rsidR="06AC0B17" w:rsidRDefault="06AC0B17" w:rsidP="51F34292">
      <w:pPr>
        <w:spacing w:before="240" w:after="240" w:line="360" w:lineRule="auto"/>
        <w:rPr>
          <w:rFonts w:ascii="Calibri" w:eastAsia="Calibri" w:hAnsi="Calibri" w:cs="Calibri"/>
        </w:rPr>
      </w:pPr>
      <w:r w:rsidRPr="4C6CD0AB">
        <w:rPr>
          <w:rFonts w:ascii="Calibri" w:eastAsia="Calibri" w:hAnsi="Calibri" w:cs="Calibri"/>
        </w:rPr>
        <w:t xml:space="preserve">Additionally, external pressures such as inspections and accountability measures can sometimes shift the focus towards performance rather than genuine improvement. This may lead practitioners to prioritise evidence and outcomes over meaningful reflection. As highlighted by </w:t>
      </w:r>
      <w:r w:rsidR="0DF8D00B" w:rsidRPr="4C6CD0AB">
        <w:rPr>
          <w:rFonts w:ascii="Calibri" w:eastAsia="Calibri" w:hAnsi="Calibri" w:cs="Calibri"/>
        </w:rPr>
        <w:t>(</w:t>
      </w:r>
      <w:r w:rsidRPr="4C6CD0AB">
        <w:rPr>
          <w:rFonts w:ascii="Calibri" w:eastAsia="Calibri" w:hAnsi="Calibri" w:cs="Calibri"/>
        </w:rPr>
        <w:t>UNICEF</w:t>
      </w:r>
      <w:r w:rsidR="2C7F1CAC" w:rsidRPr="4C6CD0AB">
        <w:rPr>
          <w:rFonts w:ascii="Calibri" w:eastAsia="Calibri" w:hAnsi="Calibri" w:cs="Calibri"/>
        </w:rPr>
        <w:t xml:space="preserve">, </w:t>
      </w:r>
      <w:r w:rsidRPr="4C6CD0AB">
        <w:rPr>
          <w:rFonts w:ascii="Calibri" w:eastAsia="Calibri" w:hAnsi="Calibri" w:cs="Calibri"/>
        </w:rPr>
        <w:t>2023), sustainable quality improvement requires a long-term commitment and a culture that supports continuous learning, collaboration, and adaptability.</w:t>
      </w:r>
    </w:p>
    <w:p w14:paraId="0A12A59B" w14:textId="6CBF4EA3" w:rsidR="19EAADD3" w:rsidRDefault="71863CA4" w:rsidP="51F34292">
      <w:pPr>
        <w:spacing w:before="240" w:after="240" w:line="360" w:lineRule="auto"/>
        <w:rPr>
          <w:rFonts w:ascii="Calibri" w:eastAsia="Calibri" w:hAnsi="Calibri" w:cs="Calibri"/>
          <w:b/>
          <w:bCs/>
          <w:u w:val="single"/>
        </w:rPr>
      </w:pPr>
      <w:r w:rsidRPr="51F34292">
        <w:rPr>
          <w:rFonts w:ascii="Calibri" w:eastAsia="Calibri" w:hAnsi="Calibri" w:cs="Calibri"/>
          <w:b/>
          <w:bCs/>
          <w:u w:val="single"/>
        </w:rPr>
        <w:t>Conclusion</w:t>
      </w:r>
    </w:p>
    <w:p w14:paraId="44795761" w14:textId="4C050D24" w:rsidR="43861261" w:rsidRDefault="2B7677B2" w:rsidP="51F34292">
      <w:pPr>
        <w:spacing w:before="240" w:after="240" w:line="360" w:lineRule="auto"/>
        <w:rPr>
          <w:rFonts w:ascii="Calibri" w:eastAsia="Calibri" w:hAnsi="Calibri" w:cs="Calibri"/>
        </w:rPr>
      </w:pPr>
      <w:r w:rsidRPr="51F34292">
        <w:rPr>
          <w:rFonts w:ascii="Calibri" w:eastAsia="Calibri" w:hAnsi="Calibri" w:cs="Calibri"/>
        </w:rPr>
        <w:t>Ensuring quality beyond statutory requirements is essential for providing meaningful and effective early years experiences. The Baby Effective Early Learning Programme and the Early Childhood Environment Rating Scale both offer valuable approaches to improving practice, although they focus on different aspects of quality.</w:t>
      </w:r>
    </w:p>
    <w:p w14:paraId="2E1951E4" w14:textId="00545E76" w:rsidR="43861261" w:rsidRDefault="2B7677B2" w:rsidP="51F34292">
      <w:pPr>
        <w:spacing w:before="240" w:after="240" w:line="360" w:lineRule="auto"/>
        <w:rPr>
          <w:rFonts w:ascii="Calibri" w:eastAsia="Calibri" w:hAnsi="Calibri" w:cs="Calibri"/>
        </w:rPr>
      </w:pPr>
      <w:r w:rsidRPr="51F34292">
        <w:rPr>
          <w:rFonts w:ascii="Calibri" w:eastAsia="Calibri" w:hAnsi="Calibri" w:cs="Calibri"/>
        </w:rPr>
        <w:lastRenderedPageBreak/>
        <w:t>BEEL highlights the importance of relationships, reflection, and responsive caregiving, aligning closely with theories such as attachment theory and social constructivism. In contrast, ECERS provides a more structured framework for evaluating the environment, supporting consistency and offering clear guidance on what quality provision can look like in practice.</w:t>
      </w:r>
    </w:p>
    <w:p w14:paraId="0E026C15" w14:textId="3D45CF93" w:rsidR="43861261" w:rsidRDefault="2B7677B2" w:rsidP="51F34292">
      <w:pPr>
        <w:spacing w:before="240" w:after="240" w:line="360" w:lineRule="auto"/>
        <w:rPr>
          <w:rFonts w:ascii="Calibri" w:eastAsia="Calibri" w:hAnsi="Calibri" w:cs="Calibri"/>
        </w:rPr>
      </w:pPr>
      <w:r w:rsidRPr="51F34292">
        <w:rPr>
          <w:rFonts w:ascii="Calibri" w:eastAsia="Calibri" w:hAnsi="Calibri" w:cs="Calibri"/>
        </w:rPr>
        <w:t>Through critical reflection, it becomes clear that neither approach is sufficient in isolation. High-quality provision relies on a balance between meaningful practitioner-child interactions and an environment that actively supports learning and development. What stands out most is that quality is not something that can be achieved once and maintained without effort. Instead, it is an ongoing process that requires continuous reflection, adaptability, and a genuine commitment to meeting the individual needs of children.</w:t>
      </w:r>
    </w:p>
    <w:p w14:paraId="1B72C88B" w14:textId="3973C944" w:rsidR="43861261" w:rsidRDefault="2B7677B2" w:rsidP="51F34292">
      <w:pPr>
        <w:spacing w:before="240" w:after="240" w:line="360" w:lineRule="auto"/>
        <w:rPr>
          <w:rFonts w:ascii="Calibri" w:eastAsia="Calibri" w:hAnsi="Calibri" w:cs="Calibri"/>
        </w:rPr>
      </w:pPr>
      <w:r w:rsidRPr="51F34292">
        <w:rPr>
          <w:rFonts w:ascii="Calibri" w:eastAsia="Calibri" w:hAnsi="Calibri" w:cs="Calibri"/>
        </w:rPr>
        <w:t>In practice, this means that practitioners must remain open to change, regularly reviewing and developing their approaches. It also highlights the importance of collaboration within teams, where sharing experiences and reflecting together can strengthen practice and promote consistency. Creating a culture where practitioners feel supported to question and improve their practice is key to sustaining high-quality provision.</w:t>
      </w:r>
    </w:p>
    <w:p w14:paraId="06448EAC" w14:textId="63BB61AF" w:rsidR="43861261" w:rsidRDefault="2B7677B2" w:rsidP="51F34292">
      <w:pPr>
        <w:spacing w:before="240" w:after="240" w:line="360" w:lineRule="auto"/>
        <w:rPr>
          <w:rFonts w:ascii="Calibri" w:eastAsia="Calibri" w:hAnsi="Calibri" w:cs="Calibri"/>
        </w:rPr>
      </w:pPr>
      <w:r w:rsidRPr="51F34292">
        <w:rPr>
          <w:rFonts w:ascii="Calibri" w:eastAsia="Calibri" w:hAnsi="Calibri" w:cs="Calibri"/>
        </w:rPr>
        <w:t>Furthermore, engaging with both reflective and structured approaches allows settings to respond more effectively to the diverse needs of children, including those with additional learning needs. By combining relationship-based practice with well-considered environments, practitioners can create inclusive spaces where all children feel valued, supported, and able to reach their full potential.</w:t>
      </w:r>
    </w:p>
    <w:p w14:paraId="09257619" w14:textId="31E45E46" w:rsidR="43861261" w:rsidRDefault="758076B2" w:rsidP="51F34292">
      <w:pPr>
        <w:spacing w:before="240" w:after="240" w:line="360" w:lineRule="auto"/>
        <w:rPr>
          <w:rFonts w:ascii="Calibri" w:eastAsia="Calibri" w:hAnsi="Calibri" w:cs="Calibri"/>
          <w:u w:val="single"/>
        </w:rPr>
      </w:pPr>
      <w:r w:rsidRPr="51F34292">
        <w:rPr>
          <w:rFonts w:ascii="Calibri" w:eastAsia="Calibri" w:hAnsi="Calibri" w:cs="Calibri"/>
          <w:u w:val="single"/>
        </w:rPr>
        <w:t>References.</w:t>
      </w:r>
    </w:p>
    <w:p w14:paraId="045CAD46" w14:textId="05417045" w:rsidR="43861261" w:rsidRDefault="758076B2" w:rsidP="51F34292">
      <w:pPr>
        <w:spacing w:before="240" w:after="240"/>
        <w:rPr>
          <w:rFonts w:ascii="Calibri" w:eastAsia="Calibri" w:hAnsi="Calibri" w:cs="Calibri"/>
        </w:rPr>
      </w:pPr>
      <w:r w:rsidRPr="51F34292">
        <w:rPr>
          <w:rFonts w:ascii="Calibri" w:eastAsia="Calibri" w:hAnsi="Calibri" w:cs="Calibri"/>
        </w:rPr>
        <w:t>Bertram, T. and Pascal, C. (2006) The Baby Effective Early Learning Programme (BEEL): Improving Quality in Early Childhood Settings for Children from Birth to Three Years. Birmingham: Amber Publications.</w:t>
      </w:r>
    </w:p>
    <w:p w14:paraId="7E496AA2" w14:textId="470D48CD"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Birth to 5 Matters (n.d.) Learning environments. Available at: </w:t>
      </w:r>
      <w:hyperlink r:id="rId5">
        <w:r w:rsidRPr="51F34292">
          <w:rPr>
            <w:rStyle w:val="Hyperlink"/>
            <w:rFonts w:ascii="Calibri" w:eastAsia="Calibri" w:hAnsi="Calibri" w:cs="Calibri"/>
          </w:rPr>
          <w:t>https://birthto5matters.org.uk</w:t>
        </w:r>
      </w:hyperlink>
      <w:r w:rsidRPr="51F34292">
        <w:rPr>
          <w:rFonts w:ascii="Calibri" w:eastAsia="Calibri" w:hAnsi="Calibri" w:cs="Calibri"/>
        </w:rPr>
        <w:t xml:space="preserve"> (Accessed: 28 March 2026).</w:t>
      </w:r>
    </w:p>
    <w:p w14:paraId="5001CD87" w14:textId="4A0D15B7"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Bristol Early Years (n.d.) History of the Bristol Standard. Available at: </w:t>
      </w:r>
      <w:hyperlink r:id="rId6">
        <w:r w:rsidRPr="51F34292">
          <w:rPr>
            <w:rStyle w:val="Hyperlink"/>
            <w:rFonts w:ascii="Calibri" w:eastAsia="Calibri" w:hAnsi="Calibri" w:cs="Calibri"/>
          </w:rPr>
          <w:t>https://www.bristolearlyyears.org.uk</w:t>
        </w:r>
      </w:hyperlink>
      <w:r w:rsidRPr="51F34292">
        <w:rPr>
          <w:rFonts w:ascii="Calibri" w:eastAsia="Calibri" w:hAnsi="Calibri" w:cs="Calibri"/>
        </w:rPr>
        <w:t xml:space="preserve"> (Accessed: 28 March 2026).</w:t>
      </w:r>
    </w:p>
    <w:p w14:paraId="5DACA54A" w14:textId="16FA3373" w:rsidR="43861261" w:rsidRDefault="758076B2" w:rsidP="51F34292">
      <w:pPr>
        <w:spacing w:before="240" w:after="240"/>
        <w:rPr>
          <w:rFonts w:ascii="Calibri" w:eastAsia="Calibri" w:hAnsi="Calibri" w:cs="Calibri"/>
        </w:rPr>
      </w:pPr>
      <w:r w:rsidRPr="51F34292">
        <w:rPr>
          <w:rFonts w:ascii="Calibri" w:eastAsia="Calibri" w:hAnsi="Calibri" w:cs="Calibri"/>
        </w:rPr>
        <w:lastRenderedPageBreak/>
        <w:t xml:space="preserve">CPD (2024) Benefits of reflective practice. Available at: </w:t>
      </w:r>
      <w:hyperlink r:id="rId7">
        <w:r w:rsidRPr="51F34292">
          <w:rPr>
            <w:rStyle w:val="Hyperlink"/>
            <w:rFonts w:ascii="Calibri" w:eastAsia="Calibri" w:hAnsi="Calibri" w:cs="Calibri"/>
          </w:rPr>
          <w:t>https://www.cpduk.co.uk</w:t>
        </w:r>
      </w:hyperlink>
      <w:r w:rsidRPr="51F34292">
        <w:rPr>
          <w:rFonts w:ascii="Calibri" w:eastAsia="Calibri" w:hAnsi="Calibri" w:cs="Calibri"/>
        </w:rPr>
        <w:t xml:space="preserve"> (Accessed: 28 March 2026).</w:t>
      </w:r>
    </w:p>
    <w:p w14:paraId="4B3A46FE" w14:textId="7D29278C"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Department for Education (DfE) (2023) Early years foundation stage (EYFS) statutory framework. Available at: </w:t>
      </w:r>
      <w:hyperlink r:id="rId8">
        <w:r w:rsidRPr="51F34292">
          <w:rPr>
            <w:rStyle w:val="Hyperlink"/>
            <w:rFonts w:ascii="Calibri" w:eastAsia="Calibri" w:hAnsi="Calibri" w:cs="Calibri"/>
          </w:rPr>
          <w:t>https://www.gov.uk</w:t>
        </w:r>
      </w:hyperlink>
      <w:r w:rsidRPr="51F34292">
        <w:rPr>
          <w:rFonts w:ascii="Calibri" w:eastAsia="Calibri" w:hAnsi="Calibri" w:cs="Calibri"/>
        </w:rPr>
        <w:t xml:space="preserve"> (Accessed: 28 March 2026).</w:t>
      </w:r>
    </w:p>
    <w:p w14:paraId="5D7BF82D" w14:textId="7C7AD612"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Department for Education (DfE) (2024) Education inspection toolkits: statutory and non-statutory guidance, professional standards and relevant research. Available at: </w:t>
      </w:r>
      <w:hyperlink r:id="rId9">
        <w:r w:rsidRPr="51F34292">
          <w:rPr>
            <w:rStyle w:val="Hyperlink"/>
            <w:rFonts w:ascii="Calibri" w:eastAsia="Calibri" w:hAnsi="Calibri" w:cs="Calibri"/>
          </w:rPr>
          <w:t>https://www.gov.uk</w:t>
        </w:r>
      </w:hyperlink>
      <w:r w:rsidRPr="51F34292">
        <w:rPr>
          <w:rFonts w:ascii="Calibri" w:eastAsia="Calibri" w:hAnsi="Calibri" w:cs="Calibri"/>
        </w:rPr>
        <w:t xml:space="preserve"> (Accessed: 28 March 2026).</w:t>
      </w:r>
    </w:p>
    <w:p w14:paraId="06901D3B" w14:textId="6ECDAC42"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Department for Education (DfE) (2024) Giving every child the best start in life. Available at: </w:t>
      </w:r>
      <w:hyperlink r:id="rId10">
        <w:r w:rsidRPr="51F34292">
          <w:rPr>
            <w:rStyle w:val="Hyperlink"/>
            <w:rFonts w:ascii="Calibri" w:eastAsia="Calibri" w:hAnsi="Calibri" w:cs="Calibri"/>
          </w:rPr>
          <w:t>https://www.gov.uk</w:t>
        </w:r>
      </w:hyperlink>
      <w:r w:rsidRPr="51F34292">
        <w:rPr>
          <w:rFonts w:ascii="Calibri" w:eastAsia="Calibri" w:hAnsi="Calibri" w:cs="Calibri"/>
        </w:rPr>
        <w:t xml:space="preserve"> (Accessed: 28 March 2026).</w:t>
      </w:r>
    </w:p>
    <w:p w14:paraId="3A6D9892" w14:textId="138C694A"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EEF (Education Endowment Foundation) (2021) Effective professional development. Available at: </w:t>
      </w:r>
      <w:hyperlink r:id="rId11">
        <w:r w:rsidRPr="51F34292">
          <w:rPr>
            <w:rStyle w:val="Hyperlink"/>
            <w:rFonts w:ascii="Calibri" w:eastAsia="Calibri" w:hAnsi="Calibri" w:cs="Calibri"/>
          </w:rPr>
          <w:t>https://educationendowmentfoundation.org.uk</w:t>
        </w:r>
      </w:hyperlink>
      <w:r w:rsidRPr="51F34292">
        <w:rPr>
          <w:rFonts w:ascii="Calibri" w:eastAsia="Calibri" w:hAnsi="Calibri" w:cs="Calibri"/>
        </w:rPr>
        <w:t xml:space="preserve"> (Accessed: 28 March 2026).</w:t>
      </w:r>
    </w:p>
    <w:p w14:paraId="0DF745C7" w14:textId="0943E5AD"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Environment Rating Scales Institute (n.d.) Early Childhood Environment Rating Scale®, Third Edition. Available at: </w:t>
      </w:r>
      <w:hyperlink r:id="rId12">
        <w:r w:rsidRPr="51F34292">
          <w:rPr>
            <w:rStyle w:val="Hyperlink"/>
            <w:rFonts w:ascii="Calibri" w:eastAsia="Calibri" w:hAnsi="Calibri" w:cs="Calibri"/>
          </w:rPr>
          <w:t>https://ers.fpg.unc.edu</w:t>
        </w:r>
      </w:hyperlink>
      <w:r w:rsidRPr="51F34292">
        <w:rPr>
          <w:rFonts w:ascii="Calibri" w:eastAsia="Calibri" w:hAnsi="Calibri" w:cs="Calibri"/>
        </w:rPr>
        <w:t xml:space="preserve"> (Accessed: 28 March 2026).</w:t>
      </w:r>
    </w:p>
    <w:p w14:paraId="70F84E28" w14:textId="7335AF92" w:rsidR="43861261" w:rsidRDefault="758076B2" w:rsidP="51F34292">
      <w:pPr>
        <w:spacing w:before="240" w:after="240"/>
        <w:rPr>
          <w:rFonts w:ascii="Calibri" w:eastAsia="Calibri" w:hAnsi="Calibri" w:cs="Calibri"/>
        </w:rPr>
      </w:pPr>
      <w:r w:rsidRPr="51F34292">
        <w:rPr>
          <w:rFonts w:ascii="Calibri" w:eastAsia="Calibri" w:hAnsi="Calibri" w:cs="Calibri"/>
        </w:rPr>
        <w:t>Finlay, L. (2008) Reflecting on reflective practice. PBPL Paper 52.</w:t>
      </w:r>
    </w:p>
    <w:p w14:paraId="07C4868C" w14:textId="6D75CAFF" w:rsidR="43861261" w:rsidRDefault="758076B2" w:rsidP="51F34292">
      <w:pPr>
        <w:spacing w:before="240" w:after="240"/>
        <w:rPr>
          <w:rFonts w:ascii="Calibri" w:eastAsia="Calibri" w:hAnsi="Calibri" w:cs="Calibri"/>
        </w:rPr>
      </w:pPr>
      <w:r w:rsidRPr="51F34292">
        <w:rPr>
          <w:rFonts w:ascii="Calibri" w:eastAsia="Calibri" w:hAnsi="Calibri" w:cs="Calibri"/>
        </w:rPr>
        <w:t>Harms, T., Clifford, R.M. and Cryer, D. (2015) Early Childhood Environment Rating Scale (ECERS-3). New York: Teachers College Press.</w:t>
      </w:r>
    </w:p>
    <w:p w14:paraId="6B574122" w14:textId="3397B2DA" w:rsidR="43861261" w:rsidRDefault="758076B2" w:rsidP="51F34292">
      <w:pPr>
        <w:spacing w:before="240" w:after="240"/>
        <w:rPr>
          <w:rFonts w:ascii="Calibri" w:eastAsia="Calibri" w:hAnsi="Calibri" w:cs="Calibri"/>
        </w:rPr>
      </w:pPr>
      <w:r w:rsidRPr="51F34292">
        <w:rPr>
          <w:rFonts w:ascii="Calibri" w:eastAsia="Calibri" w:hAnsi="Calibri" w:cs="Calibri"/>
        </w:rPr>
        <w:t>Neaum, S. (2016) Observing and Assessing Children’s Learning and Development. London: SAGE.</w:t>
      </w:r>
    </w:p>
    <w:p w14:paraId="1A12AB50" w14:textId="22ADA5D0"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Nursery World (2012) Quality assurance, Part 4: Effective Early Learning. Available at: </w:t>
      </w:r>
      <w:hyperlink r:id="rId13">
        <w:r w:rsidRPr="51F34292">
          <w:rPr>
            <w:rStyle w:val="Hyperlink"/>
            <w:rFonts w:ascii="Calibri" w:eastAsia="Calibri" w:hAnsi="Calibri" w:cs="Calibri"/>
          </w:rPr>
          <w:t>https://www.nurseryworld.co.uk</w:t>
        </w:r>
      </w:hyperlink>
      <w:r w:rsidRPr="51F34292">
        <w:rPr>
          <w:rFonts w:ascii="Calibri" w:eastAsia="Calibri" w:hAnsi="Calibri" w:cs="Calibri"/>
        </w:rPr>
        <w:t xml:space="preserve"> (Accessed: 28 March 2026).</w:t>
      </w:r>
    </w:p>
    <w:p w14:paraId="7BC7D4B3" w14:textId="516BAE7C"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OECD (2022) Quality assurance and improvement in the early education and care sector. Available at: </w:t>
      </w:r>
      <w:hyperlink r:id="rId14">
        <w:r w:rsidRPr="51F34292">
          <w:rPr>
            <w:rStyle w:val="Hyperlink"/>
            <w:rFonts w:ascii="Calibri" w:eastAsia="Calibri" w:hAnsi="Calibri" w:cs="Calibri"/>
          </w:rPr>
          <w:t>https://www.oecd.org</w:t>
        </w:r>
      </w:hyperlink>
      <w:r w:rsidRPr="51F34292">
        <w:rPr>
          <w:rFonts w:ascii="Calibri" w:eastAsia="Calibri" w:hAnsi="Calibri" w:cs="Calibri"/>
        </w:rPr>
        <w:t xml:space="preserve"> (Accessed: 28 March 2026).</w:t>
      </w:r>
    </w:p>
    <w:p w14:paraId="16230E18" w14:textId="475E177B" w:rsidR="43861261" w:rsidRDefault="758076B2" w:rsidP="51F34292">
      <w:pPr>
        <w:spacing w:before="240" w:after="240"/>
        <w:rPr>
          <w:rFonts w:ascii="Calibri" w:eastAsia="Calibri" w:hAnsi="Calibri" w:cs="Calibri"/>
        </w:rPr>
      </w:pPr>
      <w:r w:rsidRPr="51F34292">
        <w:rPr>
          <w:rFonts w:ascii="Calibri" w:eastAsia="Calibri" w:hAnsi="Calibri" w:cs="Calibri"/>
        </w:rPr>
        <w:t>Palaiologou, I. (2023) Early childhood provision, practice and quality: the ambiguity of the meaning of quality.</w:t>
      </w:r>
    </w:p>
    <w:p w14:paraId="5A810155" w14:textId="2469EB96" w:rsidR="43861261" w:rsidRDefault="758076B2" w:rsidP="51F34292">
      <w:pPr>
        <w:spacing w:before="240" w:after="240"/>
        <w:rPr>
          <w:rFonts w:ascii="Calibri" w:eastAsia="Calibri" w:hAnsi="Calibri" w:cs="Calibri"/>
        </w:rPr>
      </w:pPr>
      <w:r w:rsidRPr="51F34292">
        <w:rPr>
          <w:rFonts w:ascii="Calibri" w:eastAsia="Calibri" w:hAnsi="Calibri" w:cs="Calibri"/>
        </w:rPr>
        <w:t>Pascal, C. and Bertram, T. (2012) Effective Early Learning Programme. London: SAGE Publications.</w:t>
      </w:r>
    </w:p>
    <w:p w14:paraId="21B0DD3A" w14:textId="412CB906"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PMC (2023) How to sustain change and support continuous quality improvement. Available at: </w:t>
      </w:r>
      <w:hyperlink r:id="rId15">
        <w:r w:rsidRPr="51F34292">
          <w:rPr>
            <w:rStyle w:val="Hyperlink"/>
            <w:rFonts w:ascii="Calibri" w:eastAsia="Calibri" w:hAnsi="Calibri" w:cs="Calibri"/>
          </w:rPr>
          <w:t>https://www.ncbi.nlm.nih.gov</w:t>
        </w:r>
      </w:hyperlink>
      <w:r w:rsidRPr="51F34292">
        <w:rPr>
          <w:rFonts w:ascii="Calibri" w:eastAsia="Calibri" w:hAnsi="Calibri" w:cs="Calibri"/>
        </w:rPr>
        <w:t xml:space="preserve"> (Accessed: 28 March 2026).</w:t>
      </w:r>
    </w:p>
    <w:p w14:paraId="27AF1C85" w14:textId="31AA3721"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Saul McLeod (2025) Vygotsky’s sociocultural theory of cognitive development. Available at: </w:t>
      </w:r>
      <w:hyperlink r:id="rId16">
        <w:r w:rsidRPr="51F34292">
          <w:rPr>
            <w:rStyle w:val="Hyperlink"/>
            <w:rFonts w:ascii="Calibri" w:eastAsia="Calibri" w:hAnsi="Calibri" w:cs="Calibri"/>
          </w:rPr>
          <w:t>https://www.simplypsychology.org</w:t>
        </w:r>
      </w:hyperlink>
      <w:r w:rsidRPr="51F34292">
        <w:rPr>
          <w:rFonts w:ascii="Calibri" w:eastAsia="Calibri" w:hAnsi="Calibri" w:cs="Calibri"/>
        </w:rPr>
        <w:t xml:space="preserve"> (Accessed: 28 March 2026).</w:t>
      </w:r>
    </w:p>
    <w:p w14:paraId="454648B2" w14:textId="39A307D7" w:rsidR="43861261" w:rsidRDefault="758076B2" w:rsidP="51F34292">
      <w:pPr>
        <w:spacing w:before="240" w:after="240"/>
        <w:rPr>
          <w:rFonts w:ascii="Calibri" w:eastAsia="Calibri" w:hAnsi="Calibri" w:cs="Calibri"/>
        </w:rPr>
      </w:pPr>
      <w:r w:rsidRPr="51F34292">
        <w:rPr>
          <w:rFonts w:ascii="Calibri" w:eastAsia="Calibri" w:hAnsi="Calibri" w:cs="Calibri"/>
        </w:rPr>
        <w:lastRenderedPageBreak/>
        <w:t xml:space="preserve">ScienceDirect (2018) Using the Early Childhood Environment Rating Scale-Revised in high-stakes contexts: Does evidence warrant the practice? Available at: </w:t>
      </w:r>
      <w:hyperlink r:id="rId17">
        <w:r w:rsidRPr="51F34292">
          <w:rPr>
            <w:rStyle w:val="Hyperlink"/>
            <w:rFonts w:ascii="Calibri" w:eastAsia="Calibri" w:hAnsi="Calibri" w:cs="Calibri"/>
          </w:rPr>
          <w:t>https://www.sciencedirect.com</w:t>
        </w:r>
      </w:hyperlink>
      <w:r w:rsidRPr="51F34292">
        <w:rPr>
          <w:rFonts w:ascii="Calibri" w:eastAsia="Calibri" w:hAnsi="Calibri" w:cs="Calibri"/>
        </w:rPr>
        <w:t xml:space="preserve"> (Accessed: 28 March 2026).</w:t>
      </w:r>
    </w:p>
    <w:p w14:paraId="6B413F98" w14:textId="6073E3BF"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The Bell Foundation (n.d.) Effective teaching of EAL learners. Available at: </w:t>
      </w:r>
      <w:hyperlink r:id="rId18">
        <w:r w:rsidRPr="51F34292">
          <w:rPr>
            <w:rStyle w:val="Hyperlink"/>
            <w:rFonts w:ascii="Calibri" w:eastAsia="Calibri" w:hAnsi="Calibri" w:cs="Calibri"/>
          </w:rPr>
          <w:t>https://www.bell-foundation.org.uk</w:t>
        </w:r>
      </w:hyperlink>
      <w:r w:rsidRPr="51F34292">
        <w:rPr>
          <w:rFonts w:ascii="Calibri" w:eastAsia="Calibri" w:hAnsi="Calibri" w:cs="Calibri"/>
        </w:rPr>
        <w:t xml:space="preserve"> (Accessed: 28 March 2026).</w:t>
      </w:r>
    </w:p>
    <w:p w14:paraId="7FB6E1C8" w14:textId="7E2BE8A0"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The Education Hub (2021) Piaget’s theory of education. Available at: </w:t>
      </w:r>
      <w:hyperlink r:id="rId19">
        <w:r w:rsidRPr="51F34292">
          <w:rPr>
            <w:rStyle w:val="Hyperlink"/>
            <w:rFonts w:ascii="Calibri" w:eastAsia="Calibri" w:hAnsi="Calibri" w:cs="Calibri"/>
          </w:rPr>
          <w:t>https://theeducationhub.org.nz</w:t>
        </w:r>
      </w:hyperlink>
      <w:r w:rsidRPr="51F34292">
        <w:rPr>
          <w:rFonts w:ascii="Calibri" w:eastAsia="Calibri" w:hAnsi="Calibri" w:cs="Calibri"/>
        </w:rPr>
        <w:t xml:space="preserve"> (Accessed: 28 March 2026).</w:t>
      </w:r>
    </w:p>
    <w:p w14:paraId="7B7F17C4" w14:textId="414029CC" w:rsidR="43861261" w:rsidRDefault="758076B2" w:rsidP="51F34292">
      <w:pPr>
        <w:spacing w:before="240" w:after="240"/>
        <w:rPr>
          <w:rFonts w:ascii="Calibri" w:eastAsia="Calibri" w:hAnsi="Calibri" w:cs="Calibri"/>
        </w:rPr>
      </w:pPr>
      <w:r w:rsidRPr="51F34292">
        <w:rPr>
          <w:rFonts w:ascii="Calibri" w:eastAsia="Calibri" w:hAnsi="Calibri" w:cs="Calibri"/>
        </w:rPr>
        <w:t>The National Strategies Early Years (n.d.) Guidance on reflective practice.</w:t>
      </w:r>
    </w:p>
    <w:p w14:paraId="06837AD0" w14:textId="6C10F7B3" w:rsidR="43861261" w:rsidRDefault="758076B2" w:rsidP="51F34292">
      <w:pPr>
        <w:spacing w:before="240" w:after="240"/>
        <w:rPr>
          <w:rFonts w:ascii="Calibri" w:eastAsia="Calibri" w:hAnsi="Calibri" w:cs="Calibri"/>
        </w:rPr>
      </w:pPr>
      <w:r w:rsidRPr="51F34292">
        <w:rPr>
          <w:rFonts w:ascii="Calibri" w:eastAsia="Calibri" w:hAnsi="Calibri" w:cs="Calibri"/>
        </w:rPr>
        <w:t xml:space="preserve">UNICEF (2023) Early childhood quality improvement and development. Available at: </w:t>
      </w:r>
      <w:hyperlink r:id="rId20">
        <w:r w:rsidRPr="51F34292">
          <w:rPr>
            <w:rStyle w:val="Hyperlink"/>
            <w:rFonts w:ascii="Calibri" w:eastAsia="Calibri" w:hAnsi="Calibri" w:cs="Calibri"/>
          </w:rPr>
          <w:t>https://www.unicef.org</w:t>
        </w:r>
      </w:hyperlink>
      <w:r w:rsidRPr="51F34292">
        <w:rPr>
          <w:rFonts w:ascii="Calibri" w:eastAsia="Calibri" w:hAnsi="Calibri" w:cs="Calibri"/>
        </w:rPr>
        <w:t xml:space="preserve"> (Accessed: 28 March 2026).</w:t>
      </w:r>
    </w:p>
    <w:p w14:paraId="589800FB" w14:textId="6171253B" w:rsidR="43861261" w:rsidRDefault="43861261" w:rsidP="51F34292">
      <w:pPr>
        <w:spacing w:before="240" w:after="240" w:line="360" w:lineRule="auto"/>
        <w:rPr>
          <w:rFonts w:ascii="Calibri" w:eastAsia="Calibri" w:hAnsi="Calibri" w:cs="Calibri"/>
          <w:u w:val="single"/>
        </w:rPr>
      </w:pPr>
    </w:p>
    <w:p w14:paraId="0D112242" w14:textId="4708BBA9" w:rsidR="43861261" w:rsidRDefault="43861261" w:rsidP="43861261">
      <w:pPr>
        <w:spacing w:before="240" w:after="240"/>
        <w:rPr>
          <w:rFonts w:ascii="Calibri" w:eastAsia="Calibri" w:hAnsi="Calibri" w:cs="Calibri"/>
        </w:rPr>
      </w:pPr>
    </w:p>
    <w:p w14:paraId="556FCABA" w14:textId="4DDF3E12" w:rsidR="43861261" w:rsidRDefault="43861261" w:rsidP="43861261">
      <w:pPr>
        <w:spacing w:before="240" w:after="240"/>
        <w:rPr>
          <w:rFonts w:ascii="Calibri" w:eastAsia="Calibri" w:hAnsi="Calibri" w:cs="Calibri"/>
        </w:rPr>
      </w:pPr>
    </w:p>
    <w:p w14:paraId="4E3FACEE" w14:textId="7DF29F86" w:rsidR="43861261" w:rsidRDefault="43861261" w:rsidP="43861261">
      <w:pPr>
        <w:spacing w:before="240" w:after="240"/>
        <w:rPr>
          <w:rFonts w:ascii="Calibri" w:eastAsia="Calibri" w:hAnsi="Calibri" w:cs="Calibri"/>
        </w:rPr>
      </w:pPr>
    </w:p>
    <w:p w14:paraId="595FB071" w14:textId="2EE6E8A5" w:rsidR="43861261" w:rsidRDefault="43861261" w:rsidP="43861261">
      <w:pPr>
        <w:spacing w:before="240" w:after="240"/>
        <w:rPr>
          <w:rFonts w:ascii="Calibri" w:eastAsia="Calibri" w:hAnsi="Calibri" w:cs="Calibri"/>
        </w:rPr>
      </w:pPr>
    </w:p>
    <w:p w14:paraId="388AC1FA" w14:textId="2469379E" w:rsidR="43861261" w:rsidRDefault="43861261" w:rsidP="43861261">
      <w:pPr>
        <w:spacing w:before="240" w:after="240"/>
        <w:rPr>
          <w:rFonts w:ascii="Calibri" w:eastAsia="Calibri" w:hAnsi="Calibri" w:cs="Calibri"/>
        </w:rPr>
      </w:pPr>
    </w:p>
    <w:p w14:paraId="4BB09F4D" w14:textId="5B3A46AE" w:rsidR="43861261" w:rsidRDefault="43861261" w:rsidP="43861261">
      <w:pPr>
        <w:spacing w:before="240" w:after="240"/>
        <w:rPr>
          <w:rFonts w:ascii="Calibri" w:eastAsia="Calibri" w:hAnsi="Calibri" w:cs="Calibri"/>
        </w:rPr>
      </w:pPr>
    </w:p>
    <w:p w14:paraId="6F1F406D" w14:textId="6561EE2E" w:rsidR="43861261" w:rsidRDefault="43861261" w:rsidP="43861261">
      <w:pPr>
        <w:spacing w:before="240" w:after="240"/>
        <w:rPr>
          <w:rFonts w:ascii="Calibri" w:eastAsia="Calibri" w:hAnsi="Calibri" w:cs="Calibri"/>
        </w:rPr>
      </w:pPr>
    </w:p>
    <w:p w14:paraId="32767FF1" w14:textId="10598DDD" w:rsidR="43861261" w:rsidRDefault="43861261" w:rsidP="43861261">
      <w:pPr>
        <w:spacing w:before="240" w:after="240"/>
        <w:rPr>
          <w:rFonts w:ascii="Calibri" w:eastAsia="Calibri" w:hAnsi="Calibri" w:cs="Calibri"/>
        </w:rPr>
      </w:pPr>
    </w:p>
    <w:p w14:paraId="61517C1D" w14:textId="66E9DEAA" w:rsidR="43861261" w:rsidRDefault="43861261" w:rsidP="43861261">
      <w:pPr>
        <w:spacing w:before="240" w:after="240"/>
        <w:rPr>
          <w:rFonts w:ascii="Calibri" w:eastAsia="Calibri" w:hAnsi="Calibri" w:cs="Calibri"/>
        </w:rPr>
      </w:pPr>
    </w:p>
    <w:p w14:paraId="77C3E6D5" w14:textId="38A1098F" w:rsidR="43861261" w:rsidRDefault="43861261" w:rsidP="43861261">
      <w:pPr>
        <w:spacing w:before="240" w:after="240"/>
        <w:rPr>
          <w:rFonts w:ascii="Calibri" w:eastAsia="Calibri" w:hAnsi="Calibri" w:cs="Calibri"/>
        </w:rPr>
      </w:pPr>
    </w:p>
    <w:p w14:paraId="0D6DBEDC" w14:textId="5165032E" w:rsidR="43861261" w:rsidRDefault="43861261" w:rsidP="43861261">
      <w:pPr>
        <w:rPr>
          <w:rFonts w:ascii="Calibri" w:eastAsia="Calibri" w:hAnsi="Calibri" w:cs="Calibri"/>
        </w:rPr>
      </w:pPr>
    </w:p>
    <w:p w14:paraId="5AC0D55C" w14:textId="56D5DEC1" w:rsidR="175D184E" w:rsidRDefault="175D184E" w:rsidP="175D184E">
      <w:pPr>
        <w:rPr>
          <w:rFonts w:ascii="Calibri" w:eastAsia="Calibri" w:hAnsi="Calibri" w:cs="Calibri"/>
        </w:rPr>
      </w:pPr>
    </w:p>
    <w:sectPr w:rsidR="175D184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gweOSyFaKZ3n9p" int2:id="IpmhUBXp">
      <int2:state int2:value="Rejected" int2:type="spell"/>
    </int2:textHash>
    <int2:textHash int2:hashCode="Ui1rTvI7MWEc9M" int2:id="RG1geZxm">
      <int2:state int2:value="Rejected" int2:type="spell"/>
    </int2:textHash>
    <int2:textHash int2:hashCode="kuku5Ek2vmv0CX" int2:id="SYcoJuRI">
      <int2:state int2:value="Rejected" int2:type="spell"/>
    </int2:textHash>
    <int2:bookmark int2:bookmarkName="_Int_1fItHeYK" int2:invalidationBookmarkName="" int2:hashCode="mBH0NKBT1Q8d9f" int2:id="fa8p9m15">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71630"/>
    <w:multiLevelType w:val="hybridMultilevel"/>
    <w:tmpl w:val="2ED2A0D4"/>
    <w:lvl w:ilvl="0" w:tplc="7A105B66">
      <w:start w:val="1"/>
      <w:numFmt w:val="bullet"/>
      <w:lvlText w:val=""/>
      <w:lvlJc w:val="left"/>
      <w:pPr>
        <w:ind w:left="720" w:hanging="360"/>
      </w:pPr>
      <w:rPr>
        <w:rFonts w:ascii="Symbol" w:hAnsi="Symbol" w:hint="default"/>
      </w:rPr>
    </w:lvl>
    <w:lvl w:ilvl="1" w:tplc="DB284C5C">
      <w:start w:val="1"/>
      <w:numFmt w:val="bullet"/>
      <w:lvlText w:val="o"/>
      <w:lvlJc w:val="left"/>
      <w:pPr>
        <w:ind w:left="1440" w:hanging="360"/>
      </w:pPr>
      <w:rPr>
        <w:rFonts w:ascii="Courier New" w:hAnsi="Courier New" w:hint="default"/>
      </w:rPr>
    </w:lvl>
    <w:lvl w:ilvl="2" w:tplc="D53AB52E">
      <w:start w:val="1"/>
      <w:numFmt w:val="bullet"/>
      <w:lvlText w:val=""/>
      <w:lvlJc w:val="left"/>
      <w:pPr>
        <w:ind w:left="2160" w:hanging="360"/>
      </w:pPr>
      <w:rPr>
        <w:rFonts w:ascii="Wingdings" w:hAnsi="Wingdings" w:hint="default"/>
      </w:rPr>
    </w:lvl>
    <w:lvl w:ilvl="3" w:tplc="3894E900">
      <w:start w:val="1"/>
      <w:numFmt w:val="bullet"/>
      <w:lvlText w:val=""/>
      <w:lvlJc w:val="left"/>
      <w:pPr>
        <w:ind w:left="2880" w:hanging="360"/>
      </w:pPr>
      <w:rPr>
        <w:rFonts w:ascii="Symbol" w:hAnsi="Symbol" w:hint="default"/>
      </w:rPr>
    </w:lvl>
    <w:lvl w:ilvl="4" w:tplc="31BAF31A">
      <w:start w:val="1"/>
      <w:numFmt w:val="bullet"/>
      <w:lvlText w:val="o"/>
      <w:lvlJc w:val="left"/>
      <w:pPr>
        <w:ind w:left="3600" w:hanging="360"/>
      </w:pPr>
      <w:rPr>
        <w:rFonts w:ascii="Courier New" w:hAnsi="Courier New" w:hint="default"/>
      </w:rPr>
    </w:lvl>
    <w:lvl w:ilvl="5" w:tplc="BB565C86">
      <w:start w:val="1"/>
      <w:numFmt w:val="bullet"/>
      <w:lvlText w:val=""/>
      <w:lvlJc w:val="left"/>
      <w:pPr>
        <w:ind w:left="4320" w:hanging="360"/>
      </w:pPr>
      <w:rPr>
        <w:rFonts w:ascii="Wingdings" w:hAnsi="Wingdings" w:hint="default"/>
      </w:rPr>
    </w:lvl>
    <w:lvl w:ilvl="6" w:tplc="E9343624">
      <w:start w:val="1"/>
      <w:numFmt w:val="bullet"/>
      <w:lvlText w:val=""/>
      <w:lvlJc w:val="left"/>
      <w:pPr>
        <w:ind w:left="5040" w:hanging="360"/>
      </w:pPr>
      <w:rPr>
        <w:rFonts w:ascii="Symbol" w:hAnsi="Symbol" w:hint="default"/>
      </w:rPr>
    </w:lvl>
    <w:lvl w:ilvl="7" w:tplc="59801D10">
      <w:start w:val="1"/>
      <w:numFmt w:val="bullet"/>
      <w:lvlText w:val="o"/>
      <w:lvlJc w:val="left"/>
      <w:pPr>
        <w:ind w:left="5760" w:hanging="360"/>
      </w:pPr>
      <w:rPr>
        <w:rFonts w:ascii="Courier New" w:hAnsi="Courier New" w:hint="default"/>
      </w:rPr>
    </w:lvl>
    <w:lvl w:ilvl="8" w:tplc="32F07FA4">
      <w:start w:val="1"/>
      <w:numFmt w:val="bullet"/>
      <w:lvlText w:val=""/>
      <w:lvlJc w:val="left"/>
      <w:pPr>
        <w:ind w:left="6480" w:hanging="360"/>
      </w:pPr>
      <w:rPr>
        <w:rFonts w:ascii="Wingdings" w:hAnsi="Wingdings" w:hint="default"/>
      </w:rPr>
    </w:lvl>
  </w:abstractNum>
  <w:abstractNum w:abstractNumId="1" w15:restartNumberingAfterBreak="0">
    <w:nsid w:val="066B252C"/>
    <w:multiLevelType w:val="hybridMultilevel"/>
    <w:tmpl w:val="1AB61316"/>
    <w:lvl w:ilvl="0" w:tplc="70A6F41E">
      <w:start w:val="1"/>
      <w:numFmt w:val="bullet"/>
      <w:lvlText w:val=""/>
      <w:lvlJc w:val="left"/>
      <w:pPr>
        <w:ind w:left="720" w:hanging="360"/>
      </w:pPr>
      <w:rPr>
        <w:rFonts w:ascii="Symbol" w:hAnsi="Symbol" w:hint="default"/>
      </w:rPr>
    </w:lvl>
    <w:lvl w:ilvl="1" w:tplc="E2DA7522">
      <w:start w:val="1"/>
      <w:numFmt w:val="bullet"/>
      <w:lvlText w:val="o"/>
      <w:lvlJc w:val="left"/>
      <w:pPr>
        <w:ind w:left="1440" w:hanging="360"/>
      </w:pPr>
      <w:rPr>
        <w:rFonts w:ascii="Courier New" w:hAnsi="Courier New" w:hint="default"/>
      </w:rPr>
    </w:lvl>
    <w:lvl w:ilvl="2" w:tplc="0402F96C">
      <w:start w:val="1"/>
      <w:numFmt w:val="bullet"/>
      <w:lvlText w:val=""/>
      <w:lvlJc w:val="left"/>
      <w:pPr>
        <w:ind w:left="2160" w:hanging="360"/>
      </w:pPr>
      <w:rPr>
        <w:rFonts w:ascii="Wingdings" w:hAnsi="Wingdings" w:hint="default"/>
      </w:rPr>
    </w:lvl>
    <w:lvl w:ilvl="3" w:tplc="6330B522">
      <w:start w:val="1"/>
      <w:numFmt w:val="bullet"/>
      <w:lvlText w:val=""/>
      <w:lvlJc w:val="left"/>
      <w:pPr>
        <w:ind w:left="2880" w:hanging="360"/>
      </w:pPr>
      <w:rPr>
        <w:rFonts w:ascii="Symbol" w:hAnsi="Symbol" w:hint="default"/>
      </w:rPr>
    </w:lvl>
    <w:lvl w:ilvl="4" w:tplc="6EF298DE">
      <w:start w:val="1"/>
      <w:numFmt w:val="bullet"/>
      <w:lvlText w:val="o"/>
      <w:lvlJc w:val="left"/>
      <w:pPr>
        <w:ind w:left="3600" w:hanging="360"/>
      </w:pPr>
      <w:rPr>
        <w:rFonts w:ascii="Courier New" w:hAnsi="Courier New" w:hint="default"/>
      </w:rPr>
    </w:lvl>
    <w:lvl w:ilvl="5" w:tplc="2424DBDE">
      <w:start w:val="1"/>
      <w:numFmt w:val="bullet"/>
      <w:lvlText w:val=""/>
      <w:lvlJc w:val="left"/>
      <w:pPr>
        <w:ind w:left="4320" w:hanging="360"/>
      </w:pPr>
      <w:rPr>
        <w:rFonts w:ascii="Wingdings" w:hAnsi="Wingdings" w:hint="default"/>
      </w:rPr>
    </w:lvl>
    <w:lvl w:ilvl="6" w:tplc="4DC285D4">
      <w:start w:val="1"/>
      <w:numFmt w:val="bullet"/>
      <w:lvlText w:val=""/>
      <w:lvlJc w:val="left"/>
      <w:pPr>
        <w:ind w:left="5040" w:hanging="360"/>
      </w:pPr>
      <w:rPr>
        <w:rFonts w:ascii="Symbol" w:hAnsi="Symbol" w:hint="default"/>
      </w:rPr>
    </w:lvl>
    <w:lvl w:ilvl="7" w:tplc="B8947F36">
      <w:start w:val="1"/>
      <w:numFmt w:val="bullet"/>
      <w:lvlText w:val="o"/>
      <w:lvlJc w:val="left"/>
      <w:pPr>
        <w:ind w:left="5760" w:hanging="360"/>
      </w:pPr>
      <w:rPr>
        <w:rFonts w:ascii="Courier New" w:hAnsi="Courier New" w:hint="default"/>
      </w:rPr>
    </w:lvl>
    <w:lvl w:ilvl="8" w:tplc="A8B6D2BE">
      <w:start w:val="1"/>
      <w:numFmt w:val="bullet"/>
      <w:lvlText w:val=""/>
      <w:lvlJc w:val="left"/>
      <w:pPr>
        <w:ind w:left="6480" w:hanging="360"/>
      </w:pPr>
      <w:rPr>
        <w:rFonts w:ascii="Wingdings" w:hAnsi="Wingdings" w:hint="default"/>
      </w:rPr>
    </w:lvl>
  </w:abstractNum>
  <w:abstractNum w:abstractNumId="2" w15:restartNumberingAfterBreak="0">
    <w:nsid w:val="33328CEF"/>
    <w:multiLevelType w:val="hybridMultilevel"/>
    <w:tmpl w:val="D38EABEE"/>
    <w:lvl w:ilvl="0" w:tplc="779C2E66">
      <w:start w:val="1"/>
      <w:numFmt w:val="bullet"/>
      <w:lvlText w:val=""/>
      <w:lvlJc w:val="left"/>
      <w:pPr>
        <w:ind w:left="720" w:hanging="360"/>
      </w:pPr>
      <w:rPr>
        <w:rFonts w:ascii="Symbol" w:hAnsi="Symbol" w:hint="default"/>
      </w:rPr>
    </w:lvl>
    <w:lvl w:ilvl="1" w:tplc="5C4A0BFE">
      <w:start w:val="1"/>
      <w:numFmt w:val="bullet"/>
      <w:lvlText w:val="o"/>
      <w:lvlJc w:val="left"/>
      <w:pPr>
        <w:ind w:left="1440" w:hanging="360"/>
      </w:pPr>
      <w:rPr>
        <w:rFonts w:ascii="Courier New" w:hAnsi="Courier New" w:hint="default"/>
      </w:rPr>
    </w:lvl>
    <w:lvl w:ilvl="2" w:tplc="742A0DB2">
      <w:start w:val="1"/>
      <w:numFmt w:val="bullet"/>
      <w:lvlText w:val=""/>
      <w:lvlJc w:val="left"/>
      <w:pPr>
        <w:ind w:left="2160" w:hanging="360"/>
      </w:pPr>
      <w:rPr>
        <w:rFonts w:ascii="Wingdings" w:hAnsi="Wingdings" w:hint="default"/>
      </w:rPr>
    </w:lvl>
    <w:lvl w:ilvl="3" w:tplc="BAD06680">
      <w:start w:val="1"/>
      <w:numFmt w:val="bullet"/>
      <w:lvlText w:val=""/>
      <w:lvlJc w:val="left"/>
      <w:pPr>
        <w:ind w:left="2880" w:hanging="360"/>
      </w:pPr>
      <w:rPr>
        <w:rFonts w:ascii="Symbol" w:hAnsi="Symbol" w:hint="default"/>
      </w:rPr>
    </w:lvl>
    <w:lvl w:ilvl="4" w:tplc="AFE8CCF2">
      <w:start w:val="1"/>
      <w:numFmt w:val="bullet"/>
      <w:lvlText w:val="o"/>
      <w:lvlJc w:val="left"/>
      <w:pPr>
        <w:ind w:left="3600" w:hanging="360"/>
      </w:pPr>
      <w:rPr>
        <w:rFonts w:ascii="Courier New" w:hAnsi="Courier New" w:hint="default"/>
      </w:rPr>
    </w:lvl>
    <w:lvl w:ilvl="5" w:tplc="DCCC0680">
      <w:start w:val="1"/>
      <w:numFmt w:val="bullet"/>
      <w:lvlText w:val=""/>
      <w:lvlJc w:val="left"/>
      <w:pPr>
        <w:ind w:left="4320" w:hanging="360"/>
      </w:pPr>
      <w:rPr>
        <w:rFonts w:ascii="Wingdings" w:hAnsi="Wingdings" w:hint="default"/>
      </w:rPr>
    </w:lvl>
    <w:lvl w:ilvl="6" w:tplc="C2189FF8">
      <w:start w:val="1"/>
      <w:numFmt w:val="bullet"/>
      <w:lvlText w:val=""/>
      <w:lvlJc w:val="left"/>
      <w:pPr>
        <w:ind w:left="5040" w:hanging="360"/>
      </w:pPr>
      <w:rPr>
        <w:rFonts w:ascii="Symbol" w:hAnsi="Symbol" w:hint="default"/>
      </w:rPr>
    </w:lvl>
    <w:lvl w:ilvl="7" w:tplc="88FC8C9E">
      <w:start w:val="1"/>
      <w:numFmt w:val="bullet"/>
      <w:lvlText w:val="o"/>
      <w:lvlJc w:val="left"/>
      <w:pPr>
        <w:ind w:left="5760" w:hanging="360"/>
      </w:pPr>
      <w:rPr>
        <w:rFonts w:ascii="Courier New" w:hAnsi="Courier New" w:hint="default"/>
      </w:rPr>
    </w:lvl>
    <w:lvl w:ilvl="8" w:tplc="0E6217A2">
      <w:start w:val="1"/>
      <w:numFmt w:val="bullet"/>
      <w:lvlText w:val=""/>
      <w:lvlJc w:val="left"/>
      <w:pPr>
        <w:ind w:left="6480" w:hanging="360"/>
      </w:pPr>
      <w:rPr>
        <w:rFonts w:ascii="Wingdings" w:hAnsi="Wingdings" w:hint="default"/>
      </w:rPr>
    </w:lvl>
  </w:abstractNum>
  <w:num w:numId="1" w16cid:durableId="1575893892">
    <w:abstractNumId w:val="0"/>
  </w:num>
  <w:num w:numId="2" w16cid:durableId="1971742702">
    <w:abstractNumId w:val="1"/>
  </w:num>
  <w:num w:numId="3" w16cid:durableId="12674254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B60D52"/>
    <w:rsid w:val="00306044"/>
    <w:rsid w:val="00540448"/>
    <w:rsid w:val="00B0260C"/>
    <w:rsid w:val="00B0287A"/>
    <w:rsid w:val="00DA76D3"/>
    <w:rsid w:val="00F6DFFC"/>
    <w:rsid w:val="012B6619"/>
    <w:rsid w:val="014F1FEA"/>
    <w:rsid w:val="01D67284"/>
    <w:rsid w:val="020FDF6D"/>
    <w:rsid w:val="02AE0CA6"/>
    <w:rsid w:val="02EE97A1"/>
    <w:rsid w:val="03604B55"/>
    <w:rsid w:val="044774A9"/>
    <w:rsid w:val="048E56CA"/>
    <w:rsid w:val="04D08817"/>
    <w:rsid w:val="04D46E6E"/>
    <w:rsid w:val="05B7B674"/>
    <w:rsid w:val="05DE389C"/>
    <w:rsid w:val="060BC5AC"/>
    <w:rsid w:val="06AC0B17"/>
    <w:rsid w:val="0763C98E"/>
    <w:rsid w:val="07E53890"/>
    <w:rsid w:val="07E603FB"/>
    <w:rsid w:val="0801659F"/>
    <w:rsid w:val="091D6BB4"/>
    <w:rsid w:val="09229779"/>
    <w:rsid w:val="09279324"/>
    <w:rsid w:val="094CD9BA"/>
    <w:rsid w:val="09A43E3F"/>
    <w:rsid w:val="0A149E33"/>
    <w:rsid w:val="0A20A8AE"/>
    <w:rsid w:val="0B6454BE"/>
    <w:rsid w:val="0C01309A"/>
    <w:rsid w:val="0D18C775"/>
    <w:rsid w:val="0DCD0B9D"/>
    <w:rsid w:val="0DF8D00B"/>
    <w:rsid w:val="0EEDA438"/>
    <w:rsid w:val="0F0171B8"/>
    <w:rsid w:val="0F3BDA4C"/>
    <w:rsid w:val="0F62F1BD"/>
    <w:rsid w:val="0FF4C95F"/>
    <w:rsid w:val="10E35912"/>
    <w:rsid w:val="10E61997"/>
    <w:rsid w:val="11A6F758"/>
    <w:rsid w:val="11F57C46"/>
    <w:rsid w:val="12079285"/>
    <w:rsid w:val="12314E05"/>
    <w:rsid w:val="1295C1C8"/>
    <w:rsid w:val="12FAD7EC"/>
    <w:rsid w:val="1309413A"/>
    <w:rsid w:val="1319CBAF"/>
    <w:rsid w:val="1321D544"/>
    <w:rsid w:val="134E72F9"/>
    <w:rsid w:val="14019BA6"/>
    <w:rsid w:val="14159787"/>
    <w:rsid w:val="15B7BC1E"/>
    <w:rsid w:val="16064222"/>
    <w:rsid w:val="175D184E"/>
    <w:rsid w:val="18DAB91E"/>
    <w:rsid w:val="18E38E45"/>
    <w:rsid w:val="19A123B2"/>
    <w:rsid w:val="19EAADD3"/>
    <w:rsid w:val="1B7FFEE8"/>
    <w:rsid w:val="1C05CA58"/>
    <w:rsid w:val="1E357388"/>
    <w:rsid w:val="1E36083E"/>
    <w:rsid w:val="1E705C77"/>
    <w:rsid w:val="1F7C7B38"/>
    <w:rsid w:val="1F90A9A9"/>
    <w:rsid w:val="20927790"/>
    <w:rsid w:val="209D5C88"/>
    <w:rsid w:val="209E7429"/>
    <w:rsid w:val="20B312F0"/>
    <w:rsid w:val="22122517"/>
    <w:rsid w:val="2212E2B4"/>
    <w:rsid w:val="22C13FB8"/>
    <w:rsid w:val="2321D96F"/>
    <w:rsid w:val="2338643F"/>
    <w:rsid w:val="2363BB43"/>
    <w:rsid w:val="23682920"/>
    <w:rsid w:val="24773E1B"/>
    <w:rsid w:val="25CD8B1E"/>
    <w:rsid w:val="267DF42B"/>
    <w:rsid w:val="26CE2971"/>
    <w:rsid w:val="26E15D6A"/>
    <w:rsid w:val="27904900"/>
    <w:rsid w:val="27D60B58"/>
    <w:rsid w:val="283BA753"/>
    <w:rsid w:val="288ED955"/>
    <w:rsid w:val="28F67A2D"/>
    <w:rsid w:val="291F30A6"/>
    <w:rsid w:val="29441A19"/>
    <w:rsid w:val="29B2D328"/>
    <w:rsid w:val="29CF4253"/>
    <w:rsid w:val="29F90659"/>
    <w:rsid w:val="2A7A8530"/>
    <w:rsid w:val="2AD50449"/>
    <w:rsid w:val="2AE60CAD"/>
    <w:rsid w:val="2B3BA77E"/>
    <w:rsid w:val="2B7677B2"/>
    <w:rsid w:val="2BED154C"/>
    <w:rsid w:val="2C492A1F"/>
    <w:rsid w:val="2C5382CD"/>
    <w:rsid w:val="2C7F1CAC"/>
    <w:rsid w:val="2D179F65"/>
    <w:rsid w:val="2D309BE1"/>
    <w:rsid w:val="2F2EC2A0"/>
    <w:rsid w:val="2FD85E0F"/>
    <w:rsid w:val="3077BB74"/>
    <w:rsid w:val="31582535"/>
    <w:rsid w:val="32D1CBF9"/>
    <w:rsid w:val="33930896"/>
    <w:rsid w:val="34B32F34"/>
    <w:rsid w:val="34D8E559"/>
    <w:rsid w:val="3654C2F5"/>
    <w:rsid w:val="366DCFBE"/>
    <w:rsid w:val="3720B9F3"/>
    <w:rsid w:val="37AC4A2B"/>
    <w:rsid w:val="37F712A4"/>
    <w:rsid w:val="382CFEAD"/>
    <w:rsid w:val="38994646"/>
    <w:rsid w:val="38C69694"/>
    <w:rsid w:val="38D560A1"/>
    <w:rsid w:val="3A1A247A"/>
    <w:rsid w:val="3A604A9F"/>
    <w:rsid w:val="3A6416C4"/>
    <w:rsid w:val="3AE3449C"/>
    <w:rsid w:val="3B9122E2"/>
    <w:rsid w:val="3B9B53BA"/>
    <w:rsid w:val="3C2FD8E9"/>
    <w:rsid w:val="3D5CD781"/>
    <w:rsid w:val="3E49BB18"/>
    <w:rsid w:val="3EEA3065"/>
    <w:rsid w:val="3EEC8985"/>
    <w:rsid w:val="403FA680"/>
    <w:rsid w:val="407F08ED"/>
    <w:rsid w:val="409F3D69"/>
    <w:rsid w:val="409F62AB"/>
    <w:rsid w:val="40AB7239"/>
    <w:rsid w:val="40B26DEC"/>
    <w:rsid w:val="413F4E74"/>
    <w:rsid w:val="416FAB09"/>
    <w:rsid w:val="42140FAB"/>
    <w:rsid w:val="422ABB28"/>
    <w:rsid w:val="432196DF"/>
    <w:rsid w:val="43861261"/>
    <w:rsid w:val="43C8A3E8"/>
    <w:rsid w:val="445CE122"/>
    <w:rsid w:val="44AA0183"/>
    <w:rsid w:val="4561E63A"/>
    <w:rsid w:val="45B2044F"/>
    <w:rsid w:val="466EA02D"/>
    <w:rsid w:val="46DCAC95"/>
    <w:rsid w:val="47435579"/>
    <w:rsid w:val="47825383"/>
    <w:rsid w:val="482CFA5A"/>
    <w:rsid w:val="48B39AEA"/>
    <w:rsid w:val="48B751A5"/>
    <w:rsid w:val="48EF0D51"/>
    <w:rsid w:val="493E7DC2"/>
    <w:rsid w:val="4A2D3292"/>
    <w:rsid w:val="4AA4B5B8"/>
    <w:rsid w:val="4C6CD0AB"/>
    <w:rsid w:val="4CEA215B"/>
    <w:rsid w:val="4D92B19A"/>
    <w:rsid w:val="4EFA7E66"/>
    <w:rsid w:val="4FB60D52"/>
    <w:rsid w:val="5053657A"/>
    <w:rsid w:val="5071CEAF"/>
    <w:rsid w:val="50967781"/>
    <w:rsid w:val="51F34292"/>
    <w:rsid w:val="52D55FFA"/>
    <w:rsid w:val="540C773D"/>
    <w:rsid w:val="5422F550"/>
    <w:rsid w:val="5439A5E8"/>
    <w:rsid w:val="544C6814"/>
    <w:rsid w:val="54B95378"/>
    <w:rsid w:val="54BB8580"/>
    <w:rsid w:val="54E120A3"/>
    <w:rsid w:val="553134D4"/>
    <w:rsid w:val="553E25D2"/>
    <w:rsid w:val="55C97919"/>
    <w:rsid w:val="56100E9F"/>
    <w:rsid w:val="56AD1A0C"/>
    <w:rsid w:val="581DB588"/>
    <w:rsid w:val="58A6FE7E"/>
    <w:rsid w:val="597875B7"/>
    <w:rsid w:val="5A0ECFF8"/>
    <w:rsid w:val="5A7688BB"/>
    <w:rsid w:val="5A7A8323"/>
    <w:rsid w:val="5B0FC7A4"/>
    <w:rsid w:val="5B15D6CA"/>
    <w:rsid w:val="5B88F737"/>
    <w:rsid w:val="5B9A5F13"/>
    <w:rsid w:val="5C44E100"/>
    <w:rsid w:val="5C982853"/>
    <w:rsid w:val="5D3B9167"/>
    <w:rsid w:val="5D7B4529"/>
    <w:rsid w:val="5DC4AC5B"/>
    <w:rsid w:val="5E23EB26"/>
    <w:rsid w:val="5E2D2022"/>
    <w:rsid w:val="5E8FCD8A"/>
    <w:rsid w:val="5EA10CD8"/>
    <w:rsid w:val="5ECD037E"/>
    <w:rsid w:val="5F26F4E6"/>
    <w:rsid w:val="5F636F65"/>
    <w:rsid w:val="6024759D"/>
    <w:rsid w:val="60B820C7"/>
    <w:rsid w:val="61C5BAC5"/>
    <w:rsid w:val="625273FC"/>
    <w:rsid w:val="6278AF08"/>
    <w:rsid w:val="6372454C"/>
    <w:rsid w:val="642EEBDE"/>
    <w:rsid w:val="64AD38B9"/>
    <w:rsid w:val="64E0D2E5"/>
    <w:rsid w:val="65429B10"/>
    <w:rsid w:val="658D41AF"/>
    <w:rsid w:val="660F2918"/>
    <w:rsid w:val="67130D51"/>
    <w:rsid w:val="6849E752"/>
    <w:rsid w:val="68E2D829"/>
    <w:rsid w:val="68E5C33E"/>
    <w:rsid w:val="694CB9E7"/>
    <w:rsid w:val="69875F11"/>
    <w:rsid w:val="69C8594E"/>
    <w:rsid w:val="69D19142"/>
    <w:rsid w:val="6A0AF663"/>
    <w:rsid w:val="6A4D3FBA"/>
    <w:rsid w:val="6A504ACA"/>
    <w:rsid w:val="6AA2B5E5"/>
    <w:rsid w:val="6ABDBB0E"/>
    <w:rsid w:val="6B946285"/>
    <w:rsid w:val="6BA8733E"/>
    <w:rsid w:val="6C272202"/>
    <w:rsid w:val="6C2AB26D"/>
    <w:rsid w:val="6CE6CDD3"/>
    <w:rsid w:val="6CF73644"/>
    <w:rsid w:val="6D6F8DF1"/>
    <w:rsid w:val="6D81B52C"/>
    <w:rsid w:val="6D81CBFD"/>
    <w:rsid w:val="6E61DA92"/>
    <w:rsid w:val="70056ED6"/>
    <w:rsid w:val="70F28B11"/>
    <w:rsid w:val="71863CA4"/>
    <w:rsid w:val="72290110"/>
    <w:rsid w:val="737E12D9"/>
    <w:rsid w:val="73835850"/>
    <w:rsid w:val="7441DAF4"/>
    <w:rsid w:val="74DF0CA3"/>
    <w:rsid w:val="758076B2"/>
    <w:rsid w:val="75810C35"/>
    <w:rsid w:val="7582A18E"/>
    <w:rsid w:val="758867DE"/>
    <w:rsid w:val="75A7BF63"/>
    <w:rsid w:val="75C3C3D3"/>
    <w:rsid w:val="763D6FFC"/>
    <w:rsid w:val="7641A655"/>
    <w:rsid w:val="767C925C"/>
    <w:rsid w:val="7682874F"/>
    <w:rsid w:val="775B41E1"/>
    <w:rsid w:val="77B01CE6"/>
    <w:rsid w:val="78BC268C"/>
    <w:rsid w:val="79571E32"/>
    <w:rsid w:val="79E9C955"/>
    <w:rsid w:val="7B52D5FA"/>
    <w:rsid w:val="7B92E27D"/>
    <w:rsid w:val="7BD97B94"/>
    <w:rsid w:val="7C4BEDF1"/>
    <w:rsid w:val="7C5AF0BB"/>
    <w:rsid w:val="7D5C0EAA"/>
    <w:rsid w:val="7F3A4876"/>
    <w:rsid w:val="7F78FB74"/>
    <w:rsid w:val="7F9FC026"/>
    <w:rsid w:val="7FCDD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60D52"/>
  <w15:chartTrackingRefBased/>
  <w15:docId w15:val="{4576EB6A-1ADD-49A5-93AC-881A68539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3861261"/>
    <w:pPr>
      <w:ind w:left="720"/>
      <w:contextualSpacing/>
    </w:pPr>
  </w:style>
  <w:style w:type="character" w:styleId="Hyperlink">
    <w:name w:val="Hyperlink"/>
    <w:basedOn w:val="DefaultParagraphFont"/>
    <w:uiPriority w:val="99"/>
    <w:unhideWhenUsed/>
    <w:rsid w:val="4386126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hyperlink" Target="https://www.nurseryworld.co.uk/" TargetMode="External"/><Relationship Id="rId18" Type="http://schemas.openxmlformats.org/officeDocument/2006/relationships/hyperlink" Target="https://www.bell-foundation.org.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pduk.co.uk/" TargetMode="External"/><Relationship Id="rId12" Type="http://schemas.openxmlformats.org/officeDocument/2006/relationships/hyperlink" Target="https://ers.fpg.unc.edu/" TargetMode="External"/><Relationship Id="rId17" Type="http://schemas.openxmlformats.org/officeDocument/2006/relationships/hyperlink" Target="https://www.sciencedirect.com/" TargetMode="External"/><Relationship Id="rId2" Type="http://schemas.openxmlformats.org/officeDocument/2006/relationships/styles" Target="styles.xml"/><Relationship Id="rId16" Type="http://schemas.openxmlformats.org/officeDocument/2006/relationships/hyperlink" Target="https://www.simplypsychology.org/" TargetMode="External"/><Relationship Id="rId20" Type="http://schemas.openxmlformats.org/officeDocument/2006/relationships/hyperlink" Target="https://www.unicef.org/" TargetMode="External"/><Relationship Id="rId1" Type="http://schemas.openxmlformats.org/officeDocument/2006/relationships/numbering" Target="numbering.xml"/><Relationship Id="rId6" Type="http://schemas.openxmlformats.org/officeDocument/2006/relationships/hyperlink" Target="https://www.bristolearlyyears.org.uk/" TargetMode="External"/><Relationship Id="rId11" Type="http://schemas.openxmlformats.org/officeDocument/2006/relationships/hyperlink" Target="https://educationendowmentfoundation.org.uk/" TargetMode="External"/><Relationship Id="rId5" Type="http://schemas.openxmlformats.org/officeDocument/2006/relationships/hyperlink" Target="https://birthto5matters.org.uk/" TargetMode="External"/><Relationship Id="rId15" Type="http://schemas.openxmlformats.org/officeDocument/2006/relationships/hyperlink" Target="https://www.ncbi.nlm.nih.gov/" TargetMode="External"/><Relationship Id="rId23" Type="http://schemas.microsoft.com/office/2020/10/relationships/intelligence" Target="intelligence2.xml"/><Relationship Id="rId10" Type="http://schemas.openxmlformats.org/officeDocument/2006/relationships/hyperlink" Target="https://www.gov.uk/" TargetMode="External"/><Relationship Id="rId19" Type="http://schemas.openxmlformats.org/officeDocument/2006/relationships/hyperlink" Target="https://theeducationhub.org.nz/" TargetMode="External"/><Relationship Id="rId4" Type="http://schemas.openxmlformats.org/officeDocument/2006/relationships/webSettings" Target="webSettings.xml"/><Relationship Id="rId9" Type="http://schemas.openxmlformats.org/officeDocument/2006/relationships/hyperlink" Target="https://www.gov.uk/" TargetMode="External"/><Relationship Id="rId14" Type="http://schemas.openxmlformats.org/officeDocument/2006/relationships/hyperlink" Target="https://www.oecd.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2788</Words>
  <Characters>15895</Characters>
  <Application>Microsoft Office Word</Application>
  <DocSecurity>0</DocSecurity>
  <Lines>132</Lines>
  <Paragraphs>37</Paragraphs>
  <ScaleCrop>false</ScaleCrop>
  <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Myles (2305254)</dc:creator>
  <cp:keywords/>
  <dc:description/>
  <cp:lastModifiedBy>kelsey myles</cp:lastModifiedBy>
  <cp:revision>2</cp:revision>
  <dcterms:created xsi:type="dcterms:W3CDTF">2026-04-04T21:59:00Z</dcterms:created>
  <dcterms:modified xsi:type="dcterms:W3CDTF">2026-04-04T21:59:00Z</dcterms:modified>
</cp:coreProperties>
</file>