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842D0" w:rsidRPr="00F0313F" w:rsidRDefault="00662D7F" w:rsidP="00A97FDE">
      <w:pPr>
        <w:rPr>
          <w:rFonts w:cs="Tahoma"/>
        </w:rPr>
      </w:pPr>
      <w:r w:rsidRPr="00F0313F">
        <w:rPr>
          <w:rFonts w:cs="Tahoma"/>
        </w:rPr>
        <w:t xml:space="preserve">The First World War </w:t>
      </w:r>
      <w:r w:rsidR="005706CC" w:rsidRPr="00F0313F">
        <w:rPr>
          <w:rFonts w:cs="Tahoma"/>
        </w:rPr>
        <w:t xml:space="preserve">has been characterised </w:t>
      </w:r>
      <w:r w:rsidR="006A5E7D" w:rsidRPr="00F0313F">
        <w:rPr>
          <w:rFonts w:cs="Tahoma"/>
        </w:rPr>
        <w:t>as ‘total war’</w:t>
      </w:r>
      <w:r w:rsidR="005706CC" w:rsidRPr="00F0313F">
        <w:rPr>
          <w:rStyle w:val="FootnoteReference"/>
          <w:rFonts w:cs="Tahoma"/>
        </w:rPr>
        <w:footnoteReference w:id="1"/>
      </w:r>
      <w:r w:rsidR="00C375D4" w:rsidRPr="00F0313F">
        <w:rPr>
          <w:rFonts w:cs="Tahoma"/>
        </w:rPr>
        <w:t xml:space="preserve"> being </w:t>
      </w:r>
      <w:r w:rsidR="006A5E7D" w:rsidRPr="00F0313F">
        <w:rPr>
          <w:rFonts w:cs="Tahoma"/>
        </w:rPr>
        <w:t>markedly different to p</w:t>
      </w:r>
      <w:r w:rsidR="005706CC" w:rsidRPr="00F0313F">
        <w:rPr>
          <w:rFonts w:cs="Tahoma"/>
        </w:rPr>
        <w:t>revi</w:t>
      </w:r>
      <w:r w:rsidR="00C375D4" w:rsidRPr="00F0313F">
        <w:rPr>
          <w:rFonts w:cs="Tahoma"/>
        </w:rPr>
        <w:t xml:space="preserve">ous international conflicts </w:t>
      </w:r>
      <w:r w:rsidR="00C87F94" w:rsidRPr="00F0313F">
        <w:rPr>
          <w:rFonts w:cs="Tahoma"/>
        </w:rPr>
        <w:t>due to its</w:t>
      </w:r>
      <w:r w:rsidR="00CF7519" w:rsidRPr="00F0313F">
        <w:rPr>
          <w:rFonts w:cs="Tahoma"/>
        </w:rPr>
        <w:t xml:space="preserve"> involvement of </w:t>
      </w:r>
      <w:r w:rsidR="00C87F94" w:rsidRPr="00F0313F">
        <w:rPr>
          <w:rFonts w:cs="Tahoma"/>
        </w:rPr>
        <w:t>armed forces and civilians</w:t>
      </w:r>
      <w:r w:rsidR="00EB4FF6" w:rsidRPr="00F0313F">
        <w:rPr>
          <w:rFonts w:cs="Tahoma"/>
        </w:rPr>
        <w:t>.</w:t>
      </w:r>
      <w:r w:rsidR="00EB4FF6" w:rsidRPr="00F0313F">
        <w:rPr>
          <w:rStyle w:val="FootnoteReference"/>
          <w:rFonts w:cs="Tahoma"/>
        </w:rPr>
        <w:footnoteReference w:id="2"/>
      </w:r>
      <w:r w:rsidR="00AC4DA3" w:rsidRPr="00F0313F">
        <w:rPr>
          <w:rFonts w:cs="Tahoma"/>
        </w:rPr>
        <w:t xml:space="preserve"> </w:t>
      </w:r>
      <w:r w:rsidR="00D83FFA" w:rsidRPr="00F0313F">
        <w:rPr>
          <w:rFonts w:cs="Tahoma"/>
        </w:rPr>
        <w:t>Success</w:t>
      </w:r>
      <w:r w:rsidR="00874E0B" w:rsidRPr="00F0313F">
        <w:rPr>
          <w:rFonts w:cs="Tahoma"/>
        </w:rPr>
        <w:t>ful prosecution of hostilities</w:t>
      </w:r>
      <w:r w:rsidR="00D83FFA" w:rsidRPr="00F0313F">
        <w:rPr>
          <w:rFonts w:cs="Tahoma"/>
        </w:rPr>
        <w:t xml:space="preserve"> </w:t>
      </w:r>
      <w:r w:rsidR="00C87F94" w:rsidRPr="00F0313F">
        <w:rPr>
          <w:rFonts w:cs="Tahoma"/>
        </w:rPr>
        <w:t>required</w:t>
      </w:r>
      <w:r w:rsidR="00D83FFA" w:rsidRPr="00F0313F">
        <w:rPr>
          <w:rFonts w:cs="Tahoma"/>
        </w:rPr>
        <w:t xml:space="preserve"> the whole-scale mobilisation of </w:t>
      </w:r>
      <w:r w:rsidR="004E5AD5" w:rsidRPr="00F0313F">
        <w:rPr>
          <w:rFonts w:cs="Tahoma"/>
        </w:rPr>
        <w:t xml:space="preserve">available </w:t>
      </w:r>
      <w:r w:rsidR="00CD11A0" w:rsidRPr="00F0313F">
        <w:rPr>
          <w:rFonts w:cs="Tahoma"/>
        </w:rPr>
        <w:t>human</w:t>
      </w:r>
      <w:r w:rsidR="000D40A4" w:rsidRPr="00F0313F">
        <w:rPr>
          <w:rFonts w:cs="Tahoma"/>
        </w:rPr>
        <w:t>, material</w:t>
      </w:r>
      <w:r w:rsidR="00CD11A0" w:rsidRPr="00F0313F">
        <w:rPr>
          <w:rFonts w:cs="Tahoma"/>
        </w:rPr>
        <w:t xml:space="preserve"> and financial resources </w:t>
      </w:r>
      <w:r w:rsidR="004E5AD5" w:rsidRPr="00F0313F">
        <w:rPr>
          <w:rFonts w:cs="Tahoma"/>
        </w:rPr>
        <w:t>resulting</w:t>
      </w:r>
      <w:r w:rsidR="00C87F94" w:rsidRPr="00F0313F">
        <w:rPr>
          <w:rFonts w:cs="Tahoma"/>
        </w:rPr>
        <w:t xml:space="preserve"> </w:t>
      </w:r>
      <w:r w:rsidR="00874E0B" w:rsidRPr="00F0313F">
        <w:rPr>
          <w:rFonts w:cs="Tahoma"/>
        </w:rPr>
        <w:t>in</w:t>
      </w:r>
      <w:r w:rsidR="004E5AD5" w:rsidRPr="00F0313F">
        <w:rPr>
          <w:rFonts w:cs="Tahoma"/>
        </w:rPr>
        <w:t xml:space="preserve"> </w:t>
      </w:r>
      <w:r w:rsidR="00C87F94" w:rsidRPr="00F0313F">
        <w:rPr>
          <w:rFonts w:cs="Tahoma"/>
        </w:rPr>
        <w:t>Europe</w:t>
      </w:r>
      <w:r w:rsidR="00874E0B" w:rsidRPr="00F0313F">
        <w:rPr>
          <w:rFonts w:cs="Tahoma"/>
        </w:rPr>
        <w:t>:</w:t>
      </w:r>
      <w:r w:rsidR="00F0313F">
        <w:rPr>
          <w:rFonts w:cs="Tahoma"/>
        </w:rPr>
        <w:t xml:space="preserve"> </w:t>
      </w:r>
      <w:r w:rsidR="004E5AD5" w:rsidRPr="00F0313F">
        <w:rPr>
          <w:rFonts w:cs="Tahoma"/>
          <w:i/>
        </w:rPr>
        <w:t>“…</w:t>
      </w:r>
      <w:r w:rsidR="00470BC3" w:rsidRPr="00F0313F">
        <w:rPr>
          <w:rFonts w:cs="Tahoma"/>
          <w:i/>
        </w:rPr>
        <w:t xml:space="preserve"> </w:t>
      </w:r>
      <w:r w:rsidR="00A638BC" w:rsidRPr="00F0313F">
        <w:rPr>
          <w:rFonts w:cs="Tahoma"/>
          <w:i/>
        </w:rPr>
        <w:t xml:space="preserve">which </w:t>
      </w:r>
      <w:r w:rsidR="00874E0B" w:rsidRPr="00F0313F">
        <w:rPr>
          <w:rFonts w:cs="Tahoma"/>
          <w:i/>
        </w:rPr>
        <w:t xml:space="preserve">for nearly one hundred years </w:t>
      </w:r>
      <w:r w:rsidR="009A1E31" w:rsidRPr="00F0313F">
        <w:rPr>
          <w:rFonts w:cs="Tahoma"/>
          <w:i/>
        </w:rPr>
        <w:t xml:space="preserve">after the end of the Napoleonic Wars </w:t>
      </w:r>
      <w:r w:rsidR="00874E0B" w:rsidRPr="00F0313F">
        <w:rPr>
          <w:rFonts w:cs="Tahoma"/>
          <w:i/>
        </w:rPr>
        <w:t xml:space="preserve">had prided itself </w:t>
      </w:r>
      <w:r w:rsidR="009A1E31" w:rsidRPr="00F0313F">
        <w:rPr>
          <w:rFonts w:cs="Tahoma"/>
          <w:i/>
        </w:rPr>
        <w:t xml:space="preserve">on being the apogee of civilisation, falling between 1914 and 1945 into the pit of barbarism.” </w:t>
      </w:r>
      <w:r w:rsidR="004D7D43" w:rsidRPr="00F0313F">
        <w:rPr>
          <w:rStyle w:val="FootnoteReference"/>
          <w:rFonts w:cs="Tahoma"/>
        </w:rPr>
        <w:footnoteReference w:id="3"/>
      </w:r>
      <w:r w:rsidR="00874E0B" w:rsidRPr="00F0313F">
        <w:rPr>
          <w:rFonts w:cs="Tahoma"/>
        </w:rPr>
        <w:t xml:space="preserve"> </w:t>
      </w:r>
      <w:r w:rsidR="00A638BC" w:rsidRPr="00F0313F">
        <w:rPr>
          <w:rFonts w:cs="Tahoma"/>
        </w:rPr>
        <w:t xml:space="preserve">The interpretation of the war as a </w:t>
      </w:r>
      <w:r w:rsidR="00DC2782" w:rsidRPr="00F0313F">
        <w:rPr>
          <w:rFonts w:cs="Tahoma"/>
        </w:rPr>
        <w:t xml:space="preserve">watershed </w:t>
      </w:r>
      <w:r w:rsidR="001F4CB4" w:rsidRPr="00F0313F">
        <w:rPr>
          <w:rFonts w:cs="Tahoma"/>
        </w:rPr>
        <w:t xml:space="preserve">as regards </w:t>
      </w:r>
      <w:r w:rsidR="004E5AD5" w:rsidRPr="00F0313F">
        <w:rPr>
          <w:rFonts w:cs="Tahoma"/>
        </w:rPr>
        <w:t>international</w:t>
      </w:r>
      <w:r w:rsidR="00DC2782" w:rsidRPr="00F0313F">
        <w:rPr>
          <w:rFonts w:cs="Tahoma"/>
        </w:rPr>
        <w:t xml:space="preserve"> relationships</w:t>
      </w:r>
      <w:r w:rsidR="00A638BC" w:rsidRPr="00F0313F">
        <w:rPr>
          <w:rFonts w:cs="Tahoma"/>
        </w:rPr>
        <w:t xml:space="preserve"> </w:t>
      </w:r>
      <w:r w:rsidR="00C87F94" w:rsidRPr="00F0313F">
        <w:rPr>
          <w:rFonts w:cs="Tahoma"/>
        </w:rPr>
        <w:t>and</w:t>
      </w:r>
      <w:r w:rsidR="00470BC3" w:rsidRPr="00F0313F">
        <w:rPr>
          <w:rFonts w:cs="Tahoma"/>
        </w:rPr>
        <w:t xml:space="preserve"> </w:t>
      </w:r>
      <w:r w:rsidR="004E5AD5" w:rsidRPr="00F0313F">
        <w:rPr>
          <w:rFonts w:cs="Tahoma"/>
        </w:rPr>
        <w:t>economic, social and cultural development</w:t>
      </w:r>
      <w:r w:rsidR="001F4CB4" w:rsidRPr="00F0313F">
        <w:rPr>
          <w:rFonts w:cs="Tahoma"/>
        </w:rPr>
        <w:t xml:space="preserve"> is consequently not surprisin</w:t>
      </w:r>
      <w:r w:rsidR="00B00AD7" w:rsidRPr="00F0313F">
        <w:rPr>
          <w:rFonts w:cs="Tahoma"/>
        </w:rPr>
        <w:t>g</w:t>
      </w:r>
      <w:r w:rsidR="00470BC3" w:rsidRPr="00F0313F">
        <w:rPr>
          <w:rFonts w:cs="Tahoma"/>
        </w:rPr>
        <w:t>.</w:t>
      </w:r>
      <w:r w:rsidR="00470BC3" w:rsidRPr="00F0313F">
        <w:rPr>
          <w:rStyle w:val="FootnoteReference"/>
          <w:rFonts w:cs="Tahoma"/>
        </w:rPr>
        <w:footnoteReference w:id="4"/>
      </w:r>
      <w:r w:rsidR="00DC2782" w:rsidRPr="00F0313F">
        <w:rPr>
          <w:rFonts w:cs="Tahoma"/>
        </w:rPr>
        <w:t xml:space="preserve"> </w:t>
      </w:r>
      <w:r w:rsidR="00294A38" w:rsidRPr="00F0313F">
        <w:rPr>
          <w:rFonts w:cs="Tahoma"/>
        </w:rPr>
        <w:t xml:space="preserve">The </w:t>
      </w:r>
      <w:r w:rsidR="00C87F94" w:rsidRPr="00F0313F">
        <w:rPr>
          <w:rFonts w:cs="Tahoma"/>
        </w:rPr>
        <w:t xml:space="preserve">shifting, </w:t>
      </w:r>
      <w:r w:rsidR="005004F4" w:rsidRPr="00F0313F">
        <w:rPr>
          <w:rFonts w:cs="Tahoma"/>
        </w:rPr>
        <w:t xml:space="preserve">fragile relationships between European powers in the early twentieth century and the </w:t>
      </w:r>
      <w:r w:rsidR="00C87F94" w:rsidRPr="00F0313F">
        <w:rPr>
          <w:rFonts w:cs="Tahoma"/>
        </w:rPr>
        <w:t xml:space="preserve">prevailing </w:t>
      </w:r>
      <w:r w:rsidR="005004F4" w:rsidRPr="00F0313F">
        <w:rPr>
          <w:rFonts w:cs="Tahoma"/>
        </w:rPr>
        <w:t>dominance of nationalist and imperial doctrines</w:t>
      </w:r>
      <w:r w:rsidR="00294A38" w:rsidRPr="00F0313F">
        <w:rPr>
          <w:rFonts w:cs="Tahoma"/>
        </w:rPr>
        <w:t xml:space="preserve"> </w:t>
      </w:r>
      <w:r w:rsidR="00C87F94" w:rsidRPr="00F0313F">
        <w:rPr>
          <w:rFonts w:cs="Tahoma"/>
        </w:rPr>
        <w:t>strengthen this perception</w:t>
      </w:r>
      <w:r w:rsidR="005004F4" w:rsidRPr="00F0313F">
        <w:rPr>
          <w:rFonts w:cs="Tahoma"/>
        </w:rPr>
        <w:t>.</w:t>
      </w:r>
      <w:r w:rsidR="00B35F18" w:rsidRPr="00F0313F">
        <w:rPr>
          <w:rStyle w:val="FootnoteReference"/>
          <w:rFonts w:cs="Tahoma"/>
        </w:rPr>
        <w:footnoteReference w:id="5"/>
      </w:r>
      <w:r w:rsidR="005004F4" w:rsidRPr="00F0313F">
        <w:rPr>
          <w:rFonts w:cs="Tahoma"/>
        </w:rPr>
        <w:t xml:space="preserve"> </w:t>
      </w:r>
      <w:r w:rsidR="00B97EC5" w:rsidRPr="00F0313F">
        <w:rPr>
          <w:rFonts w:cs="Tahoma"/>
        </w:rPr>
        <w:t>A</w:t>
      </w:r>
      <w:r w:rsidR="00CD11A0" w:rsidRPr="00F0313F">
        <w:rPr>
          <w:rFonts w:cs="Tahoma"/>
        </w:rPr>
        <w:t>s the scale of the w</w:t>
      </w:r>
      <w:r w:rsidR="00B97EC5" w:rsidRPr="00F0313F">
        <w:rPr>
          <w:rFonts w:cs="Tahoma"/>
        </w:rPr>
        <w:t>ar</w:t>
      </w:r>
      <w:r w:rsidR="00F04E1B" w:rsidRPr="00F0313F">
        <w:rPr>
          <w:rFonts w:cs="Tahoma"/>
        </w:rPr>
        <w:t xml:space="preserve"> and</w:t>
      </w:r>
      <w:r w:rsidR="00B97EC5" w:rsidRPr="00F0313F">
        <w:rPr>
          <w:rFonts w:cs="Tahoma"/>
        </w:rPr>
        <w:t xml:space="preserve"> the needs of the armed services increased</w:t>
      </w:r>
      <w:r w:rsidR="00F04E1B" w:rsidRPr="00F0313F">
        <w:rPr>
          <w:rFonts w:cs="Tahoma"/>
        </w:rPr>
        <w:t>,</w:t>
      </w:r>
      <w:r w:rsidR="00B97EC5" w:rsidRPr="00F0313F">
        <w:rPr>
          <w:rFonts w:cs="Tahoma"/>
        </w:rPr>
        <w:t xml:space="preserve"> </w:t>
      </w:r>
      <w:r w:rsidR="00F04E1B" w:rsidRPr="00F0313F">
        <w:rPr>
          <w:rFonts w:cs="Tahoma"/>
        </w:rPr>
        <w:t>the demands placed on Britain’s human and material resources</w:t>
      </w:r>
      <w:r w:rsidR="00A1137E" w:rsidRPr="00F0313F">
        <w:rPr>
          <w:rFonts w:cs="Tahoma"/>
        </w:rPr>
        <w:t xml:space="preserve">, </w:t>
      </w:r>
      <w:r w:rsidR="00F375E2" w:rsidRPr="00F0313F">
        <w:rPr>
          <w:rFonts w:cs="Tahoma"/>
        </w:rPr>
        <w:t xml:space="preserve">the </w:t>
      </w:r>
      <w:r w:rsidR="00A1137E" w:rsidRPr="00F0313F">
        <w:rPr>
          <w:rFonts w:cs="Tahoma"/>
        </w:rPr>
        <w:t>organisational and political skills of government,</w:t>
      </w:r>
      <w:r w:rsidR="00F04E1B" w:rsidRPr="00F0313F">
        <w:rPr>
          <w:rFonts w:cs="Tahoma"/>
        </w:rPr>
        <w:t xml:space="preserve"> </w:t>
      </w:r>
      <w:r w:rsidR="00A1137E" w:rsidRPr="00F0313F">
        <w:rPr>
          <w:rFonts w:cs="Tahoma"/>
        </w:rPr>
        <w:t xml:space="preserve">and </w:t>
      </w:r>
      <w:r w:rsidR="00C86625" w:rsidRPr="00F0313F">
        <w:rPr>
          <w:rFonts w:cs="Tahoma"/>
        </w:rPr>
        <w:t>contribution</w:t>
      </w:r>
      <w:r w:rsidR="00C87F94" w:rsidRPr="00F0313F">
        <w:rPr>
          <w:rFonts w:cs="Tahoma"/>
        </w:rPr>
        <w:t>s</w:t>
      </w:r>
      <w:r w:rsidR="00C86625" w:rsidRPr="00F0313F">
        <w:rPr>
          <w:rFonts w:cs="Tahoma"/>
        </w:rPr>
        <w:t xml:space="preserve"> of </w:t>
      </w:r>
      <w:r w:rsidR="00A1137E" w:rsidRPr="00F0313F">
        <w:rPr>
          <w:rFonts w:cs="Tahoma"/>
        </w:rPr>
        <w:t xml:space="preserve">the labour force and employers </w:t>
      </w:r>
      <w:r w:rsidR="00F04E1B" w:rsidRPr="00F0313F">
        <w:rPr>
          <w:rFonts w:cs="Tahoma"/>
        </w:rPr>
        <w:t>multiplied</w:t>
      </w:r>
      <w:r w:rsidR="000D40A4" w:rsidRPr="00F0313F">
        <w:rPr>
          <w:rFonts w:cs="Tahoma"/>
        </w:rPr>
        <w:t>; maintaining</w:t>
      </w:r>
      <w:r w:rsidR="00F375E2" w:rsidRPr="00F0313F">
        <w:rPr>
          <w:rFonts w:cs="Tahoma"/>
        </w:rPr>
        <w:t xml:space="preserve"> </w:t>
      </w:r>
      <w:r w:rsidR="00722C9A" w:rsidRPr="00F0313F">
        <w:rPr>
          <w:rFonts w:cs="Tahoma"/>
        </w:rPr>
        <w:t xml:space="preserve">patriotism and </w:t>
      </w:r>
      <w:r w:rsidR="00F375E2" w:rsidRPr="00F0313F">
        <w:rPr>
          <w:rFonts w:cs="Tahoma"/>
        </w:rPr>
        <w:t>social cohesion underpinned by collective national values was paramount.</w:t>
      </w:r>
      <w:r w:rsidR="00F375E2" w:rsidRPr="00F0313F">
        <w:rPr>
          <w:rStyle w:val="FootnoteReference"/>
          <w:rFonts w:cs="Tahoma"/>
        </w:rPr>
        <w:footnoteReference w:id="6"/>
      </w:r>
      <w:r w:rsidR="006159A8" w:rsidRPr="00F0313F">
        <w:rPr>
          <w:rFonts w:cs="Tahoma"/>
        </w:rPr>
        <w:t xml:space="preserve"> </w:t>
      </w:r>
      <w:r w:rsidR="00A97FDE" w:rsidRPr="00F0313F">
        <w:rPr>
          <w:rFonts w:cs="Tahoma"/>
        </w:rPr>
        <w:t>This essay explore</w:t>
      </w:r>
      <w:r w:rsidR="001F4CB4" w:rsidRPr="00F0313F">
        <w:rPr>
          <w:rFonts w:cs="Tahoma"/>
        </w:rPr>
        <w:t xml:space="preserve">s the immediate and longer term </w:t>
      </w:r>
      <w:r w:rsidR="00A97FDE" w:rsidRPr="00F0313F">
        <w:rPr>
          <w:rFonts w:cs="Tahoma"/>
        </w:rPr>
        <w:t xml:space="preserve">economic, </w:t>
      </w:r>
      <w:r w:rsidR="001F4CB4" w:rsidRPr="00F0313F">
        <w:rPr>
          <w:rFonts w:cs="Tahoma"/>
        </w:rPr>
        <w:t>social</w:t>
      </w:r>
      <w:r w:rsidR="003F0349" w:rsidRPr="00F0313F">
        <w:rPr>
          <w:rFonts w:cs="Tahoma"/>
        </w:rPr>
        <w:t>,</w:t>
      </w:r>
      <w:r w:rsidR="001F4CB4" w:rsidRPr="00F0313F">
        <w:rPr>
          <w:rFonts w:cs="Tahoma"/>
        </w:rPr>
        <w:t xml:space="preserve"> </w:t>
      </w:r>
      <w:r w:rsidR="00A97FDE" w:rsidRPr="00F0313F">
        <w:rPr>
          <w:rFonts w:cs="Tahoma"/>
        </w:rPr>
        <w:t>cultural</w:t>
      </w:r>
      <w:r w:rsidR="00E37C6F" w:rsidRPr="00F0313F">
        <w:rPr>
          <w:rFonts w:cs="Tahoma"/>
        </w:rPr>
        <w:t xml:space="preserve"> and</w:t>
      </w:r>
      <w:r w:rsidR="00A97FDE" w:rsidRPr="00F0313F">
        <w:rPr>
          <w:rFonts w:cs="Tahoma"/>
        </w:rPr>
        <w:t xml:space="preserve"> psychological</w:t>
      </w:r>
      <w:r w:rsidR="00AF6D2A" w:rsidRPr="00F0313F">
        <w:rPr>
          <w:rFonts w:cs="Tahoma"/>
        </w:rPr>
        <w:t xml:space="preserve"> </w:t>
      </w:r>
      <w:r w:rsidR="00890468" w:rsidRPr="00F0313F">
        <w:rPr>
          <w:rFonts w:cs="Tahoma"/>
        </w:rPr>
        <w:t xml:space="preserve">changes the war brought to </w:t>
      </w:r>
      <w:r w:rsidR="00E37C6F" w:rsidRPr="00F0313F">
        <w:rPr>
          <w:rFonts w:cs="Tahoma"/>
        </w:rPr>
        <w:t>Britain as well as its</w:t>
      </w:r>
      <w:r w:rsidR="00AF6D2A" w:rsidRPr="00F0313F">
        <w:rPr>
          <w:rFonts w:cs="Tahoma"/>
        </w:rPr>
        <w:t xml:space="preserve"> </w:t>
      </w:r>
      <w:r w:rsidR="00890468" w:rsidRPr="00F0313F">
        <w:rPr>
          <w:rFonts w:cs="Tahoma"/>
        </w:rPr>
        <w:t xml:space="preserve">lasting </w:t>
      </w:r>
      <w:r w:rsidR="00AF6D2A" w:rsidRPr="00F0313F">
        <w:rPr>
          <w:rFonts w:cs="Tahoma"/>
        </w:rPr>
        <w:t>political</w:t>
      </w:r>
      <w:r w:rsidR="00890468" w:rsidRPr="00F0313F">
        <w:rPr>
          <w:rFonts w:cs="Tahoma"/>
        </w:rPr>
        <w:t xml:space="preserve"> impact on </w:t>
      </w:r>
      <w:r w:rsidR="00E37C6F" w:rsidRPr="00F0313F">
        <w:rPr>
          <w:rFonts w:cs="Tahoma"/>
        </w:rPr>
        <w:t xml:space="preserve">the country and its </w:t>
      </w:r>
      <w:r w:rsidR="00A97FDE" w:rsidRPr="00F0313F">
        <w:rPr>
          <w:rFonts w:cs="Tahoma"/>
        </w:rPr>
        <w:t xml:space="preserve">relationships with other European and world powers. </w:t>
      </w:r>
    </w:p>
    <w:p w:rsidR="00AF2EFB" w:rsidRPr="00F0313F" w:rsidRDefault="00C87F94" w:rsidP="00A97FDE">
      <w:pPr>
        <w:rPr>
          <w:rFonts w:cs="Tahoma"/>
        </w:rPr>
      </w:pPr>
      <w:r w:rsidRPr="00F0313F">
        <w:rPr>
          <w:rFonts w:cs="Tahoma"/>
        </w:rPr>
        <w:t>It is difficult to accurately determine the number of British casualties</w:t>
      </w:r>
      <w:r w:rsidR="00B93692" w:rsidRPr="00F0313F">
        <w:rPr>
          <w:rFonts w:cs="Tahoma"/>
        </w:rPr>
        <w:t xml:space="preserve"> due to imprecision in national censuses and military records, but historians reckon the figure to be an unprecedented 0.75 million.</w:t>
      </w:r>
      <w:r w:rsidR="00B93692" w:rsidRPr="00F0313F">
        <w:rPr>
          <w:rStyle w:val="FootnoteReference"/>
          <w:rFonts w:cs="Tahoma"/>
        </w:rPr>
        <w:footnoteReference w:id="7"/>
      </w:r>
      <w:r w:rsidR="00B93692" w:rsidRPr="00F0313F">
        <w:rPr>
          <w:rFonts w:cs="Tahoma"/>
        </w:rPr>
        <w:t xml:space="preserve"> </w:t>
      </w:r>
      <w:r w:rsidR="002E178F" w:rsidRPr="00F0313F">
        <w:rPr>
          <w:rFonts w:cs="Tahoma"/>
        </w:rPr>
        <w:t>In addition, 1.2 million British ex-servicemen received disability pensions.</w:t>
      </w:r>
      <w:r w:rsidR="002E178F" w:rsidRPr="00F0313F">
        <w:rPr>
          <w:rStyle w:val="FootnoteReference"/>
          <w:rFonts w:cs="Tahoma"/>
        </w:rPr>
        <w:footnoteReference w:id="8"/>
      </w:r>
      <w:r w:rsidR="002E178F" w:rsidRPr="00F0313F">
        <w:rPr>
          <w:rFonts w:cs="Tahoma"/>
        </w:rPr>
        <w:t xml:space="preserve"> </w:t>
      </w:r>
      <w:r w:rsidR="00B93692" w:rsidRPr="00F0313F">
        <w:rPr>
          <w:rFonts w:cs="Tahoma"/>
        </w:rPr>
        <w:t xml:space="preserve">This level of attrition had </w:t>
      </w:r>
      <w:r w:rsidR="0010745B" w:rsidRPr="00F0313F">
        <w:rPr>
          <w:rFonts w:cs="Tahoma"/>
        </w:rPr>
        <w:t xml:space="preserve">immediate and </w:t>
      </w:r>
      <w:r w:rsidR="00F57423" w:rsidRPr="00F0313F">
        <w:rPr>
          <w:rFonts w:cs="Tahoma"/>
        </w:rPr>
        <w:t xml:space="preserve">far-reaching </w:t>
      </w:r>
      <w:r w:rsidR="006047AC" w:rsidRPr="00F0313F">
        <w:rPr>
          <w:rFonts w:cs="Tahoma"/>
        </w:rPr>
        <w:t>psychological and social</w:t>
      </w:r>
      <w:r w:rsidR="002F10B6" w:rsidRPr="00F0313F">
        <w:rPr>
          <w:rFonts w:cs="Tahoma"/>
        </w:rPr>
        <w:t xml:space="preserve"> </w:t>
      </w:r>
      <w:r w:rsidR="00271B46" w:rsidRPr="00F0313F">
        <w:rPr>
          <w:rFonts w:cs="Tahoma"/>
        </w:rPr>
        <w:t>consequences</w:t>
      </w:r>
      <w:r w:rsidR="002F10B6" w:rsidRPr="00F0313F">
        <w:rPr>
          <w:rFonts w:cs="Tahoma"/>
        </w:rPr>
        <w:t xml:space="preserve"> </w:t>
      </w:r>
      <w:r w:rsidR="00B93692" w:rsidRPr="00F0313F">
        <w:rPr>
          <w:rFonts w:cs="Tahoma"/>
        </w:rPr>
        <w:t>for the country:</w:t>
      </w:r>
      <w:r w:rsidR="00F57423" w:rsidRPr="00F0313F">
        <w:rPr>
          <w:rFonts w:cs="Tahoma"/>
        </w:rPr>
        <w:t xml:space="preserve"> the often quoted metaphor</w:t>
      </w:r>
      <w:r w:rsidR="0010745B" w:rsidRPr="00F0313F">
        <w:rPr>
          <w:rFonts w:cs="Tahoma"/>
        </w:rPr>
        <w:t xml:space="preserve"> of</w:t>
      </w:r>
      <w:r w:rsidR="00F57423" w:rsidRPr="00F0313F">
        <w:rPr>
          <w:rFonts w:cs="Tahoma"/>
        </w:rPr>
        <w:t xml:space="preserve"> ‘Lost Generation’</w:t>
      </w:r>
      <w:r w:rsidR="00271B46" w:rsidRPr="00F0313F">
        <w:rPr>
          <w:rStyle w:val="FootnoteReference"/>
          <w:rFonts w:cs="Tahoma"/>
        </w:rPr>
        <w:footnoteReference w:id="9"/>
      </w:r>
      <w:r w:rsidR="00F57423" w:rsidRPr="00F0313F">
        <w:rPr>
          <w:rFonts w:cs="Tahoma"/>
        </w:rPr>
        <w:t xml:space="preserve"> </w:t>
      </w:r>
      <w:r w:rsidR="00271B46" w:rsidRPr="00F0313F">
        <w:rPr>
          <w:rFonts w:cs="Tahoma"/>
        </w:rPr>
        <w:t>has lost none of its poignancy.</w:t>
      </w:r>
      <w:r w:rsidR="002726DF" w:rsidRPr="00F0313F">
        <w:rPr>
          <w:rFonts w:cs="Tahoma"/>
        </w:rPr>
        <w:t xml:space="preserve"> The </w:t>
      </w:r>
      <w:r w:rsidR="00B93692" w:rsidRPr="00F0313F">
        <w:rPr>
          <w:rFonts w:cs="Tahoma"/>
        </w:rPr>
        <w:t xml:space="preserve">western front, particularly the </w:t>
      </w:r>
      <w:r w:rsidR="002726DF" w:rsidRPr="00F0313F">
        <w:rPr>
          <w:rFonts w:cs="Tahoma"/>
        </w:rPr>
        <w:t>disastrous Ypres campaign of 1917</w:t>
      </w:r>
      <w:r w:rsidR="00B93692" w:rsidRPr="00F0313F">
        <w:rPr>
          <w:rFonts w:cs="Tahoma"/>
        </w:rPr>
        <w:t>,</w:t>
      </w:r>
      <w:r w:rsidR="002726DF" w:rsidRPr="00F0313F">
        <w:rPr>
          <w:rFonts w:cs="Tahoma"/>
        </w:rPr>
        <w:t xml:space="preserve"> left a lasting imprint</w:t>
      </w:r>
      <w:r w:rsidR="00515F13" w:rsidRPr="00F0313F">
        <w:rPr>
          <w:rFonts w:cs="Tahoma"/>
        </w:rPr>
        <w:t xml:space="preserve"> </w:t>
      </w:r>
      <w:r w:rsidR="00FF69E4" w:rsidRPr="00F0313F">
        <w:rPr>
          <w:rFonts w:cs="Tahoma"/>
        </w:rPr>
        <w:t xml:space="preserve">of needless loss </w:t>
      </w:r>
      <w:r w:rsidR="0010745B" w:rsidRPr="00F0313F">
        <w:rPr>
          <w:rFonts w:cs="Tahoma"/>
        </w:rPr>
        <w:t>on the British psyche</w:t>
      </w:r>
      <w:r w:rsidR="002726DF" w:rsidRPr="00F0313F">
        <w:rPr>
          <w:rFonts w:cs="Tahoma"/>
        </w:rPr>
        <w:t>.</w:t>
      </w:r>
      <w:r w:rsidR="002726DF" w:rsidRPr="00F0313F">
        <w:rPr>
          <w:rStyle w:val="FootnoteReference"/>
          <w:rFonts w:cs="Tahoma"/>
        </w:rPr>
        <w:footnoteReference w:id="10"/>
      </w:r>
      <w:r w:rsidR="002726DF" w:rsidRPr="00F0313F">
        <w:rPr>
          <w:rFonts w:cs="Tahoma"/>
        </w:rPr>
        <w:t xml:space="preserve"> </w:t>
      </w:r>
      <w:r w:rsidR="006F55AC" w:rsidRPr="00F0313F">
        <w:rPr>
          <w:rFonts w:cs="Tahoma"/>
        </w:rPr>
        <w:t>The demography of casualties had a long-term impact on British society: prior to 1914, the army recruited essentially from a poorly nourished under-class</w:t>
      </w:r>
      <w:r w:rsidR="00AE6BB4" w:rsidRPr="00F0313F">
        <w:rPr>
          <w:rFonts w:cs="Tahoma"/>
        </w:rPr>
        <w:t xml:space="preserve"> who had suffered from childhood deprivation</w:t>
      </w:r>
      <w:r w:rsidR="006F55AC" w:rsidRPr="00F0313F">
        <w:rPr>
          <w:rFonts w:cs="Tahoma"/>
        </w:rPr>
        <w:t>,</w:t>
      </w:r>
      <w:r w:rsidR="00D90832" w:rsidRPr="00F0313F">
        <w:rPr>
          <w:rStyle w:val="FootnoteReference"/>
          <w:rFonts w:cs="Tahoma"/>
        </w:rPr>
        <w:footnoteReference w:id="11"/>
      </w:r>
      <w:r w:rsidR="00EB7093" w:rsidRPr="00F0313F">
        <w:rPr>
          <w:rFonts w:cs="Tahoma"/>
        </w:rPr>
        <w:t xml:space="preserve"> </w:t>
      </w:r>
      <w:r w:rsidR="006F55AC" w:rsidRPr="00F0313F">
        <w:rPr>
          <w:rFonts w:cs="Tahoma"/>
        </w:rPr>
        <w:t>during the war, healthier, non-manual workers enlisted</w:t>
      </w:r>
      <w:r w:rsidR="0015456E" w:rsidRPr="00F0313F">
        <w:rPr>
          <w:rFonts w:cs="Tahoma"/>
        </w:rPr>
        <w:t xml:space="preserve"> though </w:t>
      </w:r>
      <w:r w:rsidR="00E96517" w:rsidRPr="00F0313F">
        <w:rPr>
          <w:rFonts w:cs="Tahoma"/>
        </w:rPr>
        <w:t xml:space="preserve">28.9% </w:t>
      </w:r>
      <w:r w:rsidR="00F04B09" w:rsidRPr="00F0313F">
        <w:rPr>
          <w:rFonts w:cs="Tahoma"/>
        </w:rPr>
        <w:t>of volunteers and conscripts were rejected for service on health grounds</w:t>
      </w:r>
      <w:r w:rsidR="00E96517" w:rsidRPr="00F0313F">
        <w:rPr>
          <w:rFonts w:cs="Tahoma"/>
        </w:rPr>
        <w:t xml:space="preserve"> in 1916</w:t>
      </w:r>
      <w:r w:rsidR="0015456E" w:rsidRPr="00F0313F">
        <w:rPr>
          <w:rFonts w:cs="Tahoma"/>
        </w:rPr>
        <w:t>.</w:t>
      </w:r>
      <w:r w:rsidR="002047E5" w:rsidRPr="00F0313F">
        <w:rPr>
          <w:rStyle w:val="FootnoteReference"/>
          <w:rFonts w:cs="Tahoma"/>
        </w:rPr>
        <w:footnoteReference w:id="12"/>
      </w:r>
      <w:r w:rsidR="002047E5" w:rsidRPr="00F0313F">
        <w:rPr>
          <w:rFonts w:cs="Tahoma"/>
        </w:rPr>
        <w:t xml:space="preserve"> </w:t>
      </w:r>
      <w:r w:rsidR="00033C34" w:rsidRPr="00F0313F">
        <w:rPr>
          <w:rFonts w:cs="Tahoma"/>
        </w:rPr>
        <w:t>Society could no longer ignore the</w:t>
      </w:r>
      <w:r w:rsidR="0015456E" w:rsidRPr="00F0313F">
        <w:rPr>
          <w:rFonts w:cs="Tahoma"/>
        </w:rPr>
        <w:t xml:space="preserve"> loss of life in the educated and </w:t>
      </w:r>
      <w:r w:rsidR="00033C34" w:rsidRPr="00F0313F">
        <w:rPr>
          <w:rFonts w:cs="Tahoma"/>
        </w:rPr>
        <w:t>articulate classes and the effects of social deprivation of the poor:</w:t>
      </w:r>
      <w:r w:rsidR="00063414" w:rsidRPr="00F0313F">
        <w:rPr>
          <w:rStyle w:val="FootnoteReference"/>
          <w:rFonts w:cs="Tahoma"/>
        </w:rPr>
        <w:footnoteReference w:id="13"/>
      </w:r>
      <w:r w:rsidR="00275C7C" w:rsidRPr="00F0313F">
        <w:rPr>
          <w:rFonts w:cs="Tahoma"/>
        </w:rPr>
        <w:t xml:space="preserve"> </w:t>
      </w:r>
      <w:r w:rsidR="00033C34" w:rsidRPr="00F0313F">
        <w:rPr>
          <w:rFonts w:cs="Tahoma"/>
        </w:rPr>
        <w:t xml:space="preserve">all strata experienced loss and suffering and the perception of the under-classes as a drain subverting </w:t>
      </w:r>
      <w:r w:rsidR="00400549" w:rsidRPr="00F0313F">
        <w:rPr>
          <w:rFonts w:cs="Tahoma"/>
        </w:rPr>
        <w:t xml:space="preserve">the nation’s strength and character could no longer be </w:t>
      </w:r>
      <w:r w:rsidR="00033C34" w:rsidRPr="00F0313F">
        <w:rPr>
          <w:rFonts w:cs="Tahoma"/>
        </w:rPr>
        <w:t>supported</w:t>
      </w:r>
      <w:r w:rsidR="00400549" w:rsidRPr="00F0313F">
        <w:rPr>
          <w:rFonts w:cs="Tahoma"/>
        </w:rPr>
        <w:t>.</w:t>
      </w:r>
      <w:r w:rsidR="00400549" w:rsidRPr="00F0313F">
        <w:rPr>
          <w:rStyle w:val="FootnoteReference"/>
          <w:rFonts w:cs="Tahoma"/>
        </w:rPr>
        <w:footnoteReference w:id="14"/>
      </w:r>
      <w:r w:rsidR="00400549" w:rsidRPr="00F0313F">
        <w:rPr>
          <w:rFonts w:cs="Tahoma"/>
        </w:rPr>
        <w:t xml:space="preserve"> </w:t>
      </w:r>
      <w:r w:rsidR="009C32FE" w:rsidRPr="00F0313F">
        <w:rPr>
          <w:rFonts w:cs="Tahoma"/>
        </w:rPr>
        <w:t xml:space="preserve">Paradoxically, </w:t>
      </w:r>
      <w:r w:rsidR="00AE6BB4" w:rsidRPr="00F0313F">
        <w:rPr>
          <w:rFonts w:cs="Tahoma"/>
        </w:rPr>
        <w:t>civilian survival rates impro</w:t>
      </w:r>
      <w:r w:rsidR="0007727A" w:rsidRPr="00F0313F">
        <w:rPr>
          <w:rFonts w:cs="Tahoma"/>
        </w:rPr>
        <w:t>ved during the war due to</w:t>
      </w:r>
      <w:r w:rsidR="00AE6BB4" w:rsidRPr="00F0313F">
        <w:rPr>
          <w:rFonts w:cs="Tahoma"/>
        </w:rPr>
        <w:t xml:space="preserve"> increased emplo</w:t>
      </w:r>
      <w:r w:rsidR="009C32FE" w:rsidRPr="00F0313F">
        <w:rPr>
          <w:rFonts w:cs="Tahoma"/>
        </w:rPr>
        <w:t>yment and better wages; by</w:t>
      </w:r>
      <w:r w:rsidR="00AE6BB4" w:rsidRPr="00F0313F">
        <w:rPr>
          <w:rFonts w:cs="Tahoma"/>
        </w:rPr>
        <w:t xml:space="preserve"> reducing </w:t>
      </w:r>
      <w:r w:rsidR="00AE6BB4" w:rsidRPr="00F0313F">
        <w:rPr>
          <w:rFonts w:cs="Tahoma"/>
        </w:rPr>
        <w:lastRenderedPageBreak/>
        <w:t xml:space="preserve">the proportion of society living on the margin of subsistence, </w:t>
      </w:r>
      <w:r w:rsidR="009C32FE" w:rsidRPr="00F0313F">
        <w:rPr>
          <w:rFonts w:cs="Tahoma"/>
        </w:rPr>
        <w:t xml:space="preserve">the war brought an element of </w:t>
      </w:r>
      <w:r w:rsidR="00AE6BB4" w:rsidRPr="00F0313F">
        <w:rPr>
          <w:rFonts w:cs="Tahoma"/>
        </w:rPr>
        <w:t>social improvement creating the foundations for further advancement.</w:t>
      </w:r>
      <w:r w:rsidR="00AE6BB4" w:rsidRPr="00F0313F">
        <w:rPr>
          <w:rStyle w:val="FootnoteReference"/>
          <w:rFonts w:cs="Tahoma"/>
        </w:rPr>
        <w:footnoteReference w:id="15"/>
      </w:r>
      <w:r w:rsidR="00AE6BB4" w:rsidRPr="00F0313F">
        <w:rPr>
          <w:rFonts w:cs="Tahoma"/>
        </w:rPr>
        <w:t xml:space="preserve">  </w:t>
      </w:r>
    </w:p>
    <w:p w:rsidR="006D11F2" w:rsidRPr="00F0313F" w:rsidRDefault="0007727A" w:rsidP="00A97FDE">
      <w:pPr>
        <w:rPr>
          <w:rFonts w:cs="Tahoma"/>
          <w:color w:val="FF0000"/>
        </w:rPr>
      </w:pPr>
      <w:r w:rsidRPr="00F0313F">
        <w:rPr>
          <w:rFonts w:cs="Tahoma"/>
        </w:rPr>
        <w:t>A key consequence of the war for</w:t>
      </w:r>
      <w:r w:rsidR="006D11F2" w:rsidRPr="00F0313F">
        <w:rPr>
          <w:rFonts w:cs="Tahoma"/>
        </w:rPr>
        <w:t xml:space="preserve"> Britain was its </w:t>
      </w:r>
      <w:r w:rsidR="00AD53BA" w:rsidRPr="00F0313F">
        <w:rPr>
          <w:rFonts w:cs="Tahoma"/>
        </w:rPr>
        <w:t xml:space="preserve">lasting impact on the economy. </w:t>
      </w:r>
      <w:r w:rsidR="006D11F2" w:rsidRPr="00F0313F">
        <w:rPr>
          <w:rFonts w:cs="Tahoma"/>
        </w:rPr>
        <w:t>By 1918 the country was bankrupt with its gold reserves seriously depleted and heavily indebted to America.</w:t>
      </w:r>
      <w:r w:rsidR="006D11F2" w:rsidRPr="00F0313F">
        <w:rPr>
          <w:rStyle w:val="FootnoteReference"/>
          <w:rFonts w:cs="Tahoma"/>
        </w:rPr>
        <w:footnoteReference w:id="16"/>
      </w:r>
      <w:r w:rsidR="006D11F2" w:rsidRPr="00F0313F">
        <w:rPr>
          <w:rFonts w:cs="Tahoma"/>
        </w:rPr>
        <w:t xml:space="preserve"> Britain’s position in the international economy was seriously affected with America becoming dominant in shipping and ship building.</w:t>
      </w:r>
      <w:r w:rsidR="006D11F2" w:rsidRPr="00F0313F">
        <w:rPr>
          <w:rStyle w:val="FootnoteReference"/>
          <w:rFonts w:cs="Tahoma"/>
        </w:rPr>
        <w:footnoteReference w:id="17"/>
      </w:r>
      <w:r w:rsidR="006D11F2" w:rsidRPr="00F0313F">
        <w:rPr>
          <w:rFonts w:cs="Tahoma"/>
        </w:rPr>
        <w:t xml:space="preserve"> </w:t>
      </w:r>
      <w:r w:rsidR="00187EFE" w:rsidRPr="00F0313F">
        <w:rPr>
          <w:rFonts w:cs="Tahoma"/>
        </w:rPr>
        <w:t>High employment due to the post-</w:t>
      </w:r>
      <w:r w:rsidR="006D11F2" w:rsidRPr="00F0313F">
        <w:rPr>
          <w:rFonts w:cs="Tahoma"/>
        </w:rPr>
        <w:t xml:space="preserve">war economic boom initially </w:t>
      </w:r>
      <w:r w:rsidR="00187EFE" w:rsidRPr="00F0313F">
        <w:rPr>
          <w:rFonts w:cs="Tahoma"/>
        </w:rPr>
        <w:t xml:space="preserve">facilitated </w:t>
      </w:r>
      <w:r w:rsidR="006D11F2" w:rsidRPr="00F0313F">
        <w:rPr>
          <w:rFonts w:cs="Tahoma"/>
        </w:rPr>
        <w:t xml:space="preserve">demobilization </w:t>
      </w:r>
      <w:r w:rsidR="002D5E65" w:rsidRPr="00F0313F">
        <w:rPr>
          <w:rFonts w:cs="Tahoma"/>
        </w:rPr>
        <w:t>but was short lived;</w:t>
      </w:r>
      <w:r w:rsidR="006D11F2" w:rsidRPr="00F0313F">
        <w:rPr>
          <w:rFonts w:cs="Tahoma"/>
        </w:rPr>
        <w:t xml:space="preserve"> deflationary policies to protect sterling </w:t>
      </w:r>
      <w:r w:rsidR="002D5E65" w:rsidRPr="00F0313F">
        <w:rPr>
          <w:rFonts w:cs="Tahoma"/>
        </w:rPr>
        <w:t>had a drastic effect on employment and living standards</w:t>
      </w:r>
      <w:r w:rsidR="0042630C" w:rsidRPr="00F0313F">
        <w:rPr>
          <w:rFonts w:cs="Tahoma"/>
        </w:rPr>
        <w:t>,</w:t>
      </w:r>
      <w:r w:rsidR="002D5E65" w:rsidRPr="00F0313F">
        <w:rPr>
          <w:rFonts w:cs="Tahoma"/>
        </w:rPr>
        <w:t xml:space="preserve"> </w:t>
      </w:r>
      <w:r w:rsidR="006D11F2" w:rsidRPr="00F0313F">
        <w:rPr>
          <w:rFonts w:cs="Tahoma"/>
        </w:rPr>
        <w:t>the re-introduction of the gold standard by Churchill in 1925</w:t>
      </w:r>
      <w:r w:rsidR="006D11F2" w:rsidRPr="00F0313F">
        <w:rPr>
          <w:rStyle w:val="FootnoteReference"/>
          <w:rFonts w:cs="Tahoma"/>
        </w:rPr>
        <w:footnoteReference w:id="18"/>
      </w:r>
      <w:r w:rsidR="006D11F2" w:rsidRPr="00F0313F">
        <w:rPr>
          <w:rFonts w:cs="Tahoma"/>
        </w:rPr>
        <w:t xml:space="preserve"> reduce</w:t>
      </w:r>
      <w:r w:rsidRPr="00F0313F">
        <w:rPr>
          <w:rFonts w:cs="Tahoma"/>
        </w:rPr>
        <w:t xml:space="preserve">d exports </w:t>
      </w:r>
      <w:r w:rsidR="0042630C" w:rsidRPr="00F0313F">
        <w:rPr>
          <w:rFonts w:cs="Tahoma"/>
        </w:rPr>
        <w:t xml:space="preserve">and depressed the economy </w:t>
      </w:r>
      <w:r w:rsidRPr="00F0313F">
        <w:rPr>
          <w:rFonts w:cs="Tahoma"/>
        </w:rPr>
        <w:t>resulting in</w:t>
      </w:r>
      <w:r w:rsidR="0042630C" w:rsidRPr="00F0313F">
        <w:rPr>
          <w:rFonts w:cs="Tahoma"/>
        </w:rPr>
        <w:t xml:space="preserve"> reduced public expenditure,</w:t>
      </w:r>
      <w:r w:rsidRPr="00F0313F">
        <w:rPr>
          <w:rFonts w:cs="Tahoma"/>
        </w:rPr>
        <w:t xml:space="preserve"> </w:t>
      </w:r>
      <w:r w:rsidR="006D11F2" w:rsidRPr="00F0313F">
        <w:rPr>
          <w:rFonts w:cs="Tahoma"/>
        </w:rPr>
        <w:t>social tensions</w:t>
      </w:r>
      <w:r w:rsidRPr="00F0313F">
        <w:rPr>
          <w:rFonts w:cs="Tahoma"/>
        </w:rPr>
        <w:t xml:space="preserve">, </w:t>
      </w:r>
      <w:r w:rsidR="006D11F2" w:rsidRPr="00F0313F">
        <w:rPr>
          <w:rFonts w:cs="Tahoma"/>
        </w:rPr>
        <w:t>unrest and the General Strike of 1926.</w:t>
      </w:r>
      <w:r w:rsidR="006D11F2" w:rsidRPr="00F0313F">
        <w:rPr>
          <w:rStyle w:val="FootnoteReference"/>
          <w:rFonts w:cs="Tahoma"/>
        </w:rPr>
        <w:footnoteReference w:id="19"/>
      </w:r>
      <w:r w:rsidR="006D11F2" w:rsidRPr="00F0313F">
        <w:rPr>
          <w:rFonts w:cs="Tahoma"/>
        </w:rPr>
        <w:t xml:space="preserve"> Fraser argues the impact of the economy </w:t>
      </w:r>
      <w:r w:rsidRPr="00F0313F">
        <w:rPr>
          <w:rFonts w:cs="Tahoma"/>
        </w:rPr>
        <w:t xml:space="preserve">on living standards </w:t>
      </w:r>
      <w:r w:rsidR="006D11F2" w:rsidRPr="00F0313F">
        <w:rPr>
          <w:rFonts w:cs="Tahoma"/>
        </w:rPr>
        <w:t xml:space="preserve">in the inter-war years </w:t>
      </w:r>
      <w:r w:rsidR="00CA32E5" w:rsidRPr="00F0313F">
        <w:rPr>
          <w:rFonts w:cs="Tahoma"/>
        </w:rPr>
        <w:t>to have been significant although</w:t>
      </w:r>
      <w:r w:rsidR="006D11F2" w:rsidRPr="00F0313F">
        <w:rPr>
          <w:rFonts w:cs="Tahoma"/>
        </w:rPr>
        <w:t xml:space="preserve"> not consistent across the country: whilst they declined drastically </w:t>
      </w:r>
      <w:r w:rsidRPr="00F0313F">
        <w:rPr>
          <w:rFonts w:cs="Tahoma"/>
        </w:rPr>
        <w:t>in industrial regions, they</w:t>
      </w:r>
      <w:r w:rsidR="006D11F2" w:rsidRPr="00F0313F">
        <w:rPr>
          <w:rFonts w:cs="Tahoma"/>
        </w:rPr>
        <w:t xml:space="preserve"> improved for most people.</w:t>
      </w:r>
      <w:r w:rsidR="006D11F2" w:rsidRPr="00F0313F">
        <w:rPr>
          <w:rStyle w:val="FootnoteReference"/>
          <w:rFonts w:cs="Tahoma"/>
        </w:rPr>
        <w:footnoteReference w:id="20"/>
      </w:r>
      <w:r w:rsidR="006D11F2" w:rsidRPr="00F0313F">
        <w:rPr>
          <w:rFonts w:cs="Tahoma"/>
        </w:rPr>
        <w:t xml:space="preserve"> Despite the drastic financial losses </w:t>
      </w:r>
      <w:r w:rsidR="00CA32E5" w:rsidRPr="00F0313F">
        <w:rPr>
          <w:rFonts w:cs="Tahoma"/>
        </w:rPr>
        <w:t xml:space="preserve">of the war </w:t>
      </w:r>
      <w:r w:rsidR="006D11F2" w:rsidRPr="00F0313F">
        <w:rPr>
          <w:rFonts w:cs="Tahoma"/>
        </w:rPr>
        <w:t>and consequent deprivation for many, Kershaw concludes</w:t>
      </w:r>
      <w:r w:rsidR="006D11F2" w:rsidRPr="00F0313F">
        <w:rPr>
          <w:rStyle w:val="FootnoteReference"/>
          <w:rFonts w:cs="Tahoma"/>
        </w:rPr>
        <w:footnoteReference w:id="21"/>
      </w:r>
      <w:r w:rsidR="006D11F2" w:rsidRPr="00F0313F">
        <w:rPr>
          <w:rFonts w:cs="Tahoma"/>
        </w:rPr>
        <w:t xml:space="preserve"> that the first and second world wars</w:t>
      </w:r>
      <w:r w:rsidR="00CA32E5" w:rsidRPr="00F0313F">
        <w:rPr>
          <w:rFonts w:cs="Tahoma"/>
        </w:rPr>
        <w:t>,</w:t>
      </w:r>
      <w:r w:rsidR="006D11F2" w:rsidRPr="00F0313F">
        <w:rPr>
          <w:rFonts w:cs="Tahoma"/>
        </w:rPr>
        <w:t xml:space="preserve"> in </w:t>
      </w:r>
      <w:r w:rsidR="0003794A" w:rsidRPr="00F0313F">
        <w:rPr>
          <w:rFonts w:cs="Tahoma"/>
        </w:rPr>
        <w:t xml:space="preserve">purely </w:t>
      </w:r>
      <w:r w:rsidR="006D11F2" w:rsidRPr="00F0313F">
        <w:rPr>
          <w:rFonts w:cs="Tahoma"/>
        </w:rPr>
        <w:t>economic terms</w:t>
      </w:r>
      <w:r w:rsidR="00CA32E5" w:rsidRPr="00F0313F">
        <w:rPr>
          <w:rFonts w:cs="Tahoma"/>
        </w:rPr>
        <w:t>,</w:t>
      </w:r>
      <w:r w:rsidR="006D11F2" w:rsidRPr="00F0313F">
        <w:rPr>
          <w:rFonts w:cs="Tahoma"/>
        </w:rPr>
        <w:t xml:space="preserve"> provided a marked stimulus for </w:t>
      </w:r>
      <w:r w:rsidR="0003794A" w:rsidRPr="00F0313F">
        <w:rPr>
          <w:rFonts w:cs="Tahoma"/>
        </w:rPr>
        <w:t xml:space="preserve">future </w:t>
      </w:r>
      <w:r w:rsidR="006D11F2" w:rsidRPr="00F0313F">
        <w:rPr>
          <w:rFonts w:cs="Tahoma"/>
        </w:rPr>
        <w:t>growth and technological advance</w:t>
      </w:r>
      <w:r w:rsidR="00187EFE" w:rsidRPr="00F0313F">
        <w:rPr>
          <w:rFonts w:cs="Tahoma"/>
        </w:rPr>
        <w:t>ment</w:t>
      </w:r>
      <w:r w:rsidR="0003794A" w:rsidRPr="00F0313F">
        <w:rPr>
          <w:rFonts w:cs="Tahoma"/>
        </w:rPr>
        <w:t xml:space="preserve">. </w:t>
      </w:r>
      <w:r w:rsidR="006D11F2" w:rsidRPr="00F0313F">
        <w:rPr>
          <w:rFonts w:cs="Tahoma"/>
        </w:rPr>
        <w:t>Fussell</w:t>
      </w:r>
      <w:r w:rsidR="006D11F2" w:rsidRPr="00F0313F">
        <w:rPr>
          <w:rStyle w:val="FootnoteReference"/>
          <w:rFonts w:cs="Tahoma"/>
        </w:rPr>
        <w:footnoteReference w:id="22"/>
      </w:r>
      <w:r w:rsidR="00CA32E5" w:rsidRPr="00F0313F">
        <w:rPr>
          <w:rFonts w:cs="Tahoma"/>
        </w:rPr>
        <w:t xml:space="preserve"> considers</w:t>
      </w:r>
      <w:r w:rsidR="006D11F2" w:rsidRPr="00F0313F">
        <w:rPr>
          <w:rFonts w:cs="Tahoma"/>
        </w:rPr>
        <w:t xml:space="preserve"> </w:t>
      </w:r>
      <w:r w:rsidR="00BE1049">
        <w:rPr>
          <w:rFonts w:cs="Tahoma"/>
        </w:rPr>
        <w:t>war-</w:t>
      </w:r>
      <w:r w:rsidR="0003794A" w:rsidRPr="00F0313F">
        <w:rPr>
          <w:rFonts w:cs="Tahoma"/>
        </w:rPr>
        <w:t xml:space="preserve">related economic depression and </w:t>
      </w:r>
      <w:r w:rsidR="006D11F2" w:rsidRPr="00F0313F">
        <w:rPr>
          <w:rFonts w:cs="Tahoma"/>
        </w:rPr>
        <w:t xml:space="preserve">financial indebtedness to America to have resulted in the Americanisation of </w:t>
      </w:r>
      <w:r w:rsidR="0003794A" w:rsidRPr="00F0313F">
        <w:rPr>
          <w:rFonts w:cs="Tahoma"/>
        </w:rPr>
        <w:t xml:space="preserve">Britain and </w:t>
      </w:r>
      <w:r w:rsidR="006D11F2" w:rsidRPr="00F0313F">
        <w:rPr>
          <w:rFonts w:cs="Tahoma"/>
        </w:rPr>
        <w:t>Europe between 1945 and the early 60s.</w:t>
      </w:r>
    </w:p>
    <w:p w:rsidR="00EE4D01" w:rsidRPr="00F0313F" w:rsidRDefault="00F215C0" w:rsidP="00EE4D01">
      <w:pPr>
        <w:rPr>
          <w:rFonts w:cs="Tahoma"/>
        </w:rPr>
      </w:pPr>
      <w:r>
        <w:rPr>
          <w:rFonts w:cs="Tahoma"/>
        </w:rPr>
        <w:t>The w</w:t>
      </w:r>
      <w:r w:rsidR="00782CE0" w:rsidRPr="00F0313F">
        <w:rPr>
          <w:rFonts w:cs="Tahoma"/>
        </w:rPr>
        <w:t>ar brought about profound s</w:t>
      </w:r>
      <w:r w:rsidR="00187EFE" w:rsidRPr="00F0313F">
        <w:rPr>
          <w:rFonts w:cs="Tahoma"/>
        </w:rPr>
        <w:t>ocial and political changes challenging</w:t>
      </w:r>
      <w:r w:rsidR="00782CE0" w:rsidRPr="00F0313F">
        <w:rPr>
          <w:rFonts w:cs="Tahoma"/>
        </w:rPr>
        <w:t xml:space="preserve"> </w:t>
      </w:r>
      <w:r w:rsidR="005A3227" w:rsidRPr="00F0313F">
        <w:rPr>
          <w:rFonts w:cs="Tahoma"/>
        </w:rPr>
        <w:t xml:space="preserve">political philosophies and </w:t>
      </w:r>
      <w:r w:rsidR="00786C53" w:rsidRPr="00F0313F">
        <w:rPr>
          <w:rFonts w:cs="Tahoma"/>
        </w:rPr>
        <w:t>social norms</w:t>
      </w:r>
      <w:r w:rsidR="00345947" w:rsidRPr="00F0313F">
        <w:rPr>
          <w:rFonts w:cs="Tahoma"/>
        </w:rPr>
        <w:t xml:space="preserve">: </w:t>
      </w:r>
      <w:r w:rsidR="000B7EBD" w:rsidRPr="00F0313F">
        <w:rPr>
          <w:rFonts w:cs="Tahoma"/>
        </w:rPr>
        <w:t xml:space="preserve">the contributions of </w:t>
      </w:r>
      <w:r w:rsidR="00782CE0" w:rsidRPr="00F0313F">
        <w:rPr>
          <w:rFonts w:cs="Tahoma"/>
        </w:rPr>
        <w:t xml:space="preserve">the </w:t>
      </w:r>
      <w:r w:rsidR="000B7EBD" w:rsidRPr="00F0313F">
        <w:rPr>
          <w:rFonts w:cs="Tahoma"/>
        </w:rPr>
        <w:t>under-privileged groups</w:t>
      </w:r>
      <w:r w:rsidR="000B7EBD" w:rsidRPr="00F0313F">
        <w:rPr>
          <w:rStyle w:val="FootnoteReference"/>
          <w:rFonts w:cs="Tahoma"/>
        </w:rPr>
        <w:footnoteReference w:id="23"/>
      </w:r>
      <w:r w:rsidR="000B7EBD" w:rsidRPr="00F0313F">
        <w:rPr>
          <w:rFonts w:cs="Tahoma"/>
        </w:rPr>
        <w:t xml:space="preserve"> suddenly </w:t>
      </w:r>
      <w:r w:rsidR="00786C53" w:rsidRPr="00F0313F">
        <w:rPr>
          <w:rFonts w:cs="Tahoma"/>
        </w:rPr>
        <w:t xml:space="preserve">had </w:t>
      </w:r>
      <w:r w:rsidR="00067D53" w:rsidRPr="00F0313F">
        <w:rPr>
          <w:rFonts w:cs="Tahoma"/>
        </w:rPr>
        <w:t>value</w:t>
      </w:r>
      <w:r w:rsidR="000B7EBD" w:rsidRPr="00F0313F">
        <w:rPr>
          <w:rFonts w:cs="Tahoma"/>
        </w:rPr>
        <w:t>.</w:t>
      </w:r>
      <w:r w:rsidR="000B7EBD" w:rsidRPr="00F0313F">
        <w:rPr>
          <w:rStyle w:val="FootnoteReference"/>
          <w:rFonts w:cs="Tahoma"/>
        </w:rPr>
        <w:footnoteReference w:id="24"/>
      </w:r>
      <w:r w:rsidR="000B7EBD" w:rsidRPr="00F0313F">
        <w:rPr>
          <w:rFonts w:cs="Tahoma"/>
        </w:rPr>
        <w:t xml:space="preserve"> </w:t>
      </w:r>
      <w:r w:rsidR="00345947" w:rsidRPr="00F0313F">
        <w:rPr>
          <w:rFonts w:cs="Tahoma"/>
        </w:rPr>
        <w:t>In 1914, laissez-faire economics and politics prevailed</w:t>
      </w:r>
      <w:r w:rsidR="000275E3" w:rsidRPr="00F0313F">
        <w:rPr>
          <w:rFonts w:cs="Tahoma"/>
        </w:rPr>
        <w:t>,</w:t>
      </w:r>
      <w:r w:rsidR="00614587" w:rsidRPr="00F0313F">
        <w:rPr>
          <w:rFonts w:cs="Tahoma"/>
        </w:rPr>
        <w:t xml:space="preserve"> </w:t>
      </w:r>
      <w:r w:rsidR="00345947" w:rsidRPr="00F0313F">
        <w:rPr>
          <w:rFonts w:cs="Tahoma"/>
        </w:rPr>
        <w:t>emphasising</w:t>
      </w:r>
      <w:r w:rsidR="0067261A" w:rsidRPr="00F0313F">
        <w:rPr>
          <w:rFonts w:cs="Tahoma"/>
        </w:rPr>
        <w:t xml:space="preserve"> indiv</w:t>
      </w:r>
      <w:r w:rsidR="00700820" w:rsidRPr="00F0313F">
        <w:rPr>
          <w:rFonts w:cs="Tahoma"/>
        </w:rPr>
        <w:t>idual initiative</w:t>
      </w:r>
      <w:r w:rsidR="00A75FC9" w:rsidRPr="00F0313F">
        <w:rPr>
          <w:rFonts w:cs="Tahoma"/>
        </w:rPr>
        <w:t>, free trade</w:t>
      </w:r>
      <w:r w:rsidR="00700820" w:rsidRPr="00F0313F">
        <w:rPr>
          <w:rFonts w:cs="Tahoma"/>
        </w:rPr>
        <w:t xml:space="preserve"> and exclusion</w:t>
      </w:r>
      <w:r w:rsidR="0067261A" w:rsidRPr="00F0313F">
        <w:rPr>
          <w:rFonts w:cs="Tahoma"/>
        </w:rPr>
        <w:t xml:space="preserve"> of state interference in the economy, </w:t>
      </w:r>
      <w:r w:rsidR="00345947" w:rsidRPr="00F0313F">
        <w:rPr>
          <w:rFonts w:cs="Tahoma"/>
        </w:rPr>
        <w:t>currency and society,</w:t>
      </w:r>
      <w:r w:rsidR="0067261A" w:rsidRPr="00F0313F">
        <w:rPr>
          <w:rStyle w:val="FootnoteReference"/>
          <w:rFonts w:cs="Tahoma"/>
        </w:rPr>
        <w:footnoteReference w:id="25"/>
      </w:r>
      <w:r w:rsidR="0067261A" w:rsidRPr="00F0313F">
        <w:rPr>
          <w:rFonts w:cs="Tahoma"/>
        </w:rPr>
        <w:t xml:space="preserve"> </w:t>
      </w:r>
      <w:r w:rsidR="00345947" w:rsidRPr="00F0313F">
        <w:rPr>
          <w:rFonts w:cs="Tahoma"/>
        </w:rPr>
        <w:t xml:space="preserve">and providing, through modest taxation, </w:t>
      </w:r>
      <w:r w:rsidR="00187EFE" w:rsidRPr="00F0313F">
        <w:rPr>
          <w:rFonts w:cs="Tahoma"/>
        </w:rPr>
        <w:t xml:space="preserve">only </w:t>
      </w:r>
      <w:r w:rsidR="0067261A" w:rsidRPr="00F0313F">
        <w:rPr>
          <w:rFonts w:cs="Tahoma"/>
        </w:rPr>
        <w:t>the barest essentials of soci</w:t>
      </w:r>
      <w:r w:rsidR="00FF0101" w:rsidRPr="00F0313F">
        <w:rPr>
          <w:rFonts w:cs="Tahoma"/>
        </w:rPr>
        <w:t xml:space="preserve">al </w:t>
      </w:r>
      <w:r w:rsidR="00A75FC9" w:rsidRPr="00F0313F">
        <w:rPr>
          <w:rFonts w:cs="Tahoma"/>
        </w:rPr>
        <w:t xml:space="preserve">support </w:t>
      </w:r>
      <w:r w:rsidR="00070888" w:rsidRPr="00F0313F">
        <w:rPr>
          <w:rFonts w:cs="Tahoma"/>
        </w:rPr>
        <w:t xml:space="preserve">for those in dire need </w:t>
      </w:r>
      <w:r w:rsidR="00A75FC9" w:rsidRPr="00F0313F">
        <w:rPr>
          <w:rFonts w:cs="Tahoma"/>
        </w:rPr>
        <w:t>(however, n</w:t>
      </w:r>
      <w:r w:rsidR="00345947" w:rsidRPr="00F0313F">
        <w:rPr>
          <w:rFonts w:cs="Tahoma"/>
        </w:rPr>
        <w:t xml:space="preserve">either Conservatives nor Liberals were averse to </w:t>
      </w:r>
      <w:r w:rsidR="00FF0101" w:rsidRPr="00F0313F">
        <w:rPr>
          <w:rFonts w:cs="Tahoma"/>
        </w:rPr>
        <w:t>buying</w:t>
      </w:r>
      <w:r w:rsidR="0067261A" w:rsidRPr="00F0313F">
        <w:rPr>
          <w:rFonts w:cs="Tahoma"/>
        </w:rPr>
        <w:t xml:space="preserve"> working-class support </w:t>
      </w:r>
      <w:r w:rsidR="00A75FC9" w:rsidRPr="00F0313F">
        <w:rPr>
          <w:rFonts w:cs="Tahoma"/>
        </w:rPr>
        <w:t xml:space="preserve">using welfare legislation where </w:t>
      </w:r>
      <w:r w:rsidR="0067261A" w:rsidRPr="00F0313F">
        <w:rPr>
          <w:rFonts w:cs="Tahoma"/>
        </w:rPr>
        <w:t>imperialis</w:t>
      </w:r>
      <w:r w:rsidR="00A75FC9" w:rsidRPr="00F0313F">
        <w:rPr>
          <w:rFonts w:cs="Tahoma"/>
        </w:rPr>
        <w:t>t and military purposes dictated)</w:t>
      </w:r>
      <w:r w:rsidR="0067261A" w:rsidRPr="00F0313F">
        <w:rPr>
          <w:rStyle w:val="FootnoteReference"/>
          <w:rFonts w:cs="Tahoma"/>
        </w:rPr>
        <w:footnoteReference w:id="26"/>
      </w:r>
      <w:r w:rsidR="00A75FC9" w:rsidRPr="00F0313F">
        <w:rPr>
          <w:rFonts w:cs="Tahoma"/>
        </w:rPr>
        <w:t>.</w:t>
      </w:r>
      <w:r w:rsidR="0067261A" w:rsidRPr="00F0313F">
        <w:rPr>
          <w:rFonts w:cs="Tahoma"/>
        </w:rPr>
        <w:t xml:space="preserve"> </w:t>
      </w:r>
      <w:r w:rsidR="00A75FC9" w:rsidRPr="00F0313F">
        <w:rPr>
          <w:rFonts w:cs="Tahoma"/>
        </w:rPr>
        <w:t>War</w:t>
      </w:r>
      <w:r w:rsidR="00115996" w:rsidRPr="00F0313F">
        <w:rPr>
          <w:rFonts w:cs="Tahoma"/>
        </w:rPr>
        <w:t xml:space="preserve"> needs </w:t>
      </w:r>
      <w:r w:rsidR="00A75FC9" w:rsidRPr="00F0313F">
        <w:rPr>
          <w:rFonts w:cs="Tahoma"/>
        </w:rPr>
        <w:t>challenged these doctrines</w:t>
      </w:r>
      <w:r w:rsidR="00070888" w:rsidRPr="00F0313F">
        <w:rPr>
          <w:rFonts w:cs="Tahoma"/>
        </w:rPr>
        <w:t xml:space="preserve"> </w:t>
      </w:r>
      <w:r w:rsidR="00B91E15" w:rsidRPr="00F0313F">
        <w:rPr>
          <w:rFonts w:cs="Tahoma"/>
        </w:rPr>
        <w:t>resulting in the sacrifice of long-held Liberal beliefs</w:t>
      </w:r>
      <w:r w:rsidR="00A75FC9" w:rsidRPr="00F0313F">
        <w:rPr>
          <w:rFonts w:cs="Tahoma"/>
        </w:rPr>
        <w:t xml:space="preserve">: </w:t>
      </w:r>
      <w:r w:rsidR="0067261A" w:rsidRPr="00F0313F">
        <w:rPr>
          <w:rFonts w:cs="Tahoma"/>
        </w:rPr>
        <w:t>a fifth of British merchant shipping</w:t>
      </w:r>
      <w:r w:rsidR="00115996" w:rsidRPr="00F0313F">
        <w:rPr>
          <w:rFonts w:cs="Tahoma"/>
        </w:rPr>
        <w:t xml:space="preserve"> was requisitioned</w:t>
      </w:r>
      <w:r w:rsidR="0067261A" w:rsidRPr="00F0313F">
        <w:rPr>
          <w:rFonts w:cs="Tahoma"/>
        </w:rPr>
        <w:t>, rail</w:t>
      </w:r>
      <w:r w:rsidR="00FF0101" w:rsidRPr="00F0313F">
        <w:rPr>
          <w:rFonts w:cs="Tahoma"/>
        </w:rPr>
        <w:t xml:space="preserve">ways </w:t>
      </w:r>
      <w:r w:rsidR="001E417D" w:rsidRPr="00F0313F">
        <w:rPr>
          <w:rFonts w:cs="Tahoma"/>
        </w:rPr>
        <w:t xml:space="preserve">passed into Government hands </w:t>
      </w:r>
      <w:r w:rsidR="009D136C" w:rsidRPr="00F0313F">
        <w:rPr>
          <w:rFonts w:cs="Tahoma"/>
        </w:rPr>
        <w:t xml:space="preserve">and </w:t>
      </w:r>
      <w:r w:rsidR="0067261A" w:rsidRPr="00F0313F">
        <w:rPr>
          <w:rFonts w:cs="Tahoma"/>
        </w:rPr>
        <w:t>a</w:t>
      </w:r>
      <w:r w:rsidR="001E417D" w:rsidRPr="00F0313F">
        <w:rPr>
          <w:rFonts w:cs="Tahoma"/>
        </w:rPr>
        <w:t xml:space="preserve"> framework for collectivist organisation was established through the Defence of the Realm Act 1914</w:t>
      </w:r>
      <w:r w:rsidR="0067261A" w:rsidRPr="00F0313F">
        <w:rPr>
          <w:rFonts w:cs="Tahoma"/>
        </w:rPr>
        <w:t>.</w:t>
      </w:r>
      <w:r w:rsidR="0067261A" w:rsidRPr="00F0313F">
        <w:rPr>
          <w:rStyle w:val="FootnoteReference"/>
          <w:rFonts w:cs="Tahoma"/>
        </w:rPr>
        <w:footnoteReference w:id="27"/>
      </w:r>
      <w:r w:rsidR="0067261A" w:rsidRPr="00F0313F">
        <w:rPr>
          <w:rFonts w:cs="Tahoma"/>
        </w:rPr>
        <w:t xml:space="preserve"> </w:t>
      </w:r>
      <w:r w:rsidR="00B73F90" w:rsidRPr="00F0313F">
        <w:rPr>
          <w:rFonts w:cs="Tahoma"/>
        </w:rPr>
        <w:t xml:space="preserve">Necessity </w:t>
      </w:r>
      <w:r w:rsidR="00A75FC9" w:rsidRPr="00F0313F">
        <w:rPr>
          <w:rFonts w:cs="Tahoma"/>
        </w:rPr>
        <w:t>dictated</w:t>
      </w:r>
      <w:r w:rsidR="00B73F90" w:rsidRPr="00F0313F">
        <w:rPr>
          <w:rFonts w:cs="Tahoma"/>
        </w:rPr>
        <w:t xml:space="preserve"> increasing state control through t</w:t>
      </w:r>
      <w:r w:rsidR="00A75FC9" w:rsidRPr="00F0313F">
        <w:rPr>
          <w:rFonts w:cs="Tahoma"/>
        </w:rPr>
        <w:t>he Ministry of Munitions throughout</w:t>
      </w:r>
      <w:r w:rsidR="00B73F90" w:rsidRPr="00F0313F">
        <w:rPr>
          <w:rFonts w:cs="Tahoma"/>
        </w:rPr>
        <w:t xml:space="preserve"> the war. </w:t>
      </w:r>
      <w:r w:rsidR="006A0B5A" w:rsidRPr="00F0313F">
        <w:rPr>
          <w:rFonts w:cs="Tahoma"/>
        </w:rPr>
        <w:t>At this point of transition from laissez-faire to collectivism, t</w:t>
      </w:r>
      <w:r w:rsidR="009D136C" w:rsidRPr="00F0313F">
        <w:rPr>
          <w:rFonts w:cs="Tahoma"/>
        </w:rPr>
        <w:t>he Labour Party</w:t>
      </w:r>
      <w:r w:rsidR="00B73F90" w:rsidRPr="00F0313F">
        <w:rPr>
          <w:rFonts w:cs="Tahoma"/>
        </w:rPr>
        <w:t xml:space="preserve"> </w:t>
      </w:r>
      <w:r w:rsidR="009D136C" w:rsidRPr="00F0313F">
        <w:rPr>
          <w:rFonts w:cs="Tahoma"/>
        </w:rPr>
        <w:t xml:space="preserve">was </w:t>
      </w:r>
      <w:r w:rsidR="006A0B5A" w:rsidRPr="00F0313F">
        <w:rPr>
          <w:rFonts w:cs="Tahoma"/>
        </w:rPr>
        <w:t>merely</w:t>
      </w:r>
      <w:r w:rsidR="009D136C" w:rsidRPr="00F0313F">
        <w:rPr>
          <w:rFonts w:cs="Tahoma"/>
        </w:rPr>
        <w:t xml:space="preserve"> a loose alliance of socialists, trade unionists and Fabians</w:t>
      </w:r>
      <w:r w:rsidR="00400549" w:rsidRPr="00F0313F">
        <w:rPr>
          <w:rFonts w:cs="Tahoma"/>
        </w:rPr>
        <w:t xml:space="preserve"> and marginally influential</w:t>
      </w:r>
      <w:r w:rsidR="009D136C" w:rsidRPr="00F0313F">
        <w:rPr>
          <w:rFonts w:cs="Tahoma"/>
        </w:rPr>
        <w:t>.</w:t>
      </w:r>
      <w:r w:rsidR="009D136C" w:rsidRPr="00F0313F">
        <w:rPr>
          <w:rStyle w:val="FootnoteReference"/>
          <w:rFonts w:cs="Tahoma"/>
        </w:rPr>
        <w:footnoteReference w:id="28"/>
      </w:r>
      <w:r w:rsidR="006A0B5A" w:rsidRPr="00F0313F">
        <w:rPr>
          <w:rFonts w:cs="Tahoma"/>
        </w:rPr>
        <w:t xml:space="preserve"> As war demands rose,</w:t>
      </w:r>
      <w:r w:rsidR="00F97F1B" w:rsidRPr="00F0313F">
        <w:rPr>
          <w:rFonts w:cs="Tahoma"/>
        </w:rPr>
        <w:t xml:space="preserve"> </w:t>
      </w:r>
      <w:r w:rsidR="001229EA" w:rsidRPr="00F0313F">
        <w:rPr>
          <w:rFonts w:cs="Tahoma"/>
        </w:rPr>
        <w:t xml:space="preserve">the </w:t>
      </w:r>
      <w:r w:rsidR="00F97F1B" w:rsidRPr="00F0313F">
        <w:rPr>
          <w:rFonts w:cs="Tahoma"/>
        </w:rPr>
        <w:t xml:space="preserve">introduction of collectivist measures </w:t>
      </w:r>
      <w:r w:rsidR="001229EA" w:rsidRPr="00F0313F">
        <w:rPr>
          <w:rFonts w:cs="Tahoma"/>
        </w:rPr>
        <w:lastRenderedPageBreak/>
        <w:t>previously unthinkable to both Liberals and Conservatives was</w:t>
      </w:r>
      <w:r w:rsidR="00F97F1B" w:rsidRPr="00F0313F">
        <w:rPr>
          <w:rFonts w:cs="Tahoma"/>
        </w:rPr>
        <w:t xml:space="preserve"> facilitated by the </w:t>
      </w:r>
      <w:r w:rsidR="001229EA" w:rsidRPr="00F0313F">
        <w:rPr>
          <w:rFonts w:cs="Tahoma"/>
        </w:rPr>
        <w:t xml:space="preserve">establishment of the </w:t>
      </w:r>
      <w:r w:rsidR="00F97F1B" w:rsidRPr="00F0313F">
        <w:rPr>
          <w:rFonts w:cs="Tahoma"/>
        </w:rPr>
        <w:t>all-party coalition government in 1915 under Asquith.</w:t>
      </w:r>
      <w:r w:rsidR="00F97F1B" w:rsidRPr="00F0313F">
        <w:rPr>
          <w:rStyle w:val="FootnoteReference"/>
          <w:rFonts w:cs="Tahoma"/>
        </w:rPr>
        <w:footnoteReference w:id="29"/>
      </w:r>
      <w:r w:rsidR="00EE4D01" w:rsidRPr="00F0313F">
        <w:rPr>
          <w:rFonts w:cs="Tahoma"/>
        </w:rPr>
        <w:t xml:space="preserve"> </w:t>
      </w:r>
    </w:p>
    <w:p w:rsidR="005D6991" w:rsidRPr="00F0313F" w:rsidRDefault="00EE4D01" w:rsidP="00F85718">
      <w:pPr>
        <w:rPr>
          <w:rFonts w:cs="Tahoma"/>
        </w:rPr>
      </w:pPr>
      <w:r w:rsidRPr="00F0313F">
        <w:rPr>
          <w:rFonts w:cs="Tahoma"/>
        </w:rPr>
        <w:t xml:space="preserve">The 1916 </w:t>
      </w:r>
      <w:r w:rsidR="000A5B43" w:rsidRPr="00F0313F">
        <w:rPr>
          <w:rFonts w:cs="Tahoma"/>
        </w:rPr>
        <w:t>Lloyd George coalition Government</w:t>
      </w:r>
      <w:r w:rsidRPr="00F0313F">
        <w:rPr>
          <w:rFonts w:cs="Tahoma"/>
        </w:rPr>
        <w:t xml:space="preserve"> marked a new, interventionist style of government that directed and intervened in the economy and increased government involvement with industry</w:t>
      </w:r>
      <w:r w:rsidR="000A5B43" w:rsidRPr="00F0313F">
        <w:rPr>
          <w:rFonts w:cs="Tahoma"/>
        </w:rPr>
        <w:t>;</w:t>
      </w:r>
      <w:r w:rsidRPr="00F0313F">
        <w:rPr>
          <w:rFonts w:cs="Tahoma"/>
        </w:rPr>
        <w:t xml:space="preserve"> the drive for efficient production stimulated growth of managerial classes.</w:t>
      </w:r>
      <w:r w:rsidRPr="00F0313F">
        <w:rPr>
          <w:rStyle w:val="FootnoteReference"/>
          <w:rFonts w:cs="Tahoma"/>
        </w:rPr>
        <w:footnoteReference w:id="30"/>
      </w:r>
      <w:r w:rsidR="00A24C03" w:rsidRPr="00F0313F">
        <w:rPr>
          <w:rFonts w:cs="Tahoma"/>
        </w:rPr>
        <w:t xml:space="preserve"> </w:t>
      </w:r>
      <w:r w:rsidR="0067261A" w:rsidRPr="00F0313F">
        <w:rPr>
          <w:rFonts w:cs="Tahoma"/>
        </w:rPr>
        <w:t>Rising food costs later the same year called for more efficient production and better storage</w:t>
      </w:r>
      <w:r w:rsidR="00206B7D" w:rsidRPr="00F0313F">
        <w:rPr>
          <w:rFonts w:cs="Tahoma"/>
        </w:rPr>
        <w:t>,</w:t>
      </w:r>
      <w:r w:rsidR="0067261A" w:rsidRPr="00F0313F">
        <w:rPr>
          <w:rFonts w:cs="Tahoma"/>
        </w:rPr>
        <w:t xml:space="preserve"> further stimulating state control.</w:t>
      </w:r>
      <w:r w:rsidR="0067261A" w:rsidRPr="00F0313F">
        <w:rPr>
          <w:rStyle w:val="FootnoteReference"/>
          <w:rFonts w:cs="Tahoma"/>
        </w:rPr>
        <w:footnoteReference w:id="31"/>
      </w:r>
      <w:r w:rsidR="0067261A" w:rsidRPr="00F0313F">
        <w:rPr>
          <w:rFonts w:cs="Tahoma"/>
        </w:rPr>
        <w:t xml:space="preserve"> </w:t>
      </w:r>
      <w:r w:rsidR="006C5A52" w:rsidRPr="00F0313F">
        <w:rPr>
          <w:rFonts w:cs="Tahoma"/>
        </w:rPr>
        <w:t>Labour in 1916</w:t>
      </w:r>
      <w:r w:rsidR="00983281" w:rsidRPr="00F0313F">
        <w:rPr>
          <w:rFonts w:cs="Tahoma"/>
        </w:rPr>
        <w:t>, increasing in confidence,</w:t>
      </w:r>
      <w:r w:rsidR="006C5A52" w:rsidRPr="00F0313F">
        <w:rPr>
          <w:rFonts w:cs="Tahoma"/>
        </w:rPr>
        <w:t xml:space="preserve"> called for n</w:t>
      </w:r>
      <w:r w:rsidR="0067261A" w:rsidRPr="00F0313F">
        <w:rPr>
          <w:rFonts w:cs="Tahoma"/>
        </w:rPr>
        <w:t>ationalisation of railways, mines, shipping, banking and insurance to finance the war</w:t>
      </w:r>
      <w:r w:rsidR="00206B7D" w:rsidRPr="00F0313F">
        <w:rPr>
          <w:rFonts w:cs="Tahoma"/>
        </w:rPr>
        <w:t xml:space="preserve"> </w:t>
      </w:r>
      <w:r w:rsidR="007E3AC8" w:rsidRPr="00F0313F">
        <w:rPr>
          <w:rFonts w:cs="Tahoma"/>
        </w:rPr>
        <w:t xml:space="preserve">introducing a vision of </w:t>
      </w:r>
      <w:r w:rsidR="00206B7D" w:rsidRPr="00F0313F">
        <w:rPr>
          <w:rFonts w:cs="Tahoma"/>
        </w:rPr>
        <w:t xml:space="preserve">future </w:t>
      </w:r>
      <w:r w:rsidR="00F221AF" w:rsidRPr="00F0313F">
        <w:rPr>
          <w:rFonts w:cs="Tahoma"/>
        </w:rPr>
        <w:t xml:space="preserve">socialist </w:t>
      </w:r>
      <w:r w:rsidR="007E3AC8" w:rsidRPr="00F0313F">
        <w:rPr>
          <w:rFonts w:cs="Tahoma"/>
        </w:rPr>
        <w:t>government</w:t>
      </w:r>
      <w:r w:rsidR="0067261A" w:rsidRPr="00F0313F">
        <w:rPr>
          <w:rFonts w:cs="Tahoma"/>
        </w:rPr>
        <w:t>.</w:t>
      </w:r>
      <w:r w:rsidR="0067261A" w:rsidRPr="00F0313F">
        <w:rPr>
          <w:rStyle w:val="FootnoteReference"/>
          <w:rFonts w:cs="Tahoma"/>
        </w:rPr>
        <w:footnoteReference w:id="32"/>
      </w:r>
      <w:r w:rsidR="00206B7D" w:rsidRPr="00F0313F">
        <w:rPr>
          <w:rFonts w:cs="Tahoma"/>
        </w:rPr>
        <w:t xml:space="preserve"> </w:t>
      </w:r>
      <w:r w:rsidR="0067261A" w:rsidRPr="00F0313F">
        <w:rPr>
          <w:rFonts w:cs="Tahoma"/>
        </w:rPr>
        <w:t>Labour</w:t>
      </w:r>
      <w:r w:rsidR="007E3AC8" w:rsidRPr="00F0313F">
        <w:rPr>
          <w:rFonts w:cs="Tahoma"/>
        </w:rPr>
        <w:t>’s support for</w:t>
      </w:r>
      <w:r w:rsidR="0067261A" w:rsidRPr="00F0313F">
        <w:rPr>
          <w:rFonts w:cs="Tahoma"/>
        </w:rPr>
        <w:t xml:space="preserve"> Lloyd George’s </w:t>
      </w:r>
      <w:r w:rsidR="007E3AC8" w:rsidRPr="00F0313F">
        <w:rPr>
          <w:rFonts w:cs="Tahoma"/>
        </w:rPr>
        <w:t xml:space="preserve">pragmatic </w:t>
      </w:r>
      <w:r w:rsidR="0067261A" w:rsidRPr="00F0313F">
        <w:rPr>
          <w:rFonts w:cs="Tahoma"/>
        </w:rPr>
        <w:t>leadership fur</w:t>
      </w:r>
      <w:r w:rsidR="007E3AC8" w:rsidRPr="00F0313F">
        <w:rPr>
          <w:rFonts w:cs="Tahoma"/>
        </w:rPr>
        <w:t>thered</w:t>
      </w:r>
      <w:r w:rsidR="0067261A" w:rsidRPr="00F0313F">
        <w:rPr>
          <w:rFonts w:cs="Tahoma"/>
        </w:rPr>
        <w:t xml:space="preserve"> the </w:t>
      </w:r>
      <w:r w:rsidR="009A75D1" w:rsidRPr="00F0313F">
        <w:rPr>
          <w:rFonts w:cs="Tahoma"/>
        </w:rPr>
        <w:t xml:space="preserve">Government’s </w:t>
      </w:r>
      <w:r w:rsidR="0067261A" w:rsidRPr="00F0313F">
        <w:rPr>
          <w:rFonts w:cs="Tahoma"/>
        </w:rPr>
        <w:t xml:space="preserve">collectivist </w:t>
      </w:r>
      <w:r w:rsidR="007E3AC8" w:rsidRPr="00F0313F">
        <w:rPr>
          <w:rFonts w:cs="Tahoma"/>
        </w:rPr>
        <w:t xml:space="preserve">shift </w:t>
      </w:r>
      <w:r w:rsidR="0034697D" w:rsidRPr="00F0313F">
        <w:rPr>
          <w:rFonts w:cs="Tahoma"/>
        </w:rPr>
        <w:t>and strengthened</w:t>
      </w:r>
      <w:r w:rsidR="0067261A" w:rsidRPr="00F0313F">
        <w:rPr>
          <w:rFonts w:cs="Tahoma"/>
        </w:rPr>
        <w:t xml:space="preserve"> the party’s future rise to power</w:t>
      </w:r>
      <w:r w:rsidR="00206B7D" w:rsidRPr="00F0313F">
        <w:rPr>
          <w:rFonts w:cs="Tahoma"/>
        </w:rPr>
        <w:t xml:space="preserve"> </w:t>
      </w:r>
      <w:r w:rsidR="000A5B43" w:rsidRPr="00F0313F">
        <w:rPr>
          <w:rFonts w:cs="Tahoma"/>
        </w:rPr>
        <w:t>through</w:t>
      </w:r>
      <w:r w:rsidRPr="00F0313F">
        <w:rPr>
          <w:rFonts w:cs="Tahoma"/>
        </w:rPr>
        <w:t xml:space="preserve"> </w:t>
      </w:r>
      <w:r w:rsidR="0088497A" w:rsidRPr="00F0313F">
        <w:rPr>
          <w:rFonts w:cs="Tahoma"/>
        </w:rPr>
        <w:t>introducing</w:t>
      </w:r>
      <w:r w:rsidRPr="00F0313F">
        <w:rPr>
          <w:rFonts w:cs="Tahoma"/>
        </w:rPr>
        <w:t xml:space="preserve"> working-class</w:t>
      </w:r>
      <w:r w:rsidR="0088497A" w:rsidRPr="00F0313F">
        <w:rPr>
          <w:rFonts w:cs="Tahoma"/>
        </w:rPr>
        <w:t xml:space="preserve"> </w:t>
      </w:r>
      <w:r w:rsidRPr="00F0313F">
        <w:rPr>
          <w:rFonts w:cs="Tahoma"/>
        </w:rPr>
        <w:t xml:space="preserve">politicians </w:t>
      </w:r>
      <w:r w:rsidR="0088497A" w:rsidRPr="00F0313F">
        <w:rPr>
          <w:rFonts w:cs="Tahoma"/>
        </w:rPr>
        <w:t xml:space="preserve">to </w:t>
      </w:r>
      <w:r w:rsidR="00BF473D" w:rsidRPr="00F0313F">
        <w:rPr>
          <w:rFonts w:cs="Tahoma"/>
        </w:rPr>
        <w:t>government</w:t>
      </w:r>
      <w:r w:rsidR="0067261A" w:rsidRPr="00F0313F">
        <w:rPr>
          <w:rFonts w:cs="Tahoma"/>
        </w:rPr>
        <w:t>.</w:t>
      </w:r>
      <w:r w:rsidR="0067261A" w:rsidRPr="00F0313F">
        <w:rPr>
          <w:rStyle w:val="FootnoteReference"/>
          <w:rFonts w:cs="Tahoma"/>
        </w:rPr>
        <w:footnoteReference w:id="33"/>
      </w:r>
      <w:r w:rsidR="00BF473D" w:rsidRPr="00F0313F">
        <w:rPr>
          <w:rFonts w:cs="Tahoma"/>
        </w:rPr>
        <w:t xml:space="preserve"> </w:t>
      </w:r>
      <w:r w:rsidR="00700820" w:rsidRPr="00F0313F">
        <w:rPr>
          <w:rFonts w:cs="Tahoma"/>
        </w:rPr>
        <w:t xml:space="preserve"> </w:t>
      </w:r>
    </w:p>
    <w:p w:rsidR="00596471" w:rsidRPr="00F0313F" w:rsidRDefault="00596471" w:rsidP="00596471">
      <w:pPr>
        <w:rPr>
          <w:rFonts w:cs="Tahoma"/>
        </w:rPr>
      </w:pPr>
      <w:r w:rsidRPr="00F0313F">
        <w:rPr>
          <w:rFonts w:cs="Tahoma"/>
        </w:rPr>
        <w:t xml:space="preserve">Overall, the war brought material improvement to the working-classes but </w:t>
      </w:r>
      <w:r w:rsidR="0007727A" w:rsidRPr="00F0313F">
        <w:rPr>
          <w:rFonts w:cs="Tahoma"/>
        </w:rPr>
        <w:t xml:space="preserve">it also had the far reaching effect </w:t>
      </w:r>
      <w:r w:rsidR="0025352C" w:rsidRPr="00F0313F">
        <w:rPr>
          <w:rFonts w:cs="Tahoma"/>
        </w:rPr>
        <w:t xml:space="preserve">of initiating </w:t>
      </w:r>
      <w:r w:rsidR="009A75D1" w:rsidRPr="00F0313F">
        <w:rPr>
          <w:rFonts w:cs="Tahoma"/>
        </w:rPr>
        <w:t>the rise of workers’ power</w:t>
      </w:r>
      <w:r w:rsidRPr="00F0313F">
        <w:rPr>
          <w:rFonts w:cs="Tahoma"/>
        </w:rPr>
        <w:t>. War-time bonuses, wage increases and extended hours of work brought fina</w:t>
      </w:r>
      <w:r w:rsidR="0025352C" w:rsidRPr="00F0313F">
        <w:rPr>
          <w:rFonts w:cs="Tahoma"/>
        </w:rPr>
        <w:t xml:space="preserve">ncial gain during 1915 and 1916 and likewise </w:t>
      </w:r>
      <w:r w:rsidRPr="00F0313F">
        <w:rPr>
          <w:rFonts w:cs="Tahoma"/>
        </w:rPr>
        <w:t>opportunities were created through an expanding bureaucracy a</w:t>
      </w:r>
      <w:r w:rsidR="0025352C" w:rsidRPr="00F0313F">
        <w:rPr>
          <w:rFonts w:cs="Tahoma"/>
        </w:rPr>
        <w:t>nd small businesses prospered. M</w:t>
      </w:r>
      <w:r w:rsidRPr="00F0313F">
        <w:rPr>
          <w:rFonts w:cs="Tahoma"/>
        </w:rPr>
        <w:t xml:space="preserve">aterial improvements were not </w:t>
      </w:r>
      <w:r w:rsidR="0025352C" w:rsidRPr="00F0313F">
        <w:rPr>
          <w:rFonts w:cs="Tahoma"/>
        </w:rPr>
        <w:t xml:space="preserve">however </w:t>
      </w:r>
      <w:r w:rsidRPr="00F0313F">
        <w:rPr>
          <w:rFonts w:cs="Tahoma"/>
        </w:rPr>
        <w:t>even across the population and rising prices impacted on th</w:t>
      </w:r>
      <w:r w:rsidR="0025352C" w:rsidRPr="00F0313F">
        <w:rPr>
          <w:rFonts w:cs="Tahoma"/>
        </w:rPr>
        <w:t>ose on fixed incomes; the effects</w:t>
      </w:r>
      <w:r w:rsidRPr="00F0313F">
        <w:rPr>
          <w:rFonts w:cs="Tahoma"/>
        </w:rPr>
        <w:t xml:space="preserve"> of the war and the inequity of the distribution of wealth was fuelling grievances and causing resentment.</w:t>
      </w:r>
      <w:r w:rsidRPr="00F0313F">
        <w:rPr>
          <w:rStyle w:val="FootnoteReference"/>
          <w:rFonts w:cs="Tahoma"/>
        </w:rPr>
        <w:footnoteReference w:id="34"/>
      </w:r>
      <w:r w:rsidRPr="00F0313F">
        <w:rPr>
          <w:rFonts w:cs="Tahoma"/>
        </w:rPr>
        <w:t xml:space="preserve"> Although food shortages in 1917 did not result in wide spread privation and rationing resulted in a degree of social levelling</w:t>
      </w:r>
      <w:r w:rsidR="009A75D1" w:rsidRPr="00F0313F">
        <w:rPr>
          <w:rFonts w:cs="Tahoma"/>
        </w:rPr>
        <w:t>,</w:t>
      </w:r>
      <w:r w:rsidRPr="00F0313F">
        <w:rPr>
          <w:rFonts w:cs="Tahoma"/>
        </w:rPr>
        <w:t xml:space="preserve"> it had little impact on the upper classes.</w:t>
      </w:r>
      <w:r w:rsidRPr="00F0313F">
        <w:rPr>
          <w:rStyle w:val="FootnoteReference"/>
          <w:rFonts w:cs="Tahoma"/>
        </w:rPr>
        <w:footnoteReference w:id="35"/>
      </w:r>
      <w:r w:rsidRPr="00F0313F">
        <w:rPr>
          <w:rFonts w:cs="Tahoma"/>
        </w:rPr>
        <w:t xml:space="preserve"> Poor housing and high prices believed to be the result of profiteering were not being addressed by the Government.</w:t>
      </w:r>
      <w:r w:rsidRPr="00F0313F">
        <w:rPr>
          <w:rStyle w:val="FootnoteReference"/>
          <w:rFonts w:cs="Tahoma"/>
        </w:rPr>
        <w:footnoteReference w:id="36"/>
      </w:r>
      <w:r w:rsidRPr="00F0313F">
        <w:rPr>
          <w:rFonts w:cs="Tahoma"/>
        </w:rPr>
        <w:t xml:space="preserve"> Workers increasing</w:t>
      </w:r>
      <w:r w:rsidR="00BE1049">
        <w:rPr>
          <w:rFonts w:cs="Tahoma"/>
        </w:rPr>
        <w:t xml:space="preserve">ly questioned the status-quo and 1917 saw a </w:t>
      </w:r>
      <w:r w:rsidR="00CC65FD">
        <w:rPr>
          <w:rFonts w:cs="Tahoma"/>
        </w:rPr>
        <w:t xml:space="preserve">step change </w:t>
      </w:r>
      <w:r w:rsidRPr="00F0313F">
        <w:rPr>
          <w:rFonts w:cs="Tahoma"/>
        </w:rPr>
        <w:t>in the development of the labour movement and the rise of workers action through shop stewards and unofficial representatives energised by the Russian revolution.</w:t>
      </w:r>
      <w:r w:rsidRPr="00F0313F">
        <w:rPr>
          <w:rStyle w:val="FootnoteReference"/>
          <w:rFonts w:cs="Tahoma"/>
        </w:rPr>
        <w:footnoteReference w:id="37"/>
      </w:r>
      <w:r w:rsidRPr="00F0313F">
        <w:rPr>
          <w:rFonts w:cs="Tahoma"/>
        </w:rPr>
        <w:t xml:space="preserve"> The Labour Party became increasingly confident in voicing working-class resentment and in its politica</w:t>
      </w:r>
      <w:r w:rsidR="00CC65FD">
        <w:rPr>
          <w:rFonts w:cs="Tahoma"/>
        </w:rPr>
        <w:t>l strength formally adopting a</w:t>
      </w:r>
      <w:r w:rsidRPr="00F0313F">
        <w:rPr>
          <w:rFonts w:cs="Tahoma"/>
        </w:rPr>
        <w:t xml:space="preserve"> socialist objective in 1918.</w:t>
      </w:r>
    </w:p>
    <w:p w:rsidR="00325742" w:rsidRPr="00F0313F" w:rsidRDefault="00325742" w:rsidP="00A97FDE">
      <w:pPr>
        <w:rPr>
          <w:rFonts w:cs="Tahoma"/>
        </w:rPr>
      </w:pPr>
      <w:r w:rsidRPr="00F0313F">
        <w:rPr>
          <w:rFonts w:cs="Tahoma"/>
        </w:rPr>
        <w:t xml:space="preserve">The </w:t>
      </w:r>
      <w:r w:rsidR="00540A41" w:rsidRPr="00F0313F">
        <w:rPr>
          <w:rFonts w:cs="Tahoma"/>
        </w:rPr>
        <w:t xml:space="preserve">long term </w:t>
      </w:r>
      <w:r w:rsidRPr="00F0313F">
        <w:rPr>
          <w:rFonts w:cs="Tahoma"/>
        </w:rPr>
        <w:t>impact of the war o</w:t>
      </w:r>
      <w:r w:rsidR="007B15F3" w:rsidRPr="00F0313F">
        <w:rPr>
          <w:rFonts w:cs="Tahoma"/>
        </w:rPr>
        <w:t xml:space="preserve">n </w:t>
      </w:r>
      <w:r w:rsidR="00CA32E5" w:rsidRPr="00F0313F">
        <w:rPr>
          <w:rFonts w:cs="Tahoma"/>
        </w:rPr>
        <w:t xml:space="preserve">democracy and </w:t>
      </w:r>
      <w:r w:rsidR="007B15F3" w:rsidRPr="00F0313F">
        <w:rPr>
          <w:rFonts w:cs="Tahoma"/>
        </w:rPr>
        <w:t xml:space="preserve">domestic British politics </w:t>
      </w:r>
      <w:r w:rsidR="00277C50" w:rsidRPr="00F0313F">
        <w:rPr>
          <w:rFonts w:cs="Tahoma"/>
        </w:rPr>
        <w:t xml:space="preserve">was </w:t>
      </w:r>
      <w:r w:rsidR="004615E7" w:rsidRPr="00F0313F">
        <w:rPr>
          <w:rFonts w:cs="Tahoma"/>
        </w:rPr>
        <w:t xml:space="preserve">thus </w:t>
      </w:r>
      <w:r w:rsidR="00277C50" w:rsidRPr="00F0313F">
        <w:rPr>
          <w:rFonts w:cs="Tahoma"/>
        </w:rPr>
        <w:t>far-</w:t>
      </w:r>
      <w:r w:rsidRPr="00F0313F">
        <w:rPr>
          <w:rFonts w:cs="Tahoma"/>
        </w:rPr>
        <w:t>reaching</w:t>
      </w:r>
      <w:r w:rsidR="00277C50" w:rsidRPr="00F0313F">
        <w:rPr>
          <w:rFonts w:cs="Tahoma"/>
        </w:rPr>
        <w:t xml:space="preserve"> and closely </w:t>
      </w:r>
      <w:r w:rsidRPr="00F0313F">
        <w:rPr>
          <w:rFonts w:cs="Tahoma"/>
        </w:rPr>
        <w:t>associated with</w:t>
      </w:r>
      <w:r w:rsidR="00BC0035" w:rsidRPr="00F0313F">
        <w:rPr>
          <w:rFonts w:cs="Tahoma"/>
        </w:rPr>
        <w:t xml:space="preserve"> the </w:t>
      </w:r>
      <w:r w:rsidRPr="00F0313F">
        <w:rPr>
          <w:rFonts w:cs="Tahoma"/>
        </w:rPr>
        <w:t>demise of the Liberal Party</w:t>
      </w:r>
      <w:r w:rsidR="007B15F3" w:rsidRPr="00F0313F">
        <w:rPr>
          <w:rFonts w:cs="Tahoma"/>
        </w:rPr>
        <w:t xml:space="preserve"> and rise of the Labour Party.</w:t>
      </w:r>
      <w:r w:rsidRPr="00F0313F">
        <w:rPr>
          <w:rStyle w:val="FootnoteReference"/>
          <w:rFonts w:cs="Tahoma"/>
        </w:rPr>
        <w:footnoteReference w:id="38"/>
      </w:r>
      <w:r w:rsidRPr="00F0313F">
        <w:rPr>
          <w:rFonts w:cs="Tahoma"/>
        </w:rPr>
        <w:t xml:space="preserve"> Although </w:t>
      </w:r>
      <w:r w:rsidR="00277C50" w:rsidRPr="00F0313F">
        <w:rPr>
          <w:rFonts w:cs="Tahoma"/>
        </w:rPr>
        <w:t>Lloyd George</w:t>
      </w:r>
      <w:r w:rsidR="00D212EC" w:rsidRPr="00F0313F">
        <w:rPr>
          <w:rFonts w:cs="Tahoma"/>
        </w:rPr>
        <w:t xml:space="preserve"> </w:t>
      </w:r>
      <w:r w:rsidRPr="00F0313F">
        <w:rPr>
          <w:rFonts w:cs="Tahoma"/>
        </w:rPr>
        <w:t>won the 1918 coalition election</w:t>
      </w:r>
      <w:r w:rsidR="00277C50" w:rsidRPr="00F0313F">
        <w:rPr>
          <w:rFonts w:cs="Tahoma"/>
        </w:rPr>
        <w:t>,</w:t>
      </w:r>
      <w:r w:rsidRPr="00F0313F">
        <w:rPr>
          <w:rFonts w:cs="Tahoma"/>
        </w:rPr>
        <w:t xml:space="preserve"> </w:t>
      </w:r>
      <w:r w:rsidR="004615E7" w:rsidRPr="00F0313F">
        <w:rPr>
          <w:rFonts w:cs="Tahoma"/>
        </w:rPr>
        <w:t>schisms</w:t>
      </w:r>
      <w:r w:rsidRPr="00F0313F">
        <w:rPr>
          <w:rFonts w:cs="Tahoma"/>
        </w:rPr>
        <w:t xml:space="preserve"> </w:t>
      </w:r>
      <w:r w:rsidR="00277C50" w:rsidRPr="00F0313F">
        <w:rPr>
          <w:rFonts w:cs="Tahoma"/>
        </w:rPr>
        <w:t>with</w:t>
      </w:r>
      <w:r w:rsidR="004615E7" w:rsidRPr="00F0313F">
        <w:rPr>
          <w:rFonts w:cs="Tahoma"/>
        </w:rPr>
        <w:t xml:space="preserve">in the Liberal Party were </w:t>
      </w:r>
      <w:r w:rsidRPr="00F0313F">
        <w:rPr>
          <w:rFonts w:cs="Tahoma"/>
        </w:rPr>
        <w:t>such that the party never regained power.</w:t>
      </w:r>
      <w:r w:rsidRPr="00F0313F">
        <w:rPr>
          <w:rStyle w:val="FootnoteReference"/>
          <w:rFonts w:cs="Tahoma"/>
        </w:rPr>
        <w:footnoteReference w:id="39"/>
      </w:r>
      <w:r w:rsidRPr="00F0313F">
        <w:rPr>
          <w:rFonts w:cs="Tahoma"/>
        </w:rPr>
        <w:t xml:space="preserve"> </w:t>
      </w:r>
      <w:r w:rsidR="00277C50" w:rsidRPr="00F0313F">
        <w:rPr>
          <w:rFonts w:cs="Tahoma"/>
        </w:rPr>
        <w:t xml:space="preserve"> </w:t>
      </w:r>
      <w:r w:rsidRPr="00F0313F">
        <w:rPr>
          <w:rFonts w:cs="Tahoma"/>
        </w:rPr>
        <w:t xml:space="preserve">Working class confidence, the growing strength of trade unions and acceptance of the principles of consultation and negotiation established during the war years </w:t>
      </w:r>
      <w:r w:rsidR="00277C50" w:rsidRPr="00F0313F">
        <w:rPr>
          <w:rFonts w:cs="Tahoma"/>
        </w:rPr>
        <w:t>resulted in the rise</w:t>
      </w:r>
      <w:r w:rsidRPr="00F0313F">
        <w:rPr>
          <w:rFonts w:cs="Tahoma"/>
        </w:rPr>
        <w:t xml:space="preserve"> of the Labour Party as a political force</w:t>
      </w:r>
      <w:r w:rsidR="004615E7" w:rsidRPr="00F0313F">
        <w:rPr>
          <w:rFonts w:cs="Tahoma"/>
        </w:rPr>
        <w:t xml:space="preserve"> </w:t>
      </w:r>
      <w:r w:rsidR="00CB249B" w:rsidRPr="00F0313F">
        <w:rPr>
          <w:rFonts w:cs="Tahoma"/>
        </w:rPr>
        <w:t>and the creation</w:t>
      </w:r>
      <w:r w:rsidRPr="00F0313F">
        <w:rPr>
          <w:rFonts w:cs="Tahoma"/>
        </w:rPr>
        <w:t xml:space="preserve"> of two party politics.</w:t>
      </w:r>
      <w:r w:rsidRPr="00F0313F">
        <w:rPr>
          <w:rStyle w:val="FootnoteReference"/>
          <w:rFonts w:cs="Tahoma"/>
        </w:rPr>
        <w:footnoteReference w:id="40"/>
      </w:r>
    </w:p>
    <w:p w:rsidR="00737CDE" w:rsidRPr="00F0313F" w:rsidRDefault="007C06FB" w:rsidP="00A97FDE">
      <w:pPr>
        <w:rPr>
          <w:rFonts w:cs="Tahoma"/>
        </w:rPr>
      </w:pPr>
      <w:r w:rsidRPr="00F0313F">
        <w:rPr>
          <w:rFonts w:cs="Tahoma"/>
        </w:rPr>
        <w:lastRenderedPageBreak/>
        <w:t>There has been some debate regarding the extent and indeed whether social improvements resulted from the war or would have evolved regardless.</w:t>
      </w:r>
      <w:r w:rsidRPr="00F0313F">
        <w:rPr>
          <w:rStyle w:val="FootnoteReference"/>
          <w:rFonts w:cs="Tahoma"/>
        </w:rPr>
        <w:footnoteReference w:id="41"/>
      </w:r>
      <w:r w:rsidRPr="00F0313F">
        <w:rPr>
          <w:rFonts w:cs="Tahoma"/>
        </w:rPr>
        <w:t xml:space="preserve"> </w:t>
      </w:r>
      <w:r w:rsidR="00D11DFC" w:rsidRPr="00F0313F">
        <w:rPr>
          <w:rFonts w:cs="Tahoma"/>
        </w:rPr>
        <w:t xml:space="preserve">Marwick contends that </w:t>
      </w:r>
      <w:r w:rsidR="00F65567" w:rsidRPr="00F0313F">
        <w:rPr>
          <w:rFonts w:cs="Tahoma"/>
        </w:rPr>
        <w:t>the First World War was a highly significant factor in Britain.</w:t>
      </w:r>
      <w:r w:rsidR="00F65567" w:rsidRPr="00F0313F">
        <w:rPr>
          <w:rStyle w:val="FootnoteReference"/>
          <w:rFonts w:cs="Tahoma"/>
        </w:rPr>
        <w:footnoteReference w:id="42"/>
      </w:r>
      <w:r w:rsidR="00F65567" w:rsidRPr="00F0313F">
        <w:rPr>
          <w:rFonts w:cs="Tahoma"/>
        </w:rPr>
        <w:t xml:space="preserve"> </w:t>
      </w:r>
      <w:r w:rsidR="00D11DFC" w:rsidRPr="00F0313F">
        <w:rPr>
          <w:rFonts w:cs="Tahoma"/>
        </w:rPr>
        <w:t xml:space="preserve">Although post-war reconstruction needs were considered early in the conflict, the extent of changes required consequent on high </w:t>
      </w:r>
      <w:r w:rsidR="004F043F" w:rsidRPr="00F0313F">
        <w:rPr>
          <w:rFonts w:cs="Tahoma"/>
        </w:rPr>
        <w:t xml:space="preserve">war mortality, </w:t>
      </w:r>
      <w:r w:rsidR="00F9403B" w:rsidRPr="00F0313F">
        <w:rPr>
          <w:rFonts w:cs="Tahoma"/>
        </w:rPr>
        <w:t xml:space="preserve">sectors of society unfit for military action </w:t>
      </w:r>
      <w:r w:rsidR="00D11DFC" w:rsidRPr="00F0313F">
        <w:rPr>
          <w:rFonts w:cs="Tahoma"/>
        </w:rPr>
        <w:t xml:space="preserve">and growing public expectation </w:t>
      </w:r>
      <w:r w:rsidR="000D7046" w:rsidRPr="00F0313F">
        <w:rPr>
          <w:rFonts w:cs="Tahoma"/>
        </w:rPr>
        <w:t xml:space="preserve">was </w:t>
      </w:r>
      <w:r w:rsidR="00D11DFC" w:rsidRPr="00F0313F">
        <w:rPr>
          <w:rFonts w:cs="Tahoma"/>
        </w:rPr>
        <w:t xml:space="preserve">only </w:t>
      </w:r>
      <w:r w:rsidR="006951A1" w:rsidRPr="00F0313F">
        <w:rPr>
          <w:rFonts w:cs="Tahoma"/>
        </w:rPr>
        <w:t xml:space="preserve">fully realised in </w:t>
      </w:r>
      <w:r w:rsidR="00D11DFC" w:rsidRPr="00F0313F">
        <w:rPr>
          <w:rFonts w:cs="Tahoma"/>
        </w:rPr>
        <w:t>1</w:t>
      </w:r>
      <w:r w:rsidR="006951A1" w:rsidRPr="00F0313F">
        <w:rPr>
          <w:rFonts w:cs="Tahoma"/>
        </w:rPr>
        <w:t>916 with</w:t>
      </w:r>
      <w:r w:rsidR="00900243" w:rsidRPr="00F0313F">
        <w:rPr>
          <w:rFonts w:cs="Tahoma"/>
        </w:rPr>
        <w:t xml:space="preserve"> </w:t>
      </w:r>
      <w:r w:rsidR="006951A1" w:rsidRPr="00F0313F">
        <w:rPr>
          <w:rFonts w:cs="Tahoma"/>
        </w:rPr>
        <w:t xml:space="preserve">establishment of </w:t>
      </w:r>
      <w:r w:rsidR="00900243" w:rsidRPr="00F0313F">
        <w:rPr>
          <w:rFonts w:cs="Tahoma"/>
        </w:rPr>
        <w:t xml:space="preserve">the </w:t>
      </w:r>
      <w:r w:rsidR="00E7761F" w:rsidRPr="00F0313F">
        <w:rPr>
          <w:rFonts w:cs="Tahoma"/>
        </w:rPr>
        <w:t>M</w:t>
      </w:r>
      <w:r w:rsidR="000D7046" w:rsidRPr="00F0313F">
        <w:rPr>
          <w:rFonts w:cs="Tahoma"/>
        </w:rPr>
        <w:t>inistry of Pensions</w:t>
      </w:r>
      <w:r w:rsidR="007770C3" w:rsidRPr="00F0313F">
        <w:rPr>
          <w:rFonts w:cs="Tahoma"/>
        </w:rPr>
        <w:t>.</w:t>
      </w:r>
      <w:r w:rsidR="00D07AE6" w:rsidRPr="00F0313F">
        <w:rPr>
          <w:rStyle w:val="FootnoteReference"/>
          <w:rFonts w:cs="Tahoma"/>
        </w:rPr>
        <w:footnoteReference w:id="43"/>
      </w:r>
      <w:r w:rsidR="00F7342B" w:rsidRPr="00F0313F">
        <w:rPr>
          <w:rFonts w:cs="Tahoma"/>
        </w:rPr>
        <w:t xml:space="preserve"> </w:t>
      </w:r>
      <w:r w:rsidR="006951A1" w:rsidRPr="00F0313F">
        <w:rPr>
          <w:rFonts w:cs="Tahoma"/>
        </w:rPr>
        <w:t>Importantly, t</w:t>
      </w:r>
      <w:r w:rsidR="00A43236" w:rsidRPr="00F0313F">
        <w:rPr>
          <w:rFonts w:cs="Tahoma"/>
        </w:rPr>
        <w:t xml:space="preserve">he war brought to the fore the </w:t>
      </w:r>
      <w:r w:rsidR="007770C3" w:rsidRPr="00F0313F">
        <w:rPr>
          <w:rFonts w:cs="Tahoma"/>
        </w:rPr>
        <w:t xml:space="preserve">plight of </w:t>
      </w:r>
      <w:r w:rsidR="00A43236" w:rsidRPr="00F0313F">
        <w:rPr>
          <w:rFonts w:cs="Tahoma"/>
        </w:rPr>
        <w:t xml:space="preserve">the </w:t>
      </w:r>
      <w:r w:rsidR="007770C3" w:rsidRPr="00F0313F">
        <w:rPr>
          <w:rFonts w:cs="Tahoma"/>
        </w:rPr>
        <w:t xml:space="preserve">high proportion of school children </w:t>
      </w:r>
      <w:r w:rsidR="00285759" w:rsidRPr="00F0313F">
        <w:rPr>
          <w:rFonts w:cs="Tahoma"/>
        </w:rPr>
        <w:t>suffering</w:t>
      </w:r>
      <w:r w:rsidR="007770C3" w:rsidRPr="00F0313F">
        <w:rPr>
          <w:rFonts w:cs="Tahoma"/>
        </w:rPr>
        <w:t xml:space="preserve"> from deprivation related health defects when, as adults, they failed to reach the army’s relatively low physical requirements </w:t>
      </w:r>
      <w:r w:rsidR="003A43B6" w:rsidRPr="00F0313F">
        <w:rPr>
          <w:rFonts w:cs="Tahoma"/>
        </w:rPr>
        <w:t xml:space="preserve">and </w:t>
      </w:r>
      <w:r w:rsidR="007770C3" w:rsidRPr="00F0313F">
        <w:rPr>
          <w:rFonts w:cs="Tahoma"/>
        </w:rPr>
        <w:t xml:space="preserve">could not be ignored in the light of </w:t>
      </w:r>
      <w:r w:rsidR="003A43B6" w:rsidRPr="00F0313F">
        <w:rPr>
          <w:rFonts w:cs="Tahoma"/>
        </w:rPr>
        <w:t xml:space="preserve">public expectations of </w:t>
      </w:r>
      <w:r w:rsidR="007770C3" w:rsidRPr="00F0313F">
        <w:rPr>
          <w:rFonts w:cs="Tahoma"/>
        </w:rPr>
        <w:t xml:space="preserve">post-war </w:t>
      </w:r>
      <w:r w:rsidR="003A43B6" w:rsidRPr="00F0313F">
        <w:rPr>
          <w:rFonts w:cs="Tahoma"/>
        </w:rPr>
        <w:t xml:space="preserve">social </w:t>
      </w:r>
      <w:r w:rsidR="007770C3" w:rsidRPr="00F0313F">
        <w:rPr>
          <w:rFonts w:cs="Tahoma"/>
        </w:rPr>
        <w:t>improvements. Despite being withdrawn due to the self-interest of the Local Government Board, the bill introduced by government just prior to Armistice proposing the merger of all responsibilities and functions relating to health under one government department recognised the need for a co-ordinated approach to health improvement.</w:t>
      </w:r>
      <w:r w:rsidR="007770C3" w:rsidRPr="00F0313F">
        <w:rPr>
          <w:rStyle w:val="FootnoteReference"/>
          <w:rFonts w:cs="Tahoma"/>
        </w:rPr>
        <w:footnoteReference w:id="44"/>
      </w:r>
      <w:r w:rsidR="007770C3" w:rsidRPr="00F0313F">
        <w:rPr>
          <w:rFonts w:cs="Tahoma"/>
        </w:rPr>
        <w:t xml:space="preserve"> The subsequent appointment of Addison as the first Minister of Health in 1919 clearly set the direction of social health policy.</w:t>
      </w:r>
      <w:r w:rsidR="00737CDE" w:rsidRPr="00F0313F">
        <w:rPr>
          <w:rFonts w:cs="Tahoma"/>
        </w:rPr>
        <w:t xml:space="preserve"> </w:t>
      </w:r>
    </w:p>
    <w:p w:rsidR="007770C3" w:rsidRPr="00F0313F" w:rsidRDefault="007770C3" w:rsidP="00A97FDE">
      <w:pPr>
        <w:rPr>
          <w:rFonts w:cs="Tahoma"/>
        </w:rPr>
      </w:pPr>
      <w:r w:rsidRPr="00F0313F">
        <w:rPr>
          <w:rFonts w:cs="Tahoma"/>
        </w:rPr>
        <w:t xml:space="preserve">Children’s education had been secondary to the labour needs of the country </w:t>
      </w:r>
      <w:r w:rsidR="00DA5535" w:rsidRPr="00F0313F">
        <w:rPr>
          <w:rFonts w:cs="Tahoma"/>
        </w:rPr>
        <w:t>during the war</w:t>
      </w:r>
      <w:r w:rsidR="00AC6648" w:rsidRPr="00F0313F">
        <w:rPr>
          <w:rFonts w:cs="Tahoma"/>
        </w:rPr>
        <w:t xml:space="preserve"> and</w:t>
      </w:r>
      <w:r w:rsidRPr="00F0313F">
        <w:rPr>
          <w:rFonts w:cs="Tahoma"/>
        </w:rPr>
        <w:t xml:space="preserve"> Fisher’s Education Bill 1918 recognised the need to provide all children with better opportunities for social improvement through introducing compulsory education until the age of 14.</w:t>
      </w:r>
      <w:r w:rsidRPr="00F0313F">
        <w:rPr>
          <w:rStyle w:val="FootnoteReference"/>
          <w:rFonts w:cs="Tahoma"/>
        </w:rPr>
        <w:footnoteReference w:id="45"/>
      </w:r>
      <w:r w:rsidRPr="00F0313F">
        <w:rPr>
          <w:rFonts w:cs="Tahoma"/>
        </w:rPr>
        <w:t xml:space="preserve"> </w:t>
      </w:r>
      <w:r w:rsidR="00AD53BA" w:rsidRPr="00F0313F">
        <w:rPr>
          <w:rFonts w:cs="Tahoma"/>
        </w:rPr>
        <w:t>Although the impact of the</w:t>
      </w:r>
      <w:r w:rsidRPr="00F0313F">
        <w:rPr>
          <w:rFonts w:cs="Tahoma"/>
        </w:rPr>
        <w:t xml:space="preserve"> Housing and Town Planning Act 1919 </w:t>
      </w:r>
      <w:r w:rsidR="00AD53BA" w:rsidRPr="00F0313F">
        <w:rPr>
          <w:rFonts w:cs="Tahoma"/>
        </w:rPr>
        <w:t xml:space="preserve">was modest in addressing the need for “homes fit for heroes” due to the state of the economy, </w:t>
      </w:r>
      <w:r w:rsidR="001D2B78" w:rsidRPr="00F0313F">
        <w:rPr>
          <w:rFonts w:cs="Tahoma"/>
        </w:rPr>
        <w:t>it established the principle</w:t>
      </w:r>
      <w:r w:rsidRPr="00F0313F">
        <w:rPr>
          <w:rFonts w:cs="Tahoma"/>
        </w:rPr>
        <w:t xml:space="preserve"> </w:t>
      </w:r>
      <w:r w:rsidR="001D2B78" w:rsidRPr="00F0313F">
        <w:rPr>
          <w:rFonts w:cs="Tahoma"/>
        </w:rPr>
        <w:t xml:space="preserve">of </w:t>
      </w:r>
      <w:r w:rsidRPr="00F0313F">
        <w:rPr>
          <w:rFonts w:cs="Tahoma"/>
        </w:rPr>
        <w:t xml:space="preserve">Exchequer </w:t>
      </w:r>
      <w:r w:rsidR="001D2B78" w:rsidRPr="00F0313F">
        <w:rPr>
          <w:rFonts w:cs="Tahoma"/>
        </w:rPr>
        <w:t xml:space="preserve">funding </w:t>
      </w:r>
      <w:r w:rsidR="00AD53BA" w:rsidRPr="00F0313F">
        <w:rPr>
          <w:rFonts w:cs="Tahoma"/>
        </w:rPr>
        <w:t>of housing with</w:t>
      </w:r>
      <w:r w:rsidRPr="00F0313F">
        <w:rPr>
          <w:rFonts w:cs="Tahoma"/>
        </w:rPr>
        <w:t xml:space="preserve"> subsidised rents</w:t>
      </w:r>
      <w:r w:rsidR="00AD53BA" w:rsidRPr="00F0313F">
        <w:rPr>
          <w:rFonts w:cs="Tahoma"/>
        </w:rPr>
        <w:t xml:space="preserve">; it also, </w:t>
      </w:r>
      <w:r w:rsidR="00DA5535" w:rsidRPr="00F0313F">
        <w:rPr>
          <w:rFonts w:cs="Tahoma"/>
        </w:rPr>
        <w:t>inadvertently</w:t>
      </w:r>
      <w:r w:rsidR="00AD53BA" w:rsidRPr="00F0313F">
        <w:rPr>
          <w:rFonts w:cs="Tahoma"/>
        </w:rPr>
        <w:t>,</w:t>
      </w:r>
      <w:r w:rsidR="00DA5535" w:rsidRPr="00F0313F">
        <w:rPr>
          <w:rFonts w:cs="Tahoma"/>
        </w:rPr>
        <w:t xml:space="preserve"> </w:t>
      </w:r>
      <w:r w:rsidR="00AD53BA" w:rsidRPr="00F0313F">
        <w:rPr>
          <w:rFonts w:cs="Tahoma"/>
        </w:rPr>
        <w:t xml:space="preserve">introduced </w:t>
      </w:r>
      <w:r w:rsidRPr="00F0313F">
        <w:rPr>
          <w:rFonts w:cs="Tahoma"/>
        </w:rPr>
        <w:t>working-class boundaries</w:t>
      </w:r>
      <w:r w:rsidR="00DA5535" w:rsidRPr="00F0313F">
        <w:rPr>
          <w:rFonts w:cs="Tahoma"/>
        </w:rPr>
        <w:t xml:space="preserve"> within communities</w:t>
      </w:r>
      <w:r w:rsidR="00285759" w:rsidRPr="00F0313F">
        <w:rPr>
          <w:rStyle w:val="FootnoteReference"/>
          <w:rFonts w:cs="Tahoma"/>
        </w:rPr>
        <w:footnoteReference w:id="46"/>
      </w:r>
      <w:r w:rsidR="00285759" w:rsidRPr="00F0313F">
        <w:rPr>
          <w:rFonts w:cs="Tahoma"/>
        </w:rPr>
        <w:t xml:space="preserve"> which have ongoing social consequences in many urban areas</w:t>
      </w:r>
      <w:r w:rsidRPr="00F0313F">
        <w:rPr>
          <w:rFonts w:cs="Tahoma"/>
        </w:rPr>
        <w:t xml:space="preserve">. </w:t>
      </w:r>
      <w:r w:rsidR="00BD23F0" w:rsidRPr="00F0313F">
        <w:rPr>
          <w:rFonts w:cs="Tahoma"/>
        </w:rPr>
        <w:t>Unemployment support through the dole funded by employer and employee contributions was introduced through t</w:t>
      </w:r>
      <w:r w:rsidR="00776239" w:rsidRPr="00F0313F">
        <w:rPr>
          <w:rFonts w:cs="Tahoma"/>
        </w:rPr>
        <w:t xml:space="preserve">he </w:t>
      </w:r>
      <w:r w:rsidRPr="00F0313F">
        <w:rPr>
          <w:rFonts w:cs="Tahoma"/>
        </w:rPr>
        <w:t>Insurance Act of 1920</w:t>
      </w:r>
      <w:r w:rsidR="00776239" w:rsidRPr="00F0313F">
        <w:rPr>
          <w:rFonts w:cs="Tahoma"/>
        </w:rPr>
        <w:t>.</w:t>
      </w:r>
      <w:r w:rsidR="00DA5535" w:rsidRPr="00F0313F">
        <w:rPr>
          <w:rFonts w:cs="Tahoma"/>
        </w:rPr>
        <w:t xml:space="preserve"> </w:t>
      </w:r>
      <w:r w:rsidR="00776239" w:rsidRPr="00F0313F">
        <w:rPr>
          <w:rFonts w:cs="Tahoma"/>
        </w:rPr>
        <w:t xml:space="preserve">Despite </w:t>
      </w:r>
      <w:r w:rsidR="00BD23F0" w:rsidRPr="00F0313F">
        <w:rPr>
          <w:rFonts w:cs="Tahoma"/>
        </w:rPr>
        <w:t xml:space="preserve">a </w:t>
      </w:r>
      <w:r w:rsidR="00601617" w:rsidRPr="00F0313F">
        <w:rPr>
          <w:rFonts w:cs="Tahoma"/>
        </w:rPr>
        <w:t xml:space="preserve">more enlightened view of social needs due to the war, establishment back-lash and </w:t>
      </w:r>
      <w:r w:rsidR="00BD23F0" w:rsidRPr="00F0313F">
        <w:rPr>
          <w:rFonts w:cs="Tahoma"/>
        </w:rPr>
        <w:t xml:space="preserve">the </w:t>
      </w:r>
      <w:r w:rsidR="00601617" w:rsidRPr="00F0313F">
        <w:rPr>
          <w:rFonts w:cs="Tahoma"/>
        </w:rPr>
        <w:t xml:space="preserve">growing hostility </w:t>
      </w:r>
      <w:r w:rsidR="00BD23F0" w:rsidRPr="00F0313F">
        <w:rPr>
          <w:rFonts w:cs="Tahoma"/>
        </w:rPr>
        <w:t xml:space="preserve">of employers </w:t>
      </w:r>
      <w:r w:rsidR="00601617" w:rsidRPr="00F0313F">
        <w:rPr>
          <w:rFonts w:cs="Tahoma"/>
        </w:rPr>
        <w:t>to state control of industry and increasing social intervention</w:t>
      </w:r>
      <w:r w:rsidR="006951A1" w:rsidRPr="00F0313F">
        <w:rPr>
          <w:rFonts w:cs="Tahoma"/>
        </w:rPr>
        <w:t xml:space="preserve"> served to increase tensions in post-war society</w:t>
      </w:r>
      <w:r w:rsidR="006951A1" w:rsidRPr="00F0313F">
        <w:rPr>
          <w:rStyle w:val="FootnoteReference"/>
          <w:rFonts w:cs="Tahoma"/>
        </w:rPr>
        <w:footnoteReference w:id="47"/>
      </w:r>
      <w:r w:rsidR="006951A1" w:rsidRPr="00F0313F">
        <w:rPr>
          <w:rFonts w:cs="Tahoma"/>
        </w:rPr>
        <w:t xml:space="preserve">, tensions which were later exacerbated by high unemployment during the </w:t>
      </w:r>
      <w:r w:rsidR="0025352C" w:rsidRPr="00F0313F">
        <w:rPr>
          <w:rFonts w:cs="Tahoma"/>
        </w:rPr>
        <w:t xml:space="preserve">1920s and </w:t>
      </w:r>
      <w:r w:rsidR="006951A1" w:rsidRPr="00F0313F">
        <w:rPr>
          <w:rFonts w:cs="Tahoma"/>
        </w:rPr>
        <w:t xml:space="preserve">1930s. </w:t>
      </w:r>
      <w:r w:rsidR="00BD23F0" w:rsidRPr="00F0313F">
        <w:rPr>
          <w:rFonts w:cs="Tahoma"/>
        </w:rPr>
        <w:t xml:space="preserve">Despite modest progress in the </w:t>
      </w:r>
      <w:r w:rsidR="00737CDE" w:rsidRPr="00F0313F">
        <w:rPr>
          <w:rFonts w:cs="Tahoma"/>
        </w:rPr>
        <w:t>post-</w:t>
      </w:r>
      <w:r w:rsidR="00BD23F0" w:rsidRPr="00F0313F">
        <w:rPr>
          <w:rFonts w:cs="Tahoma"/>
        </w:rPr>
        <w:t xml:space="preserve">war years the war established </w:t>
      </w:r>
      <w:r w:rsidR="00737CDE" w:rsidRPr="00F0313F">
        <w:rPr>
          <w:rFonts w:cs="Tahoma"/>
        </w:rPr>
        <w:t xml:space="preserve">a vision and initiated the development of today’s welfare state. </w:t>
      </w:r>
    </w:p>
    <w:p w:rsidR="00AC6648" w:rsidRPr="00F0313F" w:rsidRDefault="00BC27BF" w:rsidP="00AF2EFB">
      <w:pPr>
        <w:rPr>
          <w:rFonts w:cs="Tahoma"/>
        </w:rPr>
      </w:pPr>
      <w:r w:rsidRPr="00F0313F">
        <w:rPr>
          <w:rFonts w:cs="Tahoma"/>
        </w:rPr>
        <w:t xml:space="preserve">War radically changed women’s views of themselves and their role in society through </w:t>
      </w:r>
      <w:r w:rsidR="00F62AB2" w:rsidRPr="00F0313F">
        <w:rPr>
          <w:rFonts w:cs="Tahoma"/>
        </w:rPr>
        <w:t>co-opting</w:t>
      </w:r>
      <w:r w:rsidRPr="00F0313F">
        <w:rPr>
          <w:rFonts w:cs="Tahoma"/>
        </w:rPr>
        <w:t xml:space="preserve"> </w:t>
      </w:r>
      <w:r w:rsidR="00F62AB2" w:rsidRPr="00F0313F">
        <w:rPr>
          <w:rFonts w:cs="Tahoma"/>
        </w:rPr>
        <w:t xml:space="preserve">male </w:t>
      </w:r>
      <w:r w:rsidRPr="00F0313F">
        <w:rPr>
          <w:rFonts w:cs="Tahoma"/>
        </w:rPr>
        <w:t xml:space="preserve">roles and creating </w:t>
      </w:r>
      <w:r w:rsidR="00F62AB2" w:rsidRPr="00F0313F">
        <w:rPr>
          <w:rFonts w:cs="Tahoma"/>
        </w:rPr>
        <w:t xml:space="preserve">short-term </w:t>
      </w:r>
      <w:r w:rsidRPr="00F0313F">
        <w:rPr>
          <w:rFonts w:cs="Tahoma"/>
        </w:rPr>
        <w:t>employment opportunities</w:t>
      </w:r>
      <w:r w:rsidRPr="00F0313F">
        <w:rPr>
          <w:rStyle w:val="FootnoteReference"/>
          <w:rFonts w:cs="Tahoma"/>
        </w:rPr>
        <w:footnoteReference w:id="48"/>
      </w:r>
      <w:r w:rsidRPr="00F0313F">
        <w:rPr>
          <w:rFonts w:cs="Tahoma"/>
        </w:rPr>
        <w:t xml:space="preserve"> although working conditions were often poor and </w:t>
      </w:r>
      <w:r w:rsidR="00B3794A" w:rsidRPr="00F0313F">
        <w:rPr>
          <w:rFonts w:cs="Tahoma"/>
        </w:rPr>
        <w:t>with lower wages for women</w:t>
      </w:r>
      <w:r w:rsidRPr="00F0313F">
        <w:rPr>
          <w:rFonts w:cs="Tahoma"/>
        </w:rPr>
        <w:t>.</w:t>
      </w:r>
      <w:r w:rsidRPr="00F0313F">
        <w:rPr>
          <w:rStyle w:val="FootnoteReference"/>
          <w:rFonts w:cs="Tahoma"/>
        </w:rPr>
        <w:footnoteReference w:id="49"/>
      </w:r>
      <w:r w:rsidRPr="00F0313F">
        <w:rPr>
          <w:rFonts w:cs="Tahoma"/>
        </w:rPr>
        <w:t xml:space="preserve"> The post-war period did little to foster equality as occupational roles reverted to pre-war patterns with women viewed primarily as mothers </w:t>
      </w:r>
      <w:r w:rsidRPr="00F0313F">
        <w:rPr>
          <w:rFonts w:cs="Tahoma"/>
        </w:rPr>
        <w:lastRenderedPageBreak/>
        <w:t>responsible for the next generation and future soldiers.</w:t>
      </w:r>
      <w:r w:rsidRPr="00F0313F">
        <w:rPr>
          <w:rStyle w:val="FootnoteReference"/>
          <w:rFonts w:cs="Tahoma"/>
        </w:rPr>
        <w:footnoteReference w:id="50"/>
      </w:r>
      <w:r w:rsidRPr="00F0313F">
        <w:rPr>
          <w:rFonts w:cs="Tahoma"/>
        </w:rPr>
        <w:t xml:space="preserve"> </w:t>
      </w:r>
      <w:r w:rsidR="00F62AB2" w:rsidRPr="00F0313F">
        <w:rPr>
          <w:rFonts w:cs="Tahoma"/>
        </w:rPr>
        <w:t>The war</w:t>
      </w:r>
      <w:r w:rsidRPr="00F0313F">
        <w:rPr>
          <w:rFonts w:cs="Tahoma"/>
        </w:rPr>
        <w:t xml:space="preserve"> </w:t>
      </w:r>
      <w:r w:rsidR="00F62AB2" w:rsidRPr="00F0313F">
        <w:rPr>
          <w:rFonts w:cs="Tahoma"/>
        </w:rPr>
        <w:t xml:space="preserve">allowed </w:t>
      </w:r>
      <w:r w:rsidRPr="00F0313F">
        <w:rPr>
          <w:rFonts w:cs="Tahoma"/>
        </w:rPr>
        <w:t xml:space="preserve">contraception previously </w:t>
      </w:r>
      <w:r w:rsidR="00B3794A" w:rsidRPr="00F0313F">
        <w:rPr>
          <w:rFonts w:cs="Tahoma"/>
        </w:rPr>
        <w:t>restricted</w:t>
      </w:r>
      <w:r w:rsidR="00F62AB2" w:rsidRPr="00F0313F">
        <w:rPr>
          <w:rFonts w:cs="Tahoma"/>
        </w:rPr>
        <w:t xml:space="preserve"> to the middle classes to beco</w:t>
      </w:r>
      <w:r w:rsidRPr="00F0313F">
        <w:rPr>
          <w:rFonts w:cs="Tahoma"/>
        </w:rPr>
        <w:t>me more widely available</w:t>
      </w:r>
      <w:r w:rsidR="00B3794A" w:rsidRPr="00F0313F">
        <w:rPr>
          <w:rStyle w:val="FootnoteReference"/>
          <w:rFonts w:cs="Tahoma"/>
        </w:rPr>
        <w:footnoteReference w:id="51"/>
      </w:r>
      <w:r w:rsidRPr="00F0313F">
        <w:rPr>
          <w:rFonts w:cs="Tahoma"/>
        </w:rPr>
        <w:t xml:space="preserve"> due to concerns over sexually transmitted diseases under</w:t>
      </w:r>
      <w:r w:rsidR="00B3794A" w:rsidRPr="00F0313F">
        <w:rPr>
          <w:rFonts w:cs="Tahoma"/>
        </w:rPr>
        <w:t>mining the war effort</w:t>
      </w:r>
      <w:r w:rsidR="00441862" w:rsidRPr="00F0313F">
        <w:rPr>
          <w:rFonts w:cs="Tahoma"/>
        </w:rPr>
        <w:t>, though women were still disproportionately blamed for transmission.</w:t>
      </w:r>
      <w:r w:rsidR="00441862" w:rsidRPr="00F0313F">
        <w:rPr>
          <w:rStyle w:val="FootnoteReference"/>
          <w:rFonts w:cs="Tahoma"/>
        </w:rPr>
        <w:footnoteReference w:id="52"/>
      </w:r>
      <w:r w:rsidR="00441862" w:rsidRPr="00F0313F">
        <w:rPr>
          <w:rFonts w:cs="Tahoma"/>
        </w:rPr>
        <w:t xml:space="preserve"> </w:t>
      </w:r>
      <w:r w:rsidR="00EF6ED9" w:rsidRPr="00F0313F">
        <w:rPr>
          <w:rFonts w:cs="Tahoma"/>
        </w:rPr>
        <w:t xml:space="preserve">However, wartime ‘liberation’ for women in terms of gender role reversals and allegedly new sexual freedoms </w:t>
      </w:r>
      <w:r w:rsidR="00441862" w:rsidRPr="00F0313F">
        <w:rPr>
          <w:rFonts w:cs="Tahoma"/>
        </w:rPr>
        <w:t>produced few changes in post-war Britain in terms of women’s place in society and employment opportunities available for them, and additionally, fostered hostility towards women taking “men’s jobs”.</w:t>
      </w:r>
      <w:r w:rsidR="00441862" w:rsidRPr="00F0313F">
        <w:rPr>
          <w:rStyle w:val="FootnoteReference"/>
          <w:rFonts w:cs="Tahoma"/>
        </w:rPr>
        <w:footnoteReference w:id="53"/>
      </w:r>
      <w:r w:rsidR="00441862" w:rsidRPr="00F0313F">
        <w:rPr>
          <w:rFonts w:cs="Tahoma"/>
        </w:rPr>
        <w:t xml:space="preserve"> </w:t>
      </w:r>
      <w:r w:rsidRPr="00F0313F">
        <w:rPr>
          <w:rFonts w:cs="Tahoma"/>
        </w:rPr>
        <w:t>It did however raise women’s consciousness and strengthen their resolve to improve</w:t>
      </w:r>
      <w:r w:rsidR="00B3794A" w:rsidRPr="00F0313F">
        <w:rPr>
          <w:rFonts w:cs="Tahoma"/>
        </w:rPr>
        <w:t xml:space="preserve"> th</w:t>
      </w:r>
      <w:r w:rsidR="00441862" w:rsidRPr="00F0313F">
        <w:rPr>
          <w:rFonts w:cs="Tahoma"/>
        </w:rPr>
        <w:t xml:space="preserve">eir status and gain equality; </w:t>
      </w:r>
      <w:r w:rsidRPr="00F0313F">
        <w:rPr>
          <w:rFonts w:cs="Tahoma"/>
        </w:rPr>
        <w:t>the Versailles Treaty advanced equal voting rights across Europe and aspired to equal pay.</w:t>
      </w:r>
      <w:r w:rsidRPr="00F0313F">
        <w:rPr>
          <w:rStyle w:val="FootnoteReference"/>
          <w:rFonts w:cs="Tahoma"/>
        </w:rPr>
        <w:footnoteReference w:id="54"/>
      </w:r>
      <w:r w:rsidRPr="00F0313F">
        <w:rPr>
          <w:rFonts w:cs="Tahoma"/>
        </w:rPr>
        <w:t xml:space="preserve"> Although men over the age of 21 in Britain were granted the vote in 1918 together with women over 30 it was not until ten years later</w:t>
      </w:r>
      <w:r w:rsidR="00CC65FD">
        <w:rPr>
          <w:rFonts w:cs="Tahoma"/>
        </w:rPr>
        <w:t xml:space="preserve"> that all women had the right. Thus c</w:t>
      </w:r>
      <w:r w:rsidRPr="00F0313F">
        <w:rPr>
          <w:rFonts w:cs="Tahoma"/>
        </w:rPr>
        <w:t>hanges in society including better education, health care, housing and the nature of employment referred to above co</w:t>
      </w:r>
      <w:r w:rsidR="00B3794A" w:rsidRPr="00F0313F">
        <w:rPr>
          <w:rFonts w:cs="Tahoma"/>
        </w:rPr>
        <w:t xml:space="preserve">ntributed to improving equality for women post-war, but </w:t>
      </w:r>
      <w:r w:rsidR="00917CFA" w:rsidRPr="00F0313F">
        <w:rPr>
          <w:rFonts w:cs="Tahoma"/>
        </w:rPr>
        <w:t xml:space="preserve">did not fully address </w:t>
      </w:r>
      <w:r w:rsidR="00F62AB2" w:rsidRPr="00F0313F">
        <w:rPr>
          <w:rFonts w:cs="Tahoma"/>
        </w:rPr>
        <w:t>female aspirations, gender subordination</w:t>
      </w:r>
      <w:r w:rsidR="00F62AB2" w:rsidRPr="00F0313F">
        <w:rPr>
          <w:rStyle w:val="FootnoteReference"/>
          <w:rFonts w:cs="Tahoma"/>
        </w:rPr>
        <w:footnoteReference w:id="55"/>
      </w:r>
      <w:r w:rsidR="00F62AB2" w:rsidRPr="00F0313F">
        <w:rPr>
          <w:rFonts w:cs="Tahoma"/>
        </w:rPr>
        <w:t xml:space="preserve"> or </w:t>
      </w:r>
      <w:r w:rsidR="00917CFA" w:rsidRPr="00F0313F">
        <w:rPr>
          <w:rFonts w:cs="Tahoma"/>
        </w:rPr>
        <w:t>establishment intransigence.</w:t>
      </w:r>
    </w:p>
    <w:p w:rsidR="00A53C60" w:rsidRPr="00F0313F" w:rsidRDefault="0081005C" w:rsidP="00603C04">
      <w:pPr>
        <w:rPr>
          <w:rFonts w:cs="Tahoma"/>
        </w:rPr>
      </w:pPr>
      <w:r w:rsidRPr="00F0313F">
        <w:rPr>
          <w:rFonts w:cs="Tahoma"/>
        </w:rPr>
        <w:t>The First World War affected the course of empire and international affairs profoundly</w:t>
      </w:r>
      <w:r w:rsidR="00E67395" w:rsidRPr="00F0313F">
        <w:rPr>
          <w:rFonts w:cs="Tahoma"/>
        </w:rPr>
        <w:t>:</w:t>
      </w:r>
      <w:r w:rsidRPr="00F0313F">
        <w:rPr>
          <w:rStyle w:val="FootnoteReference"/>
          <w:rFonts w:cs="Tahoma"/>
        </w:rPr>
        <w:footnoteReference w:id="56"/>
      </w:r>
      <w:r w:rsidRPr="00F0313F">
        <w:rPr>
          <w:rFonts w:cs="Tahoma"/>
        </w:rPr>
        <w:t xml:space="preserve"> the end of the war was a watershed that heralded the end of Britain’s imperial domination</w:t>
      </w:r>
      <w:r w:rsidR="00E67395" w:rsidRPr="00F0313F">
        <w:rPr>
          <w:rFonts w:cs="Tahoma"/>
        </w:rPr>
        <w:t xml:space="preserve"> and fundamentally changed relationships with others.</w:t>
      </w:r>
      <w:r w:rsidR="00AE39B0" w:rsidRPr="00F0313F">
        <w:rPr>
          <w:rStyle w:val="FootnoteReference"/>
          <w:rFonts w:cs="Tahoma"/>
        </w:rPr>
        <w:footnoteReference w:id="57"/>
      </w:r>
      <w:r w:rsidR="00603C04" w:rsidRPr="00F0313F">
        <w:rPr>
          <w:rFonts w:cs="Tahoma"/>
        </w:rPr>
        <w:t xml:space="preserve"> The empire’s contribution to victory in terms of men and raw materials changed relationships with Britain irreversibly</w:t>
      </w:r>
      <w:r w:rsidR="00E67395" w:rsidRPr="00F0313F">
        <w:rPr>
          <w:rFonts w:cs="Tahoma"/>
        </w:rPr>
        <w:t>.</w:t>
      </w:r>
      <w:r w:rsidR="00603C04" w:rsidRPr="00F0313F">
        <w:rPr>
          <w:rStyle w:val="FootnoteReference"/>
          <w:rFonts w:cs="Tahoma"/>
        </w:rPr>
        <w:footnoteReference w:id="58"/>
      </w:r>
      <w:r w:rsidR="00603C04" w:rsidRPr="00F0313F">
        <w:rPr>
          <w:rFonts w:cs="Tahoma"/>
        </w:rPr>
        <w:t xml:space="preserve"> </w:t>
      </w:r>
      <w:r w:rsidR="00E67395" w:rsidRPr="00F0313F">
        <w:rPr>
          <w:rFonts w:cs="Tahoma"/>
        </w:rPr>
        <w:t>As members of Lloyd George’s Imperial War Cabinet, Dominion countries (</w:t>
      </w:r>
      <w:r w:rsidR="00603C04" w:rsidRPr="00F0313F">
        <w:rPr>
          <w:rFonts w:cs="Tahoma"/>
        </w:rPr>
        <w:t>Australia, New Zealand, Canada, and South Africa</w:t>
      </w:r>
      <w:r w:rsidR="00E67395" w:rsidRPr="00F0313F">
        <w:rPr>
          <w:rFonts w:cs="Tahoma"/>
        </w:rPr>
        <w:t>)</w:t>
      </w:r>
      <w:r w:rsidR="00603C04" w:rsidRPr="00F0313F">
        <w:rPr>
          <w:rFonts w:cs="Tahoma"/>
        </w:rPr>
        <w:t xml:space="preserve"> were perceived to have a new status and were repres</w:t>
      </w:r>
      <w:r w:rsidR="00E67395" w:rsidRPr="00F0313F">
        <w:rPr>
          <w:rFonts w:cs="Tahoma"/>
        </w:rPr>
        <w:t>ented at the Paris peace talks, leading inevitably to legislative independence in 1931.</w:t>
      </w:r>
      <w:r w:rsidR="00603C04" w:rsidRPr="00F0313F">
        <w:rPr>
          <w:rFonts w:cs="Tahoma"/>
        </w:rPr>
        <w:t xml:space="preserve"> </w:t>
      </w:r>
      <w:r w:rsidR="00E67395" w:rsidRPr="00F0313F">
        <w:rPr>
          <w:rFonts w:cs="Tahoma"/>
        </w:rPr>
        <w:t xml:space="preserve">For other parts of the empire, </w:t>
      </w:r>
      <w:r w:rsidR="00603C04" w:rsidRPr="00F0313F">
        <w:rPr>
          <w:rFonts w:cs="Tahoma"/>
        </w:rPr>
        <w:t xml:space="preserve">the </w:t>
      </w:r>
      <w:r w:rsidR="00E67395" w:rsidRPr="00F0313F">
        <w:rPr>
          <w:rFonts w:cs="Tahoma"/>
        </w:rPr>
        <w:t xml:space="preserve">end of the war was the stimulus for </w:t>
      </w:r>
      <w:r w:rsidR="00F62AB2" w:rsidRPr="00F0313F">
        <w:rPr>
          <w:rFonts w:cs="Tahoma"/>
        </w:rPr>
        <w:t>greater self-determination and increasing demands for independence.</w:t>
      </w:r>
      <w:r w:rsidR="00A53C60" w:rsidRPr="00F0313F">
        <w:rPr>
          <w:rFonts w:cs="Tahoma"/>
        </w:rPr>
        <w:t xml:space="preserve"> </w:t>
      </w:r>
      <w:r w:rsidR="00603C04" w:rsidRPr="00F0313F">
        <w:rPr>
          <w:rFonts w:cs="Tahoma"/>
        </w:rPr>
        <w:t>One and a half million Indian volunteers fought in the war and the country made significant financial contributions.</w:t>
      </w:r>
      <w:r w:rsidR="00603C04" w:rsidRPr="00F0313F">
        <w:rPr>
          <w:rStyle w:val="FootnoteReference"/>
          <w:rFonts w:cs="Tahoma"/>
        </w:rPr>
        <w:footnoteReference w:id="59"/>
      </w:r>
      <w:r w:rsidR="00603C04" w:rsidRPr="00F0313F">
        <w:rPr>
          <w:rFonts w:cs="Tahoma"/>
        </w:rPr>
        <w:t xml:space="preserve"> Despite expectations of greater self-government brought by the Montague-Chelmsford reforms of 1919, power remained with the Vic</w:t>
      </w:r>
      <w:r w:rsidR="00A53C60" w:rsidRPr="00F0313F">
        <w:rPr>
          <w:rFonts w:cs="Tahoma"/>
        </w:rPr>
        <w:t>eroy and the Indian Office. War-</w:t>
      </w:r>
      <w:r w:rsidR="00603C04" w:rsidRPr="00F0313F">
        <w:rPr>
          <w:rFonts w:cs="Tahoma"/>
        </w:rPr>
        <w:t xml:space="preserve">related hardships and the influenza pandemic of 1918-19 created discontent and the Amritsar massacre of 1919 fuelled the first of </w:t>
      </w:r>
      <w:r w:rsidR="00603C04" w:rsidRPr="00F0313F">
        <w:rPr>
          <w:rFonts w:cs="Tahoma"/>
        </w:rPr>
        <w:lastRenderedPageBreak/>
        <w:t>Gandhi civil disobedience campaigns setting in train the journey to independence.</w:t>
      </w:r>
      <w:r w:rsidR="00603C04" w:rsidRPr="00F0313F">
        <w:rPr>
          <w:rStyle w:val="FootnoteReference"/>
          <w:rFonts w:cs="Tahoma"/>
        </w:rPr>
        <w:footnoteReference w:id="60"/>
      </w:r>
      <w:r w:rsidR="00603C04" w:rsidRPr="00F0313F">
        <w:rPr>
          <w:rFonts w:cs="Tahoma"/>
        </w:rPr>
        <w:t xml:space="preserve"> Despite the heavy involvement of African troops in the war in Africa, Wilson’s principle of self-determination </w:t>
      </w:r>
      <w:r w:rsidR="00A53C60" w:rsidRPr="00F0313F">
        <w:rPr>
          <w:rFonts w:cs="Tahoma"/>
        </w:rPr>
        <w:t>excluded black people</w:t>
      </w:r>
      <w:r w:rsidR="00603C04" w:rsidRPr="00F0313F">
        <w:rPr>
          <w:rFonts w:cs="Tahoma"/>
        </w:rPr>
        <w:t>.</w:t>
      </w:r>
      <w:r w:rsidR="00603C04" w:rsidRPr="00F0313F">
        <w:rPr>
          <w:rStyle w:val="FootnoteReference"/>
          <w:rFonts w:cs="Tahoma"/>
        </w:rPr>
        <w:footnoteReference w:id="61"/>
      </w:r>
      <w:r w:rsidR="00603C04" w:rsidRPr="00F0313F">
        <w:rPr>
          <w:rFonts w:cs="Tahoma"/>
        </w:rPr>
        <w:t xml:space="preserve"> </w:t>
      </w:r>
      <w:r w:rsidR="00A53C60" w:rsidRPr="00F0313F">
        <w:rPr>
          <w:rFonts w:cs="Tahoma"/>
        </w:rPr>
        <w:t>Britain’s role in the Middle East following post-war settlements also created tensions</w:t>
      </w:r>
      <w:r w:rsidR="009411BD" w:rsidRPr="00F0313F">
        <w:rPr>
          <w:rFonts w:cs="Tahoma"/>
        </w:rPr>
        <w:t xml:space="preserve"> which</w:t>
      </w:r>
      <w:r w:rsidR="00AB105E" w:rsidRPr="00F0313F">
        <w:rPr>
          <w:rFonts w:cs="Tahoma"/>
        </w:rPr>
        <w:t xml:space="preserve"> eventually led to</w:t>
      </w:r>
      <w:r w:rsidR="009411BD" w:rsidRPr="00F0313F">
        <w:rPr>
          <w:rFonts w:cs="Tahoma"/>
        </w:rPr>
        <w:t xml:space="preserve"> the creation of Israel in 1948 </w:t>
      </w:r>
      <w:r w:rsidR="00AB105E" w:rsidRPr="00F0313F">
        <w:rPr>
          <w:rFonts w:cs="Tahoma"/>
        </w:rPr>
        <w:t>in British-controlled Palestine and which</w:t>
      </w:r>
      <w:r w:rsidR="009411BD" w:rsidRPr="00F0313F">
        <w:rPr>
          <w:rFonts w:cs="Tahoma"/>
        </w:rPr>
        <w:t xml:space="preserve"> still exist and continue to influence </w:t>
      </w:r>
      <w:r w:rsidR="00AB105E" w:rsidRPr="00F0313F">
        <w:rPr>
          <w:rFonts w:cs="Tahoma"/>
        </w:rPr>
        <w:t xml:space="preserve">British </w:t>
      </w:r>
      <w:r w:rsidR="009411BD" w:rsidRPr="00F0313F">
        <w:rPr>
          <w:rFonts w:cs="Tahoma"/>
        </w:rPr>
        <w:t>foreign policy.</w:t>
      </w:r>
      <w:r w:rsidR="009411BD" w:rsidRPr="00F0313F">
        <w:rPr>
          <w:rStyle w:val="FootnoteReference"/>
          <w:rFonts w:cs="Tahoma"/>
        </w:rPr>
        <w:footnoteReference w:id="62"/>
      </w:r>
      <w:r w:rsidR="009411BD" w:rsidRPr="00F0313F">
        <w:rPr>
          <w:rFonts w:cs="Tahoma"/>
        </w:rPr>
        <w:t xml:space="preserve"> </w:t>
      </w:r>
      <w:r w:rsidR="00AB105E" w:rsidRPr="00F0313F">
        <w:rPr>
          <w:rFonts w:cs="Tahoma"/>
        </w:rPr>
        <w:t xml:space="preserve">Dissentions, muddled policies </w:t>
      </w:r>
      <w:r w:rsidR="008C1B29" w:rsidRPr="00F0313F">
        <w:rPr>
          <w:rFonts w:cs="Tahoma"/>
        </w:rPr>
        <w:t>a</w:t>
      </w:r>
      <w:r w:rsidR="00AB105E" w:rsidRPr="00F0313F">
        <w:rPr>
          <w:rFonts w:cs="Tahoma"/>
        </w:rPr>
        <w:t>nd poor management</w:t>
      </w:r>
      <w:r w:rsidR="008C1B29" w:rsidRPr="00F0313F">
        <w:rPr>
          <w:rFonts w:cs="Tahoma"/>
        </w:rPr>
        <w:t xml:space="preserve"> led to a rapid decline in the Foreign Office’s influence</w:t>
      </w:r>
      <w:r w:rsidR="00AB105E" w:rsidRPr="00F0313F">
        <w:rPr>
          <w:rFonts w:cs="Tahoma"/>
        </w:rPr>
        <w:t xml:space="preserve"> and Britain’s failure to accommodate both Arab and Jewish aspirations</w:t>
      </w:r>
      <w:r w:rsidR="007910D8" w:rsidRPr="00F0313F">
        <w:rPr>
          <w:rFonts w:cs="Tahoma"/>
        </w:rPr>
        <w:t xml:space="preserve"> exacerbated conflict in the area.</w:t>
      </w:r>
      <w:r w:rsidR="007910D8" w:rsidRPr="00F0313F">
        <w:rPr>
          <w:rStyle w:val="FootnoteReference"/>
          <w:rFonts w:cs="Tahoma"/>
        </w:rPr>
        <w:footnoteReference w:id="63"/>
      </w:r>
      <w:r w:rsidR="007910D8" w:rsidRPr="00F0313F">
        <w:rPr>
          <w:rFonts w:cs="Tahoma"/>
        </w:rPr>
        <w:t xml:space="preserve"> </w:t>
      </w:r>
      <w:r w:rsidR="001C3314" w:rsidRPr="00F0313F">
        <w:rPr>
          <w:rFonts w:cs="Tahoma"/>
        </w:rPr>
        <w:t xml:space="preserve">Similarly, </w:t>
      </w:r>
      <w:r w:rsidR="00E62B66" w:rsidRPr="00F0313F">
        <w:rPr>
          <w:rFonts w:cs="Tahoma"/>
        </w:rPr>
        <w:t xml:space="preserve">British political in-fighting and poor management of the Easter Uprising in Ireland aggravated tensions in Ireland </w:t>
      </w:r>
      <w:r w:rsidR="00E62B66" w:rsidRPr="00F0313F">
        <w:rPr>
          <w:rStyle w:val="FootnoteReference"/>
          <w:rFonts w:cs="Tahoma"/>
        </w:rPr>
        <w:footnoteReference w:id="64"/>
      </w:r>
      <w:r w:rsidR="00E62B66" w:rsidRPr="00F0313F">
        <w:rPr>
          <w:rFonts w:cs="Tahoma"/>
        </w:rPr>
        <w:t xml:space="preserve"> inevitably leading to the Free Irish State in 1922, the Irish Civil War</w:t>
      </w:r>
      <w:r w:rsidR="00E62B66" w:rsidRPr="00F0313F">
        <w:rPr>
          <w:rStyle w:val="FootnoteReference"/>
          <w:rFonts w:cs="Tahoma"/>
        </w:rPr>
        <w:footnoteReference w:id="65"/>
      </w:r>
      <w:r w:rsidR="00E62B66" w:rsidRPr="00F0313F">
        <w:rPr>
          <w:rFonts w:cs="Tahoma"/>
        </w:rPr>
        <w:t xml:space="preserve"> and fractional hostilities in Northern</w:t>
      </w:r>
      <w:r w:rsidR="00ED064F" w:rsidRPr="00F0313F">
        <w:rPr>
          <w:rFonts w:cs="Tahoma"/>
        </w:rPr>
        <w:t xml:space="preserve"> Ireland that were not alleviated</w:t>
      </w:r>
      <w:r w:rsidR="00E62B66" w:rsidRPr="00F0313F">
        <w:rPr>
          <w:rFonts w:cs="Tahoma"/>
        </w:rPr>
        <w:t xml:space="preserve"> until the 1998 Good Friday Agreement (but which now threaten to re-surface). Thus, to conclude, the First World War started, and the Second World War acc</w:t>
      </w:r>
      <w:r w:rsidR="006E6169" w:rsidRPr="00F0313F">
        <w:rPr>
          <w:rFonts w:cs="Tahoma"/>
        </w:rPr>
        <w:t>elerated</w:t>
      </w:r>
      <w:r w:rsidR="00300227" w:rsidRPr="00F0313F">
        <w:rPr>
          <w:rFonts w:cs="Tahoma"/>
        </w:rPr>
        <w:t xml:space="preserve"> the end of Empire with damage to Britain’s international standing</w:t>
      </w:r>
      <w:r w:rsidR="00943900" w:rsidRPr="00F0313F">
        <w:rPr>
          <w:rFonts w:cs="Tahoma"/>
        </w:rPr>
        <w:t>;</w:t>
      </w:r>
      <w:r w:rsidR="00300227" w:rsidRPr="00F0313F">
        <w:rPr>
          <w:rStyle w:val="FootnoteReference"/>
          <w:rFonts w:cs="Tahoma"/>
        </w:rPr>
        <w:footnoteReference w:id="66"/>
      </w:r>
      <w:r w:rsidR="00300227" w:rsidRPr="00F0313F">
        <w:rPr>
          <w:rFonts w:cs="Tahoma"/>
        </w:rPr>
        <w:t xml:space="preserve"> Britain </w:t>
      </w:r>
      <w:r w:rsidR="00943900" w:rsidRPr="00F0313F">
        <w:rPr>
          <w:rFonts w:cs="Tahoma"/>
        </w:rPr>
        <w:t xml:space="preserve">still faces its political </w:t>
      </w:r>
      <w:r w:rsidR="00300227" w:rsidRPr="00F0313F">
        <w:rPr>
          <w:rFonts w:cs="Tahoma"/>
        </w:rPr>
        <w:t>consequences.</w:t>
      </w:r>
    </w:p>
    <w:p w:rsidR="00117DEA" w:rsidRPr="00F0313F" w:rsidRDefault="00117DEA" w:rsidP="00687209">
      <w:pPr>
        <w:spacing w:after="0" w:line="240" w:lineRule="auto"/>
        <w:rPr>
          <w:rFonts w:cs="Times New Roman"/>
          <w:sz w:val="24"/>
          <w:szCs w:val="24"/>
          <w:lang w:eastAsia="en-GB"/>
        </w:rPr>
      </w:pPr>
      <w:r w:rsidRPr="00F0313F">
        <w:rPr>
          <w:rFonts w:cs="Tahoma"/>
          <w:color w:val="000000" w:themeColor="text1"/>
        </w:rPr>
        <w:t xml:space="preserve">A significant consequence of the war was the manner in which the </w:t>
      </w:r>
      <w:r w:rsidR="00CC65FD">
        <w:rPr>
          <w:rFonts w:cs="Tahoma"/>
          <w:color w:val="000000" w:themeColor="text1"/>
        </w:rPr>
        <w:t xml:space="preserve">outcomes and the peace terms </w:t>
      </w:r>
      <w:r w:rsidRPr="00F0313F">
        <w:rPr>
          <w:rFonts w:cs="Tahoma"/>
          <w:color w:val="000000" w:themeColor="text1"/>
        </w:rPr>
        <w:t xml:space="preserve">imposed on the vanquished contributed to future instability in Europe and </w:t>
      </w:r>
      <w:r w:rsidR="00B84220" w:rsidRPr="00F0313F">
        <w:rPr>
          <w:rFonts w:cs="Tahoma"/>
          <w:color w:val="000000" w:themeColor="text1"/>
        </w:rPr>
        <w:t>the consequential impact of further</w:t>
      </w:r>
      <w:r w:rsidR="000D29BC" w:rsidRPr="00F0313F">
        <w:rPr>
          <w:rFonts w:cs="Tahoma"/>
          <w:color w:val="000000" w:themeColor="text1"/>
        </w:rPr>
        <w:t xml:space="preserve"> </w:t>
      </w:r>
      <w:r w:rsidRPr="00F0313F">
        <w:rPr>
          <w:rFonts w:cs="Tahoma"/>
          <w:color w:val="000000" w:themeColor="text1"/>
        </w:rPr>
        <w:t>conflict</w:t>
      </w:r>
      <w:r w:rsidR="00B84220" w:rsidRPr="00F0313F">
        <w:rPr>
          <w:rFonts w:cs="Tahoma"/>
          <w:color w:val="000000" w:themeColor="text1"/>
        </w:rPr>
        <w:t xml:space="preserve"> on Britain</w:t>
      </w:r>
      <w:r w:rsidRPr="00F0313F">
        <w:rPr>
          <w:rFonts w:cs="Tahoma"/>
        </w:rPr>
        <w:t>. Victory brought hig</w:t>
      </w:r>
      <w:r w:rsidR="00CC65FD">
        <w:rPr>
          <w:rFonts w:cs="Tahoma"/>
        </w:rPr>
        <w:t>h expectations of the peace but</w:t>
      </w:r>
      <w:r w:rsidRPr="00F0313F">
        <w:rPr>
          <w:rFonts w:cs="Tahoma"/>
        </w:rPr>
        <w:t xml:space="preserve"> France and Britain unlike America, were financially and humanly drained with France</w:t>
      </w:r>
      <w:r w:rsidR="000D29BC" w:rsidRPr="00F0313F">
        <w:rPr>
          <w:rFonts w:cs="Tahoma"/>
        </w:rPr>
        <w:t>,</w:t>
      </w:r>
      <w:r w:rsidRPr="00F0313F">
        <w:rPr>
          <w:rFonts w:cs="Tahoma"/>
        </w:rPr>
        <w:t xml:space="preserve"> in particular</w:t>
      </w:r>
      <w:r w:rsidR="000D29BC" w:rsidRPr="00F0313F">
        <w:rPr>
          <w:rFonts w:cs="Tahoma"/>
        </w:rPr>
        <w:t>,</w:t>
      </w:r>
      <w:r w:rsidRPr="00F0313F">
        <w:rPr>
          <w:rFonts w:cs="Tahoma"/>
        </w:rPr>
        <w:t xml:space="preserve"> wary of Germany’s capacity for resurgence; the peace settlement had to be punitive and disabling as well as financially compensatory.</w:t>
      </w:r>
      <w:r w:rsidRPr="00F0313F">
        <w:rPr>
          <w:rStyle w:val="FootnoteReference"/>
          <w:rFonts w:cs="Tahoma"/>
        </w:rPr>
        <w:footnoteReference w:id="67"/>
      </w:r>
      <w:r w:rsidRPr="00F0313F">
        <w:rPr>
          <w:rFonts w:cs="Tahoma"/>
        </w:rPr>
        <w:t xml:space="preserve"> The war changed the balance of power not only between adversaries but also allies; America was the dominant power and Britain alone could no longer win a European War.</w:t>
      </w:r>
      <w:r w:rsidRPr="00F0313F">
        <w:rPr>
          <w:rStyle w:val="FootnoteReference"/>
          <w:rFonts w:cs="Tahoma"/>
        </w:rPr>
        <w:footnoteReference w:id="68"/>
      </w:r>
      <w:r w:rsidRPr="00F0313F">
        <w:rPr>
          <w:rFonts w:cs="Tahoma"/>
        </w:rPr>
        <w:t xml:space="preserve"> Allied reliance on the United States’ elevated </w:t>
      </w:r>
      <w:r w:rsidR="000D29BC" w:rsidRPr="00F0313F">
        <w:rPr>
          <w:rFonts w:cs="Tahoma"/>
        </w:rPr>
        <w:t xml:space="preserve">the status of </w:t>
      </w:r>
      <w:r w:rsidRPr="00F0313F">
        <w:rPr>
          <w:rFonts w:cs="Tahoma"/>
        </w:rPr>
        <w:t>Wilson’s fourteen point manifesto bringing idealistic expectations of self-determination and nationalism to the peace settlement.</w:t>
      </w:r>
      <w:r w:rsidRPr="00F0313F">
        <w:rPr>
          <w:rStyle w:val="FootnoteReference"/>
          <w:rFonts w:cs="Tahoma"/>
        </w:rPr>
        <w:footnoteReference w:id="69"/>
      </w:r>
      <w:r w:rsidRPr="00F0313F">
        <w:rPr>
          <w:rFonts w:cs="Tahoma"/>
        </w:rPr>
        <w:t xml:space="preserve"> The allies were not unanimous in their expectations and Davies considers the Americans to have been suspicious of continuing British and French imperialist intentions with Britain’s historic mistrust of France re-surfacing.</w:t>
      </w:r>
      <w:r w:rsidRPr="00F0313F">
        <w:rPr>
          <w:rStyle w:val="FootnoteReference"/>
          <w:rFonts w:cs="Tahoma"/>
        </w:rPr>
        <w:footnoteReference w:id="70"/>
      </w:r>
      <w:r w:rsidRPr="00F0313F">
        <w:rPr>
          <w:rFonts w:cs="Tahoma"/>
        </w:rPr>
        <w:t xml:space="preserve"> Kershaw views Wilson’s idealism to have been synonymous with America’s aims to be financially dominant globally in a post-war </w:t>
      </w:r>
      <w:r w:rsidR="0037591C" w:rsidRPr="00F0313F">
        <w:rPr>
          <w:rFonts w:cs="Tahoma"/>
        </w:rPr>
        <w:t>world reconstructed in her</w:t>
      </w:r>
      <w:r w:rsidRPr="00F0313F">
        <w:rPr>
          <w:rFonts w:cs="Tahoma"/>
        </w:rPr>
        <w:t xml:space="preserve"> own image.</w:t>
      </w:r>
      <w:r w:rsidRPr="00F0313F">
        <w:rPr>
          <w:rStyle w:val="FootnoteReference"/>
          <w:rFonts w:cs="Tahoma"/>
        </w:rPr>
        <w:footnoteReference w:id="71"/>
      </w:r>
      <w:r w:rsidRPr="00F0313F">
        <w:rPr>
          <w:rFonts w:cs="Tahoma"/>
        </w:rPr>
        <w:t xml:space="preserve"> </w:t>
      </w:r>
      <w:r w:rsidR="00A85AA3" w:rsidRPr="00F0313F">
        <w:rPr>
          <w:rFonts w:cs="Tahoma"/>
        </w:rPr>
        <w:t>In Britain, it was largely successful resulting in a Britain that felt less secure in its global position, saddled with debt to</w:t>
      </w:r>
      <w:r w:rsidR="00E2022A" w:rsidRPr="00F0313F">
        <w:rPr>
          <w:rFonts w:cs="Tahoma"/>
        </w:rPr>
        <w:t xml:space="preserve"> the United States.</w:t>
      </w:r>
      <w:r w:rsidR="00687209" w:rsidRPr="00F0313F">
        <w:rPr>
          <w:rStyle w:val="FootnoteReference"/>
          <w:rFonts w:cs="Tahoma"/>
        </w:rPr>
        <w:footnoteReference w:id="72"/>
      </w:r>
      <w:r w:rsidR="00A85AA3" w:rsidRPr="00F0313F">
        <w:rPr>
          <w:rFonts w:cs="Times New Roman"/>
          <w:sz w:val="24"/>
          <w:szCs w:val="24"/>
          <w:lang w:eastAsia="en-GB"/>
        </w:rPr>
        <w:t xml:space="preserve"> </w:t>
      </w:r>
    </w:p>
    <w:p w:rsidR="00687209" w:rsidRPr="00F0313F" w:rsidRDefault="00687209" w:rsidP="00687209">
      <w:pPr>
        <w:spacing w:after="0" w:line="240" w:lineRule="auto"/>
        <w:rPr>
          <w:rFonts w:cs="Times New Roman"/>
          <w:sz w:val="24"/>
          <w:szCs w:val="24"/>
          <w:lang w:eastAsia="en-GB"/>
        </w:rPr>
      </w:pPr>
    </w:p>
    <w:p w:rsidR="00630B5A" w:rsidRPr="00F0313F" w:rsidRDefault="00117DEA" w:rsidP="00F0539B">
      <w:pPr>
        <w:rPr>
          <w:rFonts w:cs="Tahoma"/>
        </w:rPr>
      </w:pPr>
      <w:r w:rsidRPr="00F0313F">
        <w:rPr>
          <w:rFonts w:cs="Tahoma"/>
        </w:rPr>
        <w:t xml:space="preserve">These tensions </w:t>
      </w:r>
      <w:r w:rsidR="00B84220" w:rsidRPr="00F0313F">
        <w:rPr>
          <w:rFonts w:cs="Tahoma"/>
        </w:rPr>
        <w:t xml:space="preserve">together with the challenges and eventual failure to achieve stability in Europe </w:t>
      </w:r>
      <w:r w:rsidRPr="00F0313F">
        <w:rPr>
          <w:rFonts w:cs="Tahoma"/>
        </w:rPr>
        <w:t xml:space="preserve">were reflected in the misgivings of prominent participants in the Paris peace settlement over the </w:t>
      </w:r>
      <w:r w:rsidRPr="00F0313F">
        <w:rPr>
          <w:rFonts w:cs="Tahoma"/>
        </w:rPr>
        <w:lastRenderedPageBreak/>
        <w:t xml:space="preserve">workability </w:t>
      </w:r>
      <w:r w:rsidR="007572F9" w:rsidRPr="00F0313F">
        <w:rPr>
          <w:rFonts w:cs="Tahoma"/>
        </w:rPr>
        <w:t>of treaties</w:t>
      </w:r>
      <w:r w:rsidRPr="00F0313F">
        <w:rPr>
          <w:rFonts w:cs="Tahoma"/>
        </w:rPr>
        <w:t>.</w:t>
      </w:r>
      <w:r w:rsidRPr="00F0313F">
        <w:rPr>
          <w:rStyle w:val="FootnoteReference"/>
          <w:rFonts w:cs="Tahoma"/>
        </w:rPr>
        <w:footnoteReference w:id="73"/>
      </w:r>
      <w:r w:rsidRPr="00F0313F">
        <w:rPr>
          <w:rFonts w:cs="Tahoma"/>
        </w:rPr>
        <w:t xml:space="preserve"> Whilst Kershaw</w:t>
      </w:r>
      <w:r w:rsidRPr="00F0313F">
        <w:rPr>
          <w:rStyle w:val="FootnoteReference"/>
          <w:rFonts w:cs="Tahoma"/>
        </w:rPr>
        <w:footnoteReference w:id="74"/>
      </w:r>
      <w:r w:rsidRPr="00F0313F">
        <w:rPr>
          <w:rFonts w:cs="Tahoma"/>
        </w:rPr>
        <w:t xml:space="preserve"> believes Germany could have afforded the reparation payments, Keynes</w:t>
      </w:r>
      <w:r w:rsidRPr="00F0313F">
        <w:rPr>
          <w:rStyle w:val="FootnoteReference"/>
          <w:rFonts w:cs="Tahoma"/>
        </w:rPr>
        <w:footnoteReference w:id="75"/>
      </w:r>
      <w:r w:rsidRPr="00F0313F">
        <w:rPr>
          <w:rFonts w:cs="Tahoma"/>
        </w:rPr>
        <w:t xml:space="preserve"> emphasised the primary need was an economically stable Europe and was critical of the punitive approach adopted by the allies. Sharp, as does Kershaw</w:t>
      </w:r>
      <w:r w:rsidRPr="00F0313F">
        <w:rPr>
          <w:rStyle w:val="FootnoteReference"/>
          <w:rFonts w:cs="Tahoma"/>
        </w:rPr>
        <w:footnoteReference w:id="76"/>
      </w:r>
      <w:r w:rsidRPr="00F0313F">
        <w:rPr>
          <w:rFonts w:cs="Tahoma"/>
        </w:rPr>
        <w:t xml:space="preserve">, dismisses the notion that Germany was an accidental participant in the war and her settlement treatment unjustified but concludes that the harshness of the </w:t>
      </w:r>
      <w:r w:rsidR="007572F9" w:rsidRPr="00F0313F">
        <w:rPr>
          <w:rFonts w:cs="Tahoma"/>
        </w:rPr>
        <w:t xml:space="preserve">settlement </w:t>
      </w:r>
      <w:r w:rsidRPr="00F0313F">
        <w:rPr>
          <w:rFonts w:cs="Tahoma"/>
        </w:rPr>
        <w:t>contributed to resurgence of hostilities.</w:t>
      </w:r>
      <w:r w:rsidRPr="00F0313F">
        <w:rPr>
          <w:rStyle w:val="FootnoteReference"/>
          <w:rFonts w:cs="Tahoma"/>
        </w:rPr>
        <w:footnoteReference w:id="77"/>
      </w:r>
      <w:r w:rsidRPr="00F0313F">
        <w:rPr>
          <w:rFonts w:cs="Tahoma"/>
        </w:rPr>
        <w:t xml:space="preserve"> Davies view</w:t>
      </w:r>
      <w:r w:rsidR="007572F9" w:rsidRPr="00F0313F">
        <w:rPr>
          <w:rFonts w:cs="Tahoma"/>
        </w:rPr>
        <w:t>s</w:t>
      </w:r>
      <w:r w:rsidRPr="00F0313F">
        <w:rPr>
          <w:rFonts w:cs="Tahoma"/>
        </w:rPr>
        <w:t xml:space="preserve"> the peace-process as flowed from inception</w:t>
      </w:r>
      <w:r w:rsidRPr="00F0313F">
        <w:rPr>
          <w:rStyle w:val="FootnoteReference"/>
          <w:rFonts w:cs="Tahoma"/>
        </w:rPr>
        <w:footnoteReference w:id="78"/>
      </w:r>
      <w:r w:rsidRPr="00F0313F">
        <w:rPr>
          <w:rFonts w:cs="Tahoma"/>
        </w:rPr>
        <w:t xml:space="preserve"> </w:t>
      </w:r>
      <w:r w:rsidR="007572F9" w:rsidRPr="00F0313F">
        <w:rPr>
          <w:rFonts w:cs="Tahoma"/>
        </w:rPr>
        <w:t>and t</w:t>
      </w:r>
      <w:r w:rsidR="0037591C" w:rsidRPr="00F0313F">
        <w:rPr>
          <w:rFonts w:cs="Tahoma"/>
        </w:rPr>
        <w:t xml:space="preserve">he </w:t>
      </w:r>
      <w:r w:rsidR="0025352C" w:rsidRPr="00F0313F">
        <w:rPr>
          <w:rFonts w:cs="Tahoma"/>
        </w:rPr>
        <w:t xml:space="preserve">very limited enforcement powers of the </w:t>
      </w:r>
      <w:r w:rsidR="0046122F" w:rsidRPr="00F0313F">
        <w:rPr>
          <w:rFonts w:cs="Tahoma"/>
        </w:rPr>
        <w:t>League of Nations exacerbated the situation</w:t>
      </w:r>
      <w:r w:rsidR="0037591C" w:rsidRPr="00F0313F">
        <w:rPr>
          <w:rFonts w:cs="Tahoma"/>
        </w:rPr>
        <w:t>.</w:t>
      </w:r>
      <w:r w:rsidR="0037591C" w:rsidRPr="00F0313F">
        <w:rPr>
          <w:rStyle w:val="FootnoteReference"/>
          <w:rFonts w:cs="Tahoma"/>
        </w:rPr>
        <w:footnoteReference w:id="79"/>
      </w:r>
      <w:r w:rsidR="0037591C" w:rsidRPr="00F0313F">
        <w:rPr>
          <w:rFonts w:cs="Tahoma"/>
        </w:rPr>
        <w:t xml:space="preserve"> Sharp suggests that Britain </w:t>
      </w:r>
      <w:r w:rsidR="007572F9" w:rsidRPr="00F0313F">
        <w:rPr>
          <w:rFonts w:cs="Tahoma"/>
        </w:rPr>
        <w:t>had</w:t>
      </w:r>
      <w:r w:rsidR="0037591C" w:rsidRPr="00F0313F">
        <w:rPr>
          <w:rFonts w:cs="Tahoma"/>
        </w:rPr>
        <w:t xml:space="preserve"> difficulties reconciling </w:t>
      </w:r>
      <w:r w:rsidR="007572F9" w:rsidRPr="00F0313F">
        <w:rPr>
          <w:rFonts w:cs="Tahoma"/>
        </w:rPr>
        <w:t xml:space="preserve">her </w:t>
      </w:r>
      <w:r w:rsidR="00CA03B1" w:rsidRPr="00F0313F">
        <w:rPr>
          <w:rFonts w:cs="Tahoma"/>
        </w:rPr>
        <w:t xml:space="preserve">new </w:t>
      </w:r>
      <w:r w:rsidR="0037591C" w:rsidRPr="00F0313F">
        <w:rPr>
          <w:rFonts w:cs="Tahoma"/>
        </w:rPr>
        <w:t>relationship with European states in maintaining stability with her imperial history.</w:t>
      </w:r>
      <w:r w:rsidR="0037591C" w:rsidRPr="00F0313F">
        <w:rPr>
          <w:rStyle w:val="FootnoteReference"/>
          <w:rFonts w:cs="Tahoma"/>
        </w:rPr>
        <w:footnoteReference w:id="80"/>
      </w:r>
      <w:r w:rsidR="0037591C" w:rsidRPr="00F0313F">
        <w:rPr>
          <w:rFonts w:cs="Tahoma"/>
        </w:rPr>
        <w:t xml:space="preserve"> </w:t>
      </w:r>
      <w:r w:rsidRPr="00F0313F">
        <w:rPr>
          <w:rFonts w:cs="Tahoma"/>
        </w:rPr>
        <w:t>Russia’s absence from the peace talks and preoccupation with propagating its emerging ideology rather than the stability of the newly defined countries of Eastern Europe had, in time, a significant influence on British international relationships and alliances.</w:t>
      </w:r>
      <w:r w:rsidRPr="00F0313F">
        <w:rPr>
          <w:rStyle w:val="FootnoteReference"/>
          <w:rFonts w:cs="Tahoma"/>
        </w:rPr>
        <w:footnoteReference w:id="81"/>
      </w:r>
      <w:r w:rsidRPr="00F0313F">
        <w:rPr>
          <w:rFonts w:cs="Tahoma"/>
        </w:rPr>
        <w:t xml:space="preserve">  </w:t>
      </w:r>
    </w:p>
    <w:p w:rsidR="00F43E16" w:rsidRPr="00F0313F" w:rsidRDefault="00F14352" w:rsidP="00A4635F">
      <w:pPr>
        <w:rPr>
          <w:rFonts w:cs="Tahoma"/>
        </w:rPr>
      </w:pPr>
      <w:r w:rsidRPr="00F0313F">
        <w:rPr>
          <w:rFonts w:cs="Tahoma"/>
        </w:rPr>
        <w:t>T</w:t>
      </w:r>
      <w:r w:rsidR="002E178F" w:rsidRPr="00F0313F">
        <w:rPr>
          <w:rFonts w:cs="Tahoma"/>
        </w:rPr>
        <w:t xml:space="preserve">he war changed the attitudes and values of British society in both </w:t>
      </w:r>
      <w:r w:rsidRPr="00F0313F">
        <w:rPr>
          <w:rFonts w:cs="Tahoma"/>
        </w:rPr>
        <w:t>the short and long term. U</w:t>
      </w:r>
      <w:r w:rsidR="002E178F" w:rsidRPr="00F0313F">
        <w:rPr>
          <w:rFonts w:cs="Tahoma"/>
        </w:rPr>
        <w:t>nlike previous wars fought abroad by professional armies</w:t>
      </w:r>
      <w:r w:rsidRPr="00F0313F">
        <w:rPr>
          <w:rFonts w:cs="Tahoma"/>
        </w:rPr>
        <w:t>,</w:t>
      </w:r>
      <w:r w:rsidR="002E178F" w:rsidRPr="00F0313F">
        <w:rPr>
          <w:rStyle w:val="FootnoteReference"/>
          <w:rFonts w:cs="Tahoma"/>
        </w:rPr>
        <w:footnoteReference w:id="82"/>
      </w:r>
      <w:r w:rsidRPr="00F0313F">
        <w:rPr>
          <w:rFonts w:cs="Tahoma"/>
        </w:rPr>
        <w:t xml:space="preserve"> </w:t>
      </w:r>
      <w:r w:rsidR="002E178F" w:rsidRPr="00F0313F">
        <w:rPr>
          <w:rFonts w:cs="Tahoma"/>
        </w:rPr>
        <w:t xml:space="preserve">the First World War </w:t>
      </w:r>
      <w:r w:rsidRPr="00F0313F">
        <w:rPr>
          <w:rFonts w:cs="Tahoma"/>
        </w:rPr>
        <w:t xml:space="preserve">ushered in national conscription and the war </w:t>
      </w:r>
      <w:r w:rsidR="00A4635F" w:rsidRPr="00F0313F">
        <w:rPr>
          <w:rFonts w:cs="Tahoma"/>
        </w:rPr>
        <w:t>impacted the lives of</w:t>
      </w:r>
      <w:r w:rsidRPr="00F0313F">
        <w:rPr>
          <w:rFonts w:cs="Tahoma"/>
        </w:rPr>
        <w:t xml:space="preserve"> </w:t>
      </w:r>
      <w:r w:rsidR="002E178F" w:rsidRPr="00F0313F">
        <w:rPr>
          <w:rFonts w:cs="Tahoma"/>
        </w:rPr>
        <w:t xml:space="preserve">individuals, families and </w:t>
      </w:r>
      <w:r w:rsidRPr="00F0313F">
        <w:rPr>
          <w:rFonts w:cs="Tahoma"/>
        </w:rPr>
        <w:t xml:space="preserve">whole </w:t>
      </w:r>
      <w:r w:rsidR="002E178F" w:rsidRPr="00F0313F">
        <w:rPr>
          <w:rFonts w:cs="Tahoma"/>
        </w:rPr>
        <w:t>communities. Mosse captures the enduring nature of these effects in his broad definition of culture:</w:t>
      </w:r>
      <w:r w:rsidR="00F0313F">
        <w:rPr>
          <w:rFonts w:cs="Tahoma"/>
        </w:rPr>
        <w:t xml:space="preserve"> </w:t>
      </w:r>
      <w:r w:rsidR="002E178F" w:rsidRPr="00F0313F">
        <w:rPr>
          <w:rFonts w:cs="Tahoma"/>
          <w:i/>
        </w:rPr>
        <w:t>“a state or habit of mind which is apt to become a way of life intimately linked to the challenges and dilemmas of contemporary society”.</w:t>
      </w:r>
      <w:r w:rsidR="002E178F" w:rsidRPr="00F0313F">
        <w:rPr>
          <w:rStyle w:val="FootnoteReference"/>
          <w:rFonts w:cs="Tahoma"/>
          <w:i/>
        </w:rPr>
        <w:footnoteReference w:id="83"/>
      </w:r>
      <w:r w:rsidR="00F0313F">
        <w:rPr>
          <w:rFonts w:cs="Tahoma"/>
        </w:rPr>
        <w:t xml:space="preserve"> </w:t>
      </w:r>
      <w:r w:rsidR="00AE221C" w:rsidRPr="00F0313F">
        <w:rPr>
          <w:rFonts w:cs="Tahoma"/>
        </w:rPr>
        <w:t xml:space="preserve">As never before, soldiers </w:t>
      </w:r>
      <w:r w:rsidR="00A4635F" w:rsidRPr="00F0313F">
        <w:rPr>
          <w:rFonts w:cs="Tahoma"/>
        </w:rPr>
        <w:t xml:space="preserve">who for the first time were largely literate </w:t>
      </w:r>
      <w:r w:rsidR="00AE221C" w:rsidRPr="00F0313F">
        <w:rPr>
          <w:rFonts w:cs="Tahoma"/>
        </w:rPr>
        <w:t>documented their personal histories and war poets</w:t>
      </w:r>
      <w:r w:rsidR="009640FF" w:rsidRPr="00F0313F">
        <w:rPr>
          <w:rStyle w:val="FootnoteReference"/>
          <w:rFonts w:cs="Tahoma"/>
        </w:rPr>
        <w:footnoteReference w:id="84"/>
      </w:r>
      <w:r w:rsidR="00AE221C" w:rsidRPr="00F0313F">
        <w:rPr>
          <w:rFonts w:cs="Tahoma"/>
        </w:rPr>
        <w:t xml:space="preserve"> and artists</w:t>
      </w:r>
      <w:r w:rsidR="009640FF" w:rsidRPr="00F0313F">
        <w:rPr>
          <w:rStyle w:val="FootnoteReference"/>
          <w:rFonts w:cs="Tahoma"/>
        </w:rPr>
        <w:footnoteReference w:id="85"/>
      </w:r>
      <w:r w:rsidR="00AE221C" w:rsidRPr="00F0313F">
        <w:rPr>
          <w:rFonts w:cs="Tahoma"/>
        </w:rPr>
        <w:t xml:space="preserve"> captured the horrors of the trenches. This </w:t>
      </w:r>
      <w:r w:rsidR="002E178F" w:rsidRPr="00F0313F">
        <w:rPr>
          <w:rFonts w:cs="Tahoma"/>
        </w:rPr>
        <w:t xml:space="preserve">left a lasting and still pertinent cultural legacy in the form of </w:t>
      </w:r>
      <w:r w:rsidR="00AE221C" w:rsidRPr="00F0313F">
        <w:rPr>
          <w:rFonts w:cs="Tahoma"/>
        </w:rPr>
        <w:t xml:space="preserve">letters, literature, </w:t>
      </w:r>
      <w:r w:rsidR="002E178F" w:rsidRPr="00F0313F">
        <w:rPr>
          <w:rFonts w:cs="Tahoma"/>
        </w:rPr>
        <w:t xml:space="preserve">photographic and cinematographic records which </w:t>
      </w:r>
      <w:r w:rsidR="00AE221C" w:rsidRPr="00F0313F">
        <w:rPr>
          <w:rFonts w:cs="Tahoma"/>
        </w:rPr>
        <w:t>disseminated and immortalised</w:t>
      </w:r>
      <w:r w:rsidR="002E178F" w:rsidRPr="00F0313F">
        <w:rPr>
          <w:rFonts w:cs="Tahoma"/>
        </w:rPr>
        <w:t xml:space="preserve"> the a</w:t>
      </w:r>
      <w:r w:rsidR="00AE221C" w:rsidRPr="00F0313F">
        <w:rPr>
          <w:rFonts w:cs="Tahoma"/>
        </w:rPr>
        <w:t>ttitudes and opinions of combatants and civilians</w:t>
      </w:r>
      <w:r w:rsidR="002E178F" w:rsidRPr="00F0313F">
        <w:rPr>
          <w:rFonts w:cs="Tahoma"/>
        </w:rPr>
        <w:t>.</w:t>
      </w:r>
      <w:r w:rsidR="002E178F" w:rsidRPr="00F0313F">
        <w:rPr>
          <w:rStyle w:val="FootnoteReference"/>
          <w:rFonts w:cs="Tahoma"/>
        </w:rPr>
        <w:footnoteReference w:id="86"/>
      </w:r>
      <w:r w:rsidR="002E178F" w:rsidRPr="00F0313F">
        <w:rPr>
          <w:rFonts w:cs="Tahoma"/>
        </w:rPr>
        <w:t xml:space="preserve"> </w:t>
      </w:r>
      <w:r w:rsidR="00AE221C" w:rsidRPr="00F0313F">
        <w:rPr>
          <w:rFonts w:cs="Tahoma"/>
        </w:rPr>
        <w:t xml:space="preserve">For morale and propaganda, the Government encouraged writers and artists to celebrate British tradition </w:t>
      </w:r>
      <w:r w:rsidR="009640FF" w:rsidRPr="00F0313F">
        <w:rPr>
          <w:rFonts w:cs="Tahoma"/>
        </w:rPr>
        <w:t>and challenge modernist attitudes particularly prevalent in central Europe</w:t>
      </w:r>
      <w:r w:rsidR="002E178F" w:rsidRPr="00F0313F">
        <w:rPr>
          <w:rFonts w:cs="Tahoma"/>
        </w:rPr>
        <w:t>.</w:t>
      </w:r>
      <w:r w:rsidR="002E178F" w:rsidRPr="00F0313F">
        <w:rPr>
          <w:rStyle w:val="FootnoteReference"/>
          <w:rFonts w:cs="Tahoma"/>
        </w:rPr>
        <w:footnoteReference w:id="87"/>
      </w:r>
      <w:r w:rsidR="002E178F" w:rsidRPr="00F0313F">
        <w:rPr>
          <w:rFonts w:cs="Tahoma"/>
        </w:rPr>
        <w:t xml:space="preserve"> </w:t>
      </w:r>
      <w:r w:rsidR="009640FF" w:rsidRPr="00F0313F">
        <w:rPr>
          <w:rFonts w:cs="Tahoma"/>
        </w:rPr>
        <w:t>But as personal experiences</w:t>
      </w:r>
      <w:r w:rsidR="002E178F" w:rsidRPr="00F0313F">
        <w:rPr>
          <w:rFonts w:cs="Tahoma"/>
        </w:rPr>
        <w:t xml:space="preserve"> of the war and rhetoric of propaganda diverged</w:t>
      </w:r>
      <w:r w:rsidR="009640FF" w:rsidRPr="00F0313F">
        <w:rPr>
          <w:rFonts w:cs="Tahoma"/>
        </w:rPr>
        <w:t xml:space="preserve">, artistic output increasingly reflected the horrors, disillusionment </w:t>
      </w:r>
      <w:r w:rsidR="001B44AA" w:rsidRPr="00F0313F">
        <w:rPr>
          <w:rFonts w:cs="Tahoma"/>
        </w:rPr>
        <w:t xml:space="preserve">with </w:t>
      </w:r>
      <w:r w:rsidR="009640FF" w:rsidRPr="00F0313F">
        <w:rPr>
          <w:rFonts w:cs="Tahoma"/>
        </w:rPr>
        <w:t>and futility</w:t>
      </w:r>
      <w:r w:rsidR="00136BFC" w:rsidRPr="00F0313F">
        <w:rPr>
          <w:rFonts w:cs="Tahoma"/>
        </w:rPr>
        <w:t xml:space="preserve"> of</w:t>
      </w:r>
      <w:r w:rsidR="001B44AA" w:rsidRPr="00F0313F">
        <w:rPr>
          <w:rFonts w:cs="Tahoma"/>
        </w:rPr>
        <w:t xml:space="preserve"> war</w:t>
      </w:r>
      <w:r w:rsidR="002E178F" w:rsidRPr="00F0313F">
        <w:rPr>
          <w:rStyle w:val="FootnoteReference"/>
          <w:rFonts w:cs="Tahoma"/>
        </w:rPr>
        <w:footnoteReference w:id="88"/>
      </w:r>
      <w:r w:rsidR="002E178F" w:rsidRPr="00F0313F">
        <w:rPr>
          <w:rFonts w:cs="Tahoma"/>
        </w:rPr>
        <w:t xml:space="preserve"> </w:t>
      </w:r>
      <w:r w:rsidR="001B44AA" w:rsidRPr="00F0313F">
        <w:rPr>
          <w:rFonts w:cs="Tahoma"/>
        </w:rPr>
        <w:t>and this became</w:t>
      </w:r>
      <w:r w:rsidR="002E178F" w:rsidRPr="00F0313F">
        <w:rPr>
          <w:rFonts w:cs="Tahoma"/>
        </w:rPr>
        <w:t xml:space="preserve"> deeply engraved on the British psyche</w:t>
      </w:r>
      <w:r w:rsidR="001B44AA" w:rsidRPr="00F0313F">
        <w:rPr>
          <w:rFonts w:cs="Tahoma"/>
        </w:rPr>
        <w:t xml:space="preserve">. </w:t>
      </w:r>
      <w:r w:rsidR="002E178F" w:rsidRPr="00F0313F">
        <w:rPr>
          <w:rFonts w:cs="Tahoma"/>
        </w:rPr>
        <w:t xml:space="preserve">Artists </w:t>
      </w:r>
      <w:r w:rsidR="001B44AA" w:rsidRPr="00F0313F">
        <w:rPr>
          <w:rFonts w:cs="Tahoma"/>
        </w:rPr>
        <w:t xml:space="preserve">used modernism to </w:t>
      </w:r>
      <w:r w:rsidR="002E178F" w:rsidRPr="00F0313F">
        <w:rPr>
          <w:rFonts w:cs="Tahoma"/>
        </w:rPr>
        <w:t xml:space="preserve">record bravery </w:t>
      </w:r>
      <w:r w:rsidR="002E178F" w:rsidRPr="00F0313F">
        <w:rPr>
          <w:rFonts w:cs="Tahoma"/>
        </w:rPr>
        <w:lastRenderedPageBreak/>
        <w:t>and commitment alongside destruction and desolation</w:t>
      </w:r>
      <w:r w:rsidR="001B44AA" w:rsidRPr="00F0313F">
        <w:rPr>
          <w:rFonts w:cs="Tahoma"/>
        </w:rPr>
        <w:t>,</w:t>
      </w:r>
      <w:r w:rsidR="002E178F" w:rsidRPr="00F0313F">
        <w:rPr>
          <w:rFonts w:cs="Tahoma"/>
        </w:rPr>
        <w:t xml:space="preserve"> </w:t>
      </w:r>
      <w:r w:rsidR="001B44AA" w:rsidRPr="00F0313F">
        <w:rPr>
          <w:rFonts w:cs="Tahoma"/>
        </w:rPr>
        <w:t xml:space="preserve">which </w:t>
      </w:r>
      <w:r w:rsidR="00136BFC" w:rsidRPr="00F0313F">
        <w:rPr>
          <w:rFonts w:cs="Tahoma"/>
        </w:rPr>
        <w:t xml:space="preserve">also </w:t>
      </w:r>
      <w:r w:rsidR="001B44AA" w:rsidRPr="00F0313F">
        <w:rPr>
          <w:rFonts w:cs="Tahoma"/>
        </w:rPr>
        <w:t>produced a distinct</w:t>
      </w:r>
      <w:r w:rsidR="002E178F" w:rsidRPr="00F0313F">
        <w:rPr>
          <w:rFonts w:cs="Tahoma"/>
        </w:rPr>
        <w:t xml:space="preserve"> discontinuity </w:t>
      </w:r>
      <w:r w:rsidR="001B44AA" w:rsidRPr="00F0313F">
        <w:rPr>
          <w:rFonts w:cs="Tahoma"/>
        </w:rPr>
        <w:t>in war and post-war art</w:t>
      </w:r>
      <w:r w:rsidR="002E178F" w:rsidRPr="00F0313F">
        <w:rPr>
          <w:rFonts w:cs="Tahoma"/>
        </w:rPr>
        <w:t>.</w:t>
      </w:r>
      <w:r w:rsidR="002E178F" w:rsidRPr="00F0313F">
        <w:rPr>
          <w:rStyle w:val="FootnoteReference"/>
          <w:rFonts w:cs="Tahoma"/>
        </w:rPr>
        <w:footnoteReference w:id="89"/>
      </w:r>
      <w:r w:rsidR="002E178F" w:rsidRPr="00F0313F">
        <w:rPr>
          <w:rFonts w:cs="Tahoma"/>
        </w:rPr>
        <w:t xml:space="preserve"> </w:t>
      </w:r>
    </w:p>
    <w:p w:rsidR="00136BFC" w:rsidRPr="00F0313F" w:rsidRDefault="00F43E16" w:rsidP="00A4635F">
      <w:pPr>
        <w:rPr>
          <w:rFonts w:cs="Tahoma"/>
        </w:rPr>
      </w:pPr>
      <w:r w:rsidRPr="00F0313F">
        <w:rPr>
          <w:rFonts w:cs="Tahoma"/>
        </w:rPr>
        <w:t>The war was ever-present in society in the 1920s and 1930s, in the form of a generation of widows and orphans and the presence of the maimed or blind ex-servicemen reduced to begging or selling matches in the street because of inadequate government pensions.</w:t>
      </w:r>
      <w:r w:rsidRPr="00F0313F">
        <w:rPr>
          <w:rStyle w:val="FootnoteReference"/>
          <w:rFonts w:cs="Tahoma"/>
        </w:rPr>
        <w:footnoteReference w:id="90"/>
      </w:r>
      <w:r w:rsidRPr="00F0313F">
        <w:rPr>
          <w:rFonts w:cs="Tahoma"/>
        </w:rPr>
        <w:t xml:space="preserve"> </w:t>
      </w:r>
      <w:r w:rsidR="001B44AA" w:rsidRPr="00F0313F">
        <w:rPr>
          <w:rFonts w:cs="Tahoma"/>
        </w:rPr>
        <w:t>Whilst it is true that not all people’s war experiences were uniform,</w:t>
      </w:r>
      <w:r w:rsidR="002E178F" w:rsidRPr="00F0313F">
        <w:rPr>
          <w:rStyle w:val="FootnoteReference"/>
          <w:rFonts w:cs="Tahoma"/>
        </w:rPr>
        <w:footnoteReference w:id="91"/>
      </w:r>
      <w:r w:rsidR="002E178F" w:rsidRPr="00F0313F">
        <w:rPr>
          <w:rFonts w:cs="Tahoma"/>
        </w:rPr>
        <w:t xml:space="preserve"> </w:t>
      </w:r>
      <w:r w:rsidR="001B44AA" w:rsidRPr="00F0313F">
        <w:rPr>
          <w:rFonts w:cs="Tahoma"/>
        </w:rPr>
        <w:t xml:space="preserve">the all-pervading sense of national loss and its psychological impact created a need for ongoing acts of remembrance </w:t>
      </w:r>
      <w:r w:rsidR="002E178F" w:rsidRPr="00F0313F">
        <w:rPr>
          <w:rFonts w:cs="Tahoma"/>
        </w:rPr>
        <w:t xml:space="preserve">which are </w:t>
      </w:r>
      <w:r w:rsidR="001B44AA" w:rsidRPr="00F0313F">
        <w:rPr>
          <w:rFonts w:cs="Tahoma"/>
        </w:rPr>
        <w:t xml:space="preserve">still </w:t>
      </w:r>
      <w:r w:rsidR="002E178F" w:rsidRPr="00F0313F">
        <w:rPr>
          <w:rFonts w:cs="Tahoma"/>
        </w:rPr>
        <w:t>part of British culture</w:t>
      </w:r>
      <w:r w:rsidR="00136BFC" w:rsidRPr="00F0313F">
        <w:rPr>
          <w:rFonts w:cs="Tahoma"/>
        </w:rPr>
        <w:t>,</w:t>
      </w:r>
      <w:r w:rsidR="002E178F" w:rsidRPr="00F0313F">
        <w:rPr>
          <w:rStyle w:val="FootnoteReference"/>
          <w:rFonts w:cs="Tahoma"/>
        </w:rPr>
        <w:footnoteReference w:id="92"/>
      </w:r>
      <w:r w:rsidR="00136BFC" w:rsidRPr="00F0313F">
        <w:rPr>
          <w:rFonts w:cs="Tahoma"/>
        </w:rPr>
        <w:t xml:space="preserve"> </w:t>
      </w:r>
      <w:r w:rsidR="00BC125E">
        <w:rPr>
          <w:rFonts w:cs="Tahoma"/>
        </w:rPr>
        <w:t xml:space="preserve">in what Paul </w:t>
      </w:r>
      <w:proofErr w:type="spellStart"/>
      <w:r w:rsidR="00BC125E">
        <w:rPr>
          <w:rFonts w:cs="Tahoma"/>
        </w:rPr>
        <w:t>Fussell</w:t>
      </w:r>
      <w:proofErr w:type="spellEnd"/>
      <w:r w:rsidR="00BC125E">
        <w:rPr>
          <w:rFonts w:cs="Tahoma"/>
        </w:rPr>
        <w:t xml:space="preserve"> terms the </w:t>
      </w:r>
      <w:r w:rsidR="00BC125E" w:rsidRPr="00BC125E">
        <w:rPr>
          <w:rFonts w:cs="Tahoma"/>
          <w:i/>
        </w:rPr>
        <w:t>ritual of military memory</w:t>
      </w:r>
      <w:r w:rsidR="00136BFC" w:rsidRPr="00F0313F">
        <w:rPr>
          <w:rStyle w:val="FootnoteReference"/>
          <w:rFonts w:cs="Tahoma"/>
        </w:rPr>
        <w:footnoteReference w:id="93"/>
      </w:r>
      <w:r w:rsidR="00136BFC" w:rsidRPr="00F0313F">
        <w:rPr>
          <w:rFonts w:cs="Tahoma"/>
        </w:rPr>
        <w:t>:</w:t>
      </w:r>
      <w:r w:rsidR="00BC125E">
        <w:rPr>
          <w:rFonts w:cs="Tahoma"/>
        </w:rPr>
        <w:t xml:space="preserve"> </w:t>
      </w:r>
      <w:r w:rsidR="00136BFC" w:rsidRPr="00F0313F">
        <w:rPr>
          <w:rFonts w:cs="Tahoma"/>
          <w:i/>
        </w:rPr>
        <w:t>To sense the British obsession with the Great War, all that is necessary is to stand at the Cenotaph on any Remembrance Sunday.</w:t>
      </w:r>
      <w:r w:rsidR="00136BFC" w:rsidRPr="00F0313F">
        <w:rPr>
          <w:rStyle w:val="FootnoteReference"/>
          <w:rFonts w:cs="Tahoma"/>
        </w:rPr>
        <w:footnoteReference w:id="94"/>
      </w:r>
      <w:r w:rsidR="00D3520F" w:rsidRPr="00F0313F">
        <w:rPr>
          <w:rFonts w:cs="Tahoma"/>
        </w:rPr>
        <w:t xml:space="preserve"> </w:t>
      </w:r>
      <w:proofErr w:type="spellStart"/>
      <w:r w:rsidR="00D3520F" w:rsidRPr="00F0313F">
        <w:rPr>
          <w:rFonts w:cs="Tahoma"/>
        </w:rPr>
        <w:t>Lutyen’s</w:t>
      </w:r>
      <w:proofErr w:type="spellEnd"/>
      <w:r w:rsidR="00D3520F" w:rsidRPr="00F0313F">
        <w:rPr>
          <w:rFonts w:cs="Tahoma"/>
        </w:rPr>
        <w:t xml:space="preserve"> design of the simple, almost brutal, concrete Cenotaph encapsulates the grief and the public response to the war standing</w:t>
      </w:r>
      <w:r w:rsidR="00D3520F" w:rsidRPr="00F0313F">
        <w:rPr>
          <w:rFonts w:cs="Tahoma"/>
          <w:i/>
        </w:rPr>
        <w:t xml:space="preserve"> like a reproach on an axis that crossed from the Prime Minister’s residence to the War Office</w:t>
      </w:r>
      <w:r w:rsidR="00D3520F" w:rsidRPr="00F0313F">
        <w:rPr>
          <w:rFonts w:cs="Tahoma"/>
        </w:rPr>
        <w:t>.</w:t>
      </w:r>
      <w:r w:rsidR="00D3520F" w:rsidRPr="00F0313F">
        <w:rPr>
          <w:rStyle w:val="FootnoteReference"/>
          <w:rFonts w:cs="Tahoma"/>
        </w:rPr>
        <w:footnoteReference w:id="95"/>
      </w:r>
      <w:r w:rsidR="00D3520F" w:rsidRPr="00F0313F">
        <w:rPr>
          <w:rFonts w:cs="Tahoma"/>
        </w:rPr>
        <w:t xml:space="preserve"> </w:t>
      </w:r>
    </w:p>
    <w:p w:rsidR="00A4635F" w:rsidRPr="00F0313F" w:rsidRDefault="00136BFC" w:rsidP="00A4635F">
      <w:pPr>
        <w:rPr>
          <w:rFonts w:cs="Tahoma"/>
        </w:rPr>
      </w:pPr>
      <w:r w:rsidRPr="00F0313F">
        <w:rPr>
          <w:rFonts w:cs="Tahoma"/>
        </w:rPr>
        <w:t xml:space="preserve">Wartime governments used </w:t>
      </w:r>
      <w:r w:rsidR="002E178F" w:rsidRPr="00F0313F">
        <w:rPr>
          <w:rFonts w:cs="Tahoma"/>
        </w:rPr>
        <w:t>popular culture for propaganda purposes</w:t>
      </w:r>
      <w:r w:rsidR="002E178F" w:rsidRPr="00F0313F">
        <w:rPr>
          <w:rStyle w:val="FootnoteReference"/>
          <w:rFonts w:cs="Tahoma"/>
        </w:rPr>
        <w:footnoteReference w:id="96"/>
      </w:r>
      <w:r w:rsidR="002E178F" w:rsidRPr="00F0313F">
        <w:rPr>
          <w:rFonts w:cs="Tahoma"/>
        </w:rPr>
        <w:t xml:space="preserve"> </w:t>
      </w:r>
      <w:r w:rsidRPr="00F0313F">
        <w:rPr>
          <w:rFonts w:cs="Tahoma"/>
        </w:rPr>
        <w:t xml:space="preserve">and </w:t>
      </w:r>
      <w:r w:rsidR="002E178F" w:rsidRPr="00F0313F">
        <w:rPr>
          <w:rFonts w:cs="Tahoma"/>
        </w:rPr>
        <w:t xml:space="preserve">the outbreak of war coincided with developments </w:t>
      </w:r>
      <w:r w:rsidR="00D8573E" w:rsidRPr="00F0313F">
        <w:rPr>
          <w:rFonts w:cs="Tahoma"/>
        </w:rPr>
        <w:t>that</w:t>
      </w:r>
      <w:r w:rsidR="002E178F" w:rsidRPr="00F0313F">
        <w:rPr>
          <w:rFonts w:cs="Tahoma"/>
        </w:rPr>
        <w:t xml:space="preserve"> facilitated mass communication</w:t>
      </w:r>
      <w:r w:rsidR="00D8573E" w:rsidRPr="00F0313F">
        <w:rPr>
          <w:rFonts w:cs="Tahoma"/>
        </w:rPr>
        <w:t>:</w:t>
      </w:r>
      <w:r w:rsidR="002E178F" w:rsidRPr="00F0313F">
        <w:rPr>
          <w:rFonts w:cs="Tahoma"/>
        </w:rPr>
        <w:t xml:space="preserve"> </w:t>
      </w:r>
      <w:r w:rsidR="00D8573E" w:rsidRPr="00F0313F">
        <w:rPr>
          <w:rFonts w:cs="Tahoma"/>
        </w:rPr>
        <w:t xml:space="preserve">the </w:t>
      </w:r>
      <w:r w:rsidR="002E178F" w:rsidRPr="00F0313F">
        <w:rPr>
          <w:rFonts w:cs="Tahoma"/>
        </w:rPr>
        <w:t>increasing circulation and influence of the popular press and the rapid expansion of cinemas.</w:t>
      </w:r>
      <w:r w:rsidR="002E178F" w:rsidRPr="00F0313F">
        <w:rPr>
          <w:rStyle w:val="FootnoteReference"/>
          <w:rFonts w:cs="Tahoma"/>
        </w:rPr>
        <w:footnoteReference w:id="97"/>
      </w:r>
      <w:r w:rsidR="002E178F" w:rsidRPr="00F0313F">
        <w:rPr>
          <w:rFonts w:cs="Tahoma"/>
        </w:rPr>
        <w:t xml:space="preserve"> Propaganda was </w:t>
      </w:r>
      <w:r w:rsidR="00D8573E" w:rsidRPr="00F0313F">
        <w:rPr>
          <w:rFonts w:cs="Tahoma"/>
        </w:rPr>
        <w:t xml:space="preserve">generated by jingoistic press zealots as well as government via </w:t>
      </w:r>
      <w:r w:rsidR="002E178F" w:rsidRPr="00F0313F">
        <w:rPr>
          <w:rFonts w:cs="Tahoma"/>
        </w:rPr>
        <w:t>the creation of the Department of Information</w:t>
      </w:r>
      <w:r w:rsidR="00D8573E" w:rsidRPr="00F0313F">
        <w:rPr>
          <w:rFonts w:cs="Tahoma"/>
        </w:rPr>
        <w:t xml:space="preserve"> which</w:t>
      </w:r>
      <w:r w:rsidR="002E178F" w:rsidRPr="00F0313F">
        <w:rPr>
          <w:rFonts w:cs="Tahoma"/>
        </w:rPr>
        <w:t xml:space="preserve"> brought a new level of focused professionalism to the process of influencing mass opinion.</w:t>
      </w:r>
      <w:r w:rsidR="002E178F" w:rsidRPr="00F0313F">
        <w:rPr>
          <w:rStyle w:val="FootnoteReference"/>
          <w:rFonts w:cs="Tahoma"/>
        </w:rPr>
        <w:footnoteReference w:id="98"/>
      </w:r>
      <w:r w:rsidR="002E178F" w:rsidRPr="00F0313F">
        <w:rPr>
          <w:rFonts w:cs="Tahoma"/>
        </w:rPr>
        <w:t xml:space="preserve"> </w:t>
      </w:r>
      <w:r w:rsidR="00D8573E" w:rsidRPr="00F0313F">
        <w:rPr>
          <w:rFonts w:cs="Tahoma"/>
        </w:rPr>
        <w:t xml:space="preserve">However, </w:t>
      </w:r>
      <w:r w:rsidR="00DC324F" w:rsidRPr="00F0313F">
        <w:rPr>
          <w:rFonts w:cs="Tahoma"/>
        </w:rPr>
        <w:t>the</w:t>
      </w:r>
      <w:r w:rsidR="00D8573E" w:rsidRPr="00F0313F">
        <w:rPr>
          <w:rFonts w:cs="Tahoma"/>
        </w:rPr>
        <w:t xml:space="preserve"> lurid descriptions of </w:t>
      </w:r>
      <w:r w:rsidR="00DC324F" w:rsidRPr="00F0313F">
        <w:rPr>
          <w:rFonts w:cs="Tahoma"/>
        </w:rPr>
        <w:t xml:space="preserve">German </w:t>
      </w:r>
      <w:r w:rsidR="00D8573E" w:rsidRPr="00F0313F">
        <w:rPr>
          <w:rFonts w:cs="Tahoma"/>
        </w:rPr>
        <w:t>“corpse-conversion factories</w:t>
      </w:r>
      <w:r w:rsidR="00DC324F" w:rsidRPr="00F0313F">
        <w:rPr>
          <w:rFonts w:cs="Tahoma"/>
        </w:rPr>
        <w:t xml:space="preserve">” published in </w:t>
      </w:r>
      <w:r w:rsidR="00DC324F" w:rsidRPr="00F0313F">
        <w:rPr>
          <w:rFonts w:cs="Tahoma"/>
          <w:i/>
        </w:rPr>
        <w:t>The Times</w:t>
      </w:r>
      <w:r w:rsidR="00DC324F" w:rsidRPr="00F0313F">
        <w:rPr>
          <w:rFonts w:cs="Tahoma"/>
        </w:rPr>
        <w:t xml:space="preserve">, </w:t>
      </w:r>
      <w:r w:rsidR="00DC324F" w:rsidRPr="00F0313F">
        <w:rPr>
          <w:rFonts w:cs="Tahoma"/>
          <w:i/>
        </w:rPr>
        <w:t>The Daily Mail</w:t>
      </w:r>
      <w:r w:rsidR="00DC324F" w:rsidRPr="00F0313F">
        <w:rPr>
          <w:rFonts w:cs="Tahoma"/>
        </w:rPr>
        <w:t xml:space="preserve"> </w:t>
      </w:r>
      <w:r w:rsidR="00DC324F" w:rsidRPr="00F0313F">
        <w:rPr>
          <w:rStyle w:val="FootnoteReference"/>
          <w:rFonts w:cs="Tahoma"/>
        </w:rPr>
        <w:footnoteReference w:id="99"/>
      </w:r>
      <w:r w:rsidR="00DC324F" w:rsidRPr="00F0313F">
        <w:rPr>
          <w:rFonts w:cs="Tahoma"/>
        </w:rPr>
        <w:t xml:space="preserve"> and anonymous pamphlets produced </w:t>
      </w:r>
      <w:r w:rsidR="00CC65FD">
        <w:rPr>
          <w:rFonts w:cs="Tahoma"/>
        </w:rPr>
        <w:t xml:space="preserve">such </w:t>
      </w:r>
      <w:r w:rsidR="00DC324F" w:rsidRPr="00F0313F">
        <w:rPr>
          <w:rFonts w:cs="Tahoma"/>
        </w:rPr>
        <w:t xml:space="preserve">a parliamentary and public backlash </w:t>
      </w:r>
      <w:r w:rsidR="00E54C92" w:rsidRPr="00F0313F">
        <w:rPr>
          <w:rFonts w:cs="Tahoma"/>
        </w:rPr>
        <w:t>that,</w:t>
      </w:r>
      <w:r w:rsidR="00DC324F" w:rsidRPr="00F0313F">
        <w:rPr>
          <w:rFonts w:cs="Tahoma"/>
        </w:rPr>
        <w:t xml:space="preserve"> years later</w:t>
      </w:r>
      <w:r w:rsidR="00E54C92" w:rsidRPr="00F0313F">
        <w:rPr>
          <w:rFonts w:cs="Tahoma"/>
        </w:rPr>
        <w:t>,</w:t>
      </w:r>
      <w:r w:rsidR="00CC65FD">
        <w:rPr>
          <w:rFonts w:cs="Tahoma"/>
        </w:rPr>
        <w:t xml:space="preserve"> Fleet Street was reluctant</w:t>
      </w:r>
      <w:r w:rsidR="00DC324F" w:rsidRPr="00F0313F">
        <w:rPr>
          <w:rFonts w:cs="Tahoma"/>
        </w:rPr>
        <w:t xml:space="preserve"> to publish concerns about Nazi atrocities.</w:t>
      </w:r>
      <w:r w:rsidR="00DC324F" w:rsidRPr="00F0313F">
        <w:rPr>
          <w:rStyle w:val="FootnoteReference"/>
          <w:rFonts w:cs="Tahoma"/>
        </w:rPr>
        <w:footnoteReference w:id="100"/>
      </w:r>
      <w:r w:rsidR="00DC324F" w:rsidRPr="00F0313F">
        <w:rPr>
          <w:rFonts w:cs="Tahoma"/>
        </w:rPr>
        <w:t xml:space="preserve">  Thus the war </w:t>
      </w:r>
      <w:r w:rsidR="00A86CB8" w:rsidRPr="00F0313F">
        <w:rPr>
          <w:rFonts w:cs="Tahoma"/>
        </w:rPr>
        <w:t>produced</w:t>
      </w:r>
      <w:r w:rsidR="00DC324F" w:rsidRPr="00F0313F">
        <w:rPr>
          <w:rFonts w:cs="Tahoma"/>
        </w:rPr>
        <w:t xml:space="preserve"> a British society that </w:t>
      </w:r>
      <w:r w:rsidR="00E54C92" w:rsidRPr="00F0313F">
        <w:rPr>
          <w:rFonts w:cs="Tahoma"/>
        </w:rPr>
        <w:t xml:space="preserve">was </w:t>
      </w:r>
      <w:r w:rsidR="00CC65FD">
        <w:rPr>
          <w:rFonts w:cs="Tahoma"/>
        </w:rPr>
        <w:t xml:space="preserve">culturally </w:t>
      </w:r>
      <w:r w:rsidR="00E54C92" w:rsidRPr="00F0313F">
        <w:rPr>
          <w:rFonts w:cs="Tahoma"/>
        </w:rPr>
        <w:t xml:space="preserve">more accustomed to the horrors </w:t>
      </w:r>
      <w:r w:rsidR="00CC65FD">
        <w:rPr>
          <w:rFonts w:cs="Tahoma"/>
        </w:rPr>
        <w:t>of war rather than the heroism the establishment wanted to project</w:t>
      </w:r>
      <w:r w:rsidR="00BC125E">
        <w:rPr>
          <w:rFonts w:cs="Tahoma"/>
        </w:rPr>
        <w:t xml:space="preserve">; </w:t>
      </w:r>
      <w:r w:rsidR="00E54C92" w:rsidRPr="00F0313F">
        <w:rPr>
          <w:rFonts w:cs="Tahoma"/>
        </w:rPr>
        <w:t xml:space="preserve"> </w:t>
      </w:r>
      <w:r w:rsidR="00BC125E">
        <w:rPr>
          <w:rFonts w:cs="Tahoma"/>
        </w:rPr>
        <w:t>society</w:t>
      </w:r>
      <w:r w:rsidR="003C07B9">
        <w:rPr>
          <w:rFonts w:cs="Tahoma"/>
        </w:rPr>
        <w:t xml:space="preserve"> was also </w:t>
      </w:r>
      <w:r w:rsidR="00E54C92" w:rsidRPr="00F0313F">
        <w:rPr>
          <w:rFonts w:cs="Tahoma"/>
        </w:rPr>
        <w:t>more critical and sceptic</w:t>
      </w:r>
      <w:r w:rsidR="00A86CB8" w:rsidRPr="00F0313F">
        <w:rPr>
          <w:rFonts w:cs="Tahoma"/>
        </w:rPr>
        <w:t>al</w:t>
      </w:r>
      <w:r w:rsidR="00E54C92" w:rsidRPr="00F0313F">
        <w:rPr>
          <w:rFonts w:cs="Tahoma"/>
        </w:rPr>
        <w:t xml:space="preserve"> of its institutions and </w:t>
      </w:r>
      <w:r w:rsidR="002D4291" w:rsidRPr="00F0313F">
        <w:rPr>
          <w:rFonts w:cs="Tahoma"/>
        </w:rPr>
        <w:t xml:space="preserve">the </w:t>
      </w:r>
      <w:r w:rsidR="00E54C92" w:rsidRPr="00F0313F">
        <w:rPr>
          <w:rFonts w:cs="Tahoma"/>
        </w:rPr>
        <w:t>establishment and</w:t>
      </w:r>
      <w:r w:rsidR="00A86CB8" w:rsidRPr="00F0313F">
        <w:rPr>
          <w:rFonts w:cs="Tahoma"/>
        </w:rPr>
        <w:t>, for some,</w:t>
      </w:r>
      <w:r w:rsidR="00E54C92" w:rsidRPr="00F0313F">
        <w:rPr>
          <w:rFonts w:cs="Tahoma"/>
        </w:rPr>
        <w:t xml:space="preserve"> </w:t>
      </w:r>
      <w:r w:rsidR="00A86CB8" w:rsidRPr="00F0313F">
        <w:rPr>
          <w:rFonts w:cs="Tahoma"/>
        </w:rPr>
        <w:t xml:space="preserve">more </w:t>
      </w:r>
      <w:r w:rsidR="00E54C92" w:rsidRPr="00F0313F">
        <w:rPr>
          <w:rFonts w:cs="Tahoma"/>
        </w:rPr>
        <w:t>suspicious of the press.</w:t>
      </w:r>
      <w:r w:rsidR="00A4635F" w:rsidRPr="00F0313F">
        <w:rPr>
          <w:rStyle w:val="FootnoteReference"/>
          <w:rFonts w:cs="Tahoma"/>
        </w:rPr>
        <w:footnoteReference w:id="101"/>
      </w:r>
      <w:r w:rsidR="0046122F" w:rsidRPr="00F0313F">
        <w:rPr>
          <w:rFonts w:cs="Tahoma"/>
        </w:rPr>
        <w:t xml:space="preserve"> </w:t>
      </w:r>
    </w:p>
    <w:p w:rsidR="00D3520F" w:rsidRPr="00F0313F" w:rsidRDefault="00D3520F" w:rsidP="00D3520F">
      <w:pPr>
        <w:rPr>
          <w:rFonts w:cs="Tahoma"/>
        </w:rPr>
      </w:pPr>
      <w:r w:rsidRPr="00F0313F">
        <w:rPr>
          <w:rFonts w:cs="Tahoma"/>
        </w:rPr>
        <w:t xml:space="preserve">When considering the long term consequences of the war as a historical watershed it is easy to assume that subsequent developments were strongly influenced or directly attributable to the conflict; predicting how circumstances would have evolved in its absence is impossible. The crisis brought to a recovering Europe by the Wall Street crash in 1929 </w:t>
      </w:r>
      <w:proofErr w:type="gramStart"/>
      <w:r w:rsidRPr="00F0313F">
        <w:rPr>
          <w:rFonts w:cs="Tahoma"/>
        </w:rPr>
        <w:t>adds</w:t>
      </w:r>
      <w:proofErr w:type="gramEnd"/>
      <w:r w:rsidRPr="00F0313F">
        <w:rPr>
          <w:rFonts w:cs="Tahoma"/>
        </w:rPr>
        <w:t xml:space="preserve"> further complications to </w:t>
      </w:r>
      <w:r w:rsidRPr="00F0313F">
        <w:rPr>
          <w:rFonts w:cs="Tahoma"/>
        </w:rPr>
        <w:lastRenderedPageBreak/>
        <w:t>analysis.</w:t>
      </w:r>
      <w:r w:rsidRPr="00F0313F">
        <w:rPr>
          <w:rStyle w:val="FootnoteReference"/>
          <w:rFonts w:cs="Tahoma"/>
        </w:rPr>
        <w:footnoteReference w:id="102"/>
      </w:r>
      <w:r w:rsidRPr="00F0313F">
        <w:rPr>
          <w:rFonts w:cs="Tahoma"/>
        </w:rPr>
        <w:t xml:space="preserve"> Despite these complications and the highly interrelated nature of pertinent considerations it is fair to conclude that the First World War set in train changes which</w:t>
      </w:r>
      <w:r w:rsidR="00311038" w:rsidRPr="00F0313F">
        <w:rPr>
          <w:rFonts w:cs="Tahoma"/>
        </w:rPr>
        <w:t xml:space="preserve"> have </w:t>
      </w:r>
      <w:r w:rsidRPr="00F0313F">
        <w:rPr>
          <w:rFonts w:cs="Tahoma"/>
        </w:rPr>
        <w:t xml:space="preserve">had a marked and lasting influence. The demands of the war required hitherto unseen intervention by Government in </w:t>
      </w:r>
      <w:r w:rsidR="00C5702F" w:rsidRPr="00F0313F">
        <w:rPr>
          <w:rFonts w:cs="Tahoma"/>
        </w:rPr>
        <w:t xml:space="preserve">society and </w:t>
      </w:r>
      <w:r w:rsidR="00505E81" w:rsidRPr="00F0313F">
        <w:rPr>
          <w:rFonts w:cs="Tahoma"/>
        </w:rPr>
        <w:t>the economy and,</w:t>
      </w:r>
      <w:r w:rsidRPr="00F0313F">
        <w:rPr>
          <w:rFonts w:cs="Tahoma"/>
        </w:rPr>
        <w:t xml:space="preserve"> although collectivism did not progress rapidly immedi</w:t>
      </w:r>
      <w:r w:rsidR="00C5702F" w:rsidRPr="00F0313F">
        <w:rPr>
          <w:rFonts w:cs="Tahoma"/>
        </w:rPr>
        <w:t xml:space="preserve">ately </w:t>
      </w:r>
      <w:r w:rsidR="00EA0B86" w:rsidRPr="00F0313F">
        <w:rPr>
          <w:rFonts w:cs="Tahoma"/>
        </w:rPr>
        <w:t xml:space="preserve">after </w:t>
      </w:r>
      <w:r w:rsidR="00C5702F" w:rsidRPr="00F0313F">
        <w:rPr>
          <w:rFonts w:cs="Tahoma"/>
        </w:rPr>
        <w:t>armistice</w:t>
      </w:r>
      <w:r w:rsidR="00505E81" w:rsidRPr="00F0313F">
        <w:rPr>
          <w:rFonts w:cs="Tahoma"/>
        </w:rPr>
        <w:t>,</w:t>
      </w:r>
      <w:r w:rsidR="00C5702F" w:rsidRPr="00F0313F">
        <w:rPr>
          <w:rFonts w:cs="Tahoma"/>
        </w:rPr>
        <w:t xml:space="preserve"> the seed were so</w:t>
      </w:r>
      <w:r w:rsidRPr="00F0313F">
        <w:rPr>
          <w:rFonts w:cs="Tahoma"/>
        </w:rPr>
        <w:t xml:space="preserve">wn for </w:t>
      </w:r>
      <w:r w:rsidR="00C5702F" w:rsidRPr="00F0313F">
        <w:rPr>
          <w:rFonts w:cs="Tahoma"/>
        </w:rPr>
        <w:t xml:space="preserve">social advancement </w:t>
      </w:r>
      <w:r w:rsidR="00364643" w:rsidRPr="00F0313F">
        <w:rPr>
          <w:rFonts w:cs="Tahoma"/>
        </w:rPr>
        <w:t xml:space="preserve">and a more just society </w:t>
      </w:r>
      <w:r w:rsidR="00311038" w:rsidRPr="00F0313F">
        <w:rPr>
          <w:rFonts w:cs="Tahoma"/>
        </w:rPr>
        <w:t xml:space="preserve">particularly </w:t>
      </w:r>
      <w:r w:rsidR="00364643" w:rsidRPr="00F0313F">
        <w:rPr>
          <w:rFonts w:cs="Tahoma"/>
        </w:rPr>
        <w:t xml:space="preserve">after the Second </w:t>
      </w:r>
      <w:r w:rsidR="00C5702F" w:rsidRPr="00F0313F">
        <w:rPr>
          <w:rFonts w:cs="Tahoma"/>
        </w:rPr>
        <w:t>World War</w:t>
      </w:r>
      <w:r w:rsidRPr="00F0313F">
        <w:rPr>
          <w:rFonts w:cs="Tahoma"/>
        </w:rPr>
        <w:t xml:space="preserve">. </w:t>
      </w:r>
      <w:r w:rsidR="00A2504C" w:rsidRPr="00F0313F">
        <w:rPr>
          <w:rFonts w:cs="Tahoma"/>
        </w:rPr>
        <w:t>Em</w:t>
      </w:r>
      <w:r w:rsidR="003C07B9">
        <w:rPr>
          <w:rFonts w:cs="Tahoma"/>
        </w:rPr>
        <w:t>ployment-</w:t>
      </w:r>
      <w:r w:rsidR="005C56F9" w:rsidRPr="00F0313F">
        <w:rPr>
          <w:rFonts w:cs="Tahoma"/>
        </w:rPr>
        <w:t xml:space="preserve">related inequality </w:t>
      </w:r>
      <w:r w:rsidR="00BC125E">
        <w:rPr>
          <w:rFonts w:cs="Tahoma"/>
        </w:rPr>
        <w:t>highlighted by the war, fuelled</w:t>
      </w:r>
      <w:r w:rsidR="00BB5DA8" w:rsidRPr="00F0313F">
        <w:rPr>
          <w:rFonts w:cs="Tahoma"/>
        </w:rPr>
        <w:t xml:space="preserve"> the growth of the labour movement</w:t>
      </w:r>
      <w:r w:rsidR="00BC7F66" w:rsidRPr="00F0313F">
        <w:rPr>
          <w:rFonts w:cs="Tahoma"/>
        </w:rPr>
        <w:t xml:space="preserve"> which was </w:t>
      </w:r>
      <w:r w:rsidRPr="00F0313F">
        <w:rPr>
          <w:rFonts w:cs="Tahoma"/>
        </w:rPr>
        <w:t xml:space="preserve">spurred </w:t>
      </w:r>
      <w:r w:rsidR="00BC7F66" w:rsidRPr="00F0313F">
        <w:rPr>
          <w:rFonts w:cs="Tahoma"/>
        </w:rPr>
        <w:t xml:space="preserve">further </w:t>
      </w:r>
      <w:r w:rsidR="00BB5DA8" w:rsidRPr="00F0313F">
        <w:rPr>
          <w:rFonts w:cs="Tahoma"/>
        </w:rPr>
        <w:t xml:space="preserve">by </w:t>
      </w:r>
      <w:r w:rsidR="00BC7F66" w:rsidRPr="00F0313F">
        <w:rPr>
          <w:rFonts w:cs="Tahoma"/>
        </w:rPr>
        <w:t xml:space="preserve">the </w:t>
      </w:r>
      <w:r w:rsidR="00BB5DA8" w:rsidRPr="00F0313F">
        <w:rPr>
          <w:rFonts w:cs="Tahoma"/>
        </w:rPr>
        <w:t xml:space="preserve">unemployment of the </w:t>
      </w:r>
      <w:r w:rsidR="00BC7F66" w:rsidRPr="00F0313F">
        <w:rPr>
          <w:rFonts w:cs="Tahoma"/>
        </w:rPr>
        <w:t xml:space="preserve">1920s and </w:t>
      </w:r>
      <w:r w:rsidR="00BB5DA8" w:rsidRPr="00F0313F">
        <w:rPr>
          <w:rFonts w:cs="Tahoma"/>
        </w:rPr>
        <w:t xml:space="preserve">the depression of the </w:t>
      </w:r>
      <w:r w:rsidR="00BC7F66" w:rsidRPr="00F0313F">
        <w:rPr>
          <w:rFonts w:cs="Tahoma"/>
        </w:rPr>
        <w:t>1930s</w:t>
      </w:r>
      <w:r w:rsidR="005C56F9" w:rsidRPr="00F0313F">
        <w:rPr>
          <w:rFonts w:cs="Tahoma"/>
        </w:rPr>
        <w:t>.</w:t>
      </w:r>
      <w:r w:rsidRPr="00F0313F">
        <w:rPr>
          <w:rStyle w:val="FootnoteReference"/>
          <w:rFonts w:cs="Tahoma"/>
        </w:rPr>
        <w:footnoteReference w:id="103"/>
      </w:r>
      <w:r w:rsidR="00A2504C" w:rsidRPr="00F0313F">
        <w:rPr>
          <w:rFonts w:cs="Tahoma"/>
        </w:rPr>
        <w:t xml:space="preserve"> </w:t>
      </w:r>
      <w:r w:rsidRPr="00F0313F">
        <w:rPr>
          <w:rFonts w:cs="Tahoma"/>
        </w:rPr>
        <w:t xml:space="preserve">The impact of the war on the Liberal Party </w:t>
      </w:r>
      <w:r w:rsidR="00EA0B86" w:rsidRPr="00F0313F">
        <w:rPr>
          <w:rFonts w:cs="Tahoma"/>
        </w:rPr>
        <w:t xml:space="preserve">facilitated the rise of </w:t>
      </w:r>
      <w:r w:rsidR="005C56F9" w:rsidRPr="00F0313F">
        <w:rPr>
          <w:rFonts w:cs="Tahoma"/>
        </w:rPr>
        <w:t xml:space="preserve">the </w:t>
      </w:r>
      <w:r w:rsidR="00EA0B86" w:rsidRPr="00F0313F">
        <w:rPr>
          <w:rFonts w:cs="Tahoma"/>
        </w:rPr>
        <w:t xml:space="preserve">Labour </w:t>
      </w:r>
      <w:r w:rsidR="005C56F9" w:rsidRPr="00F0313F">
        <w:rPr>
          <w:rFonts w:cs="Tahoma"/>
        </w:rPr>
        <w:t>Party which has</w:t>
      </w:r>
      <w:r w:rsidR="00EA0B86" w:rsidRPr="00F0313F">
        <w:rPr>
          <w:rFonts w:cs="Tahoma"/>
        </w:rPr>
        <w:t xml:space="preserve"> </w:t>
      </w:r>
      <w:r w:rsidRPr="00F0313F">
        <w:rPr>
          <w:rFonts w:cs="Tahoma"/>
        </w:rPr>
        <w:t>resulted in the two party politics of today. Britain’s imperialist role went into decline as a result of war with the country allying closely with America</w:t>
      </w:r>
      <w:r w:rsidR="00505E81" w:rsidRPr="00F0313F">
        <w:rPr>
          <w:rFonts w:cs="Tahoma"/>
        </w:rPr>
        <w:t xml:space="preserve"> and</w:t>
      </w:r>
      <w:r w:rsidR="005C56F9" w:rsidRPr="00F0313F">
        <w:rPr>
          <w:rFonts w:cs="Tahoma"/>
        </w:rPr>
        <w:t xml:space="preserve"> </w:t>
      </w:r>
      <w:r w:rsidR="00505E81" w:rsidRPr="00F0313F">
        <w:rPr>
          <w:rFonts w:cs="Tahoma"/>
        </w:rPr>
        <w:t xml:space="preserve">its globalist </w:t>
      </w:r>
      <w:r w:rsidR="005C56F9" w:rsidRPr="00F0313F">
        <w:rPr>
          <w:rFonts w:cs="Tahoma"/>
        </w:rPr>
        <w:t xml:space="preserve">economic </w:t>
      </w:r>
      <w:r w:rsidR="00505E81" w:rsidRPr="00F0313F">
        <w:rPr>
          <w:rFonts w:cs="Tahoma"/>
        </w:rPr>
        <w:t>views</w:t>
      </w:r>
      <w:r w:rsidRPr="00F0313F">
        <w:rPr>
          <w:rFonts w:cs="Tahoma"/>
        </w:rPr>
        <w:t>. The demands of the war highlighted social inequality, h</w:t>
      </w:r>
      <w:r w:rsidR="00364643" w:rsidRPr="00F0313F">
        <w:rPr>
          <w:rFonts w:cs="Tahoma"/>
        </w:rPr>
        <w:t>ad a levelling effect on</w:t>
      </w:r>
      <w:r w:rsidRPr="00F0313F">
        <w:rPr>
          <w:rFonts w:cs="Tahoma"/>
        </w:rPr>
        <w:t xml:space="preserve"> society and initiated social reform which finally</w:t>
      </w:r>
      <w:r w:rsidRPr="00F0313F">
        <w:rPr>
          <w:rStyle w:val="FootnoteReference"/>
          <w:rFonts w:cs="Tahoma"/>
        </w:rPr>
        <w:footnoteReference w:id="104"/>
      </w:r>
      <w:r w:rsidRPr="00F0313F">
        <w:rPr>
          <w:rFonts w:cs="Tahoma"/>
        </w:rPr>
        <w:t xml:space="preserve"> came to</w:t>
      </w:r>
      <w:r w:rsidR="00BC125E">
        <w:rPr>
          <w:rFonts w:cs="Tahoma"/>
        </w:rPr>
        <w:t xml:space="preserve"> fruition after </w:t>
      </w:r>
      <w:r w:rsidR="003C07B9">
        <w:rPr>
          <w:rFonts w:cs="Tahoma"/>
        </w:rPr>
        <w:t xml:space="preserve">World </w:t>
      </w:r>
      <w:r w:rsidR="00BC125E">
        <w:rPr>
          <w:rFonts w:cs="Tahoma"/>
        </w:rPr>
        <w:t xml:space="preserve">War </w:t>
      </w:r>
      <w:r w:rsidR="003C07B9">
        <w:rPr>
          <w:rFonts w:cs="Tahoma"/>
        </w:rPr>
        <w:t>2</w:t>
      </w:r>
      <w:r w:rsidRPr="00F0313F">
        <w:rPr>
          <w:rFonts w:cs="Tahoma"/>
        </w:rPr>
        <w:t xml:space="preserve"> through the creation of the welfare state</w:t>
      </w:r>
      <w:r w:rsidR="005C56F9" w:rsidRPr="00F0313F">
        <w:rPr>
          <w:rFonts w:cs="Tahoma"/>
        </w:rPr>
        <w:t xml:space="preserve"> by Asquith’s Government 1945-52</w:t>
      </w:r>
      <w:r w:rsidRPr="00F0313F">
        <w:rPr>
          <w:rFonts w:cs="Tahoma"/>
        </w:rPr>
        <w:t>.</w:t>
      </w:r>
      <w:r w:rsidRPr="00F0313F">
        <w:rPr>
          <w:rStyle w:val="FootnoteReference"/>
          <w:rFonts w:cs="Tahoma"/>
        </w:rPr>
        <w:footnoteReference w:id="105"/>
      </w:r>
      <w:r w:rsidRPr="00F0313F">
        <w:rPr>
          <w:rFonts w:cs="Tahoma"/>
        </w:rPr>
        <w:t xml:space="preserve"> War-time role reversals strengthened women’s resolve to maintain the struggle to gain equality. Loss of life was unprecedented resulting in a unique cultural legacy and continuing commemoration which eclipses the Second World War.</w:t>
      </w:r>
      <w:r w:rsidR="001E3DF3" w:rsidRPr="00F0313F">
        <w:rPr>
          <w:rFonts w:cs="Tahoma"/>
        </w:rPr>
        <w:t xml:space="preserve"> The impact of the war and the length of its shadow, to return to the metaphor, is </w:t>
      </w:r>
      <w:r w:rsidR="00BC125E">
        <w:rPr>
          <w:rFonts w:cs="Tahoma"/>
        </w:rPr>
        <w:t xml:space="preserve">consequently </w:t>
      </w:r>
      <w:r w:rsidR="001E3DF3" w:rsidRPr="00F0313F">
        <w:rPr>
          <w:rFonts w:cs="Tahoma"/>
        </w:rPr>
        <w:t>aptly summed up by Fraser</w:t>
      </w:r>
      <w:r w:rsidR="001E3DF3" w:rsidRPr="00F0313F">
        <w:rPr>
          <w:rStyle w:val="FootnoteReference"/>
          <w:rFonts w:cs="Tahoma"/>
        </w:rPr>
        <w:footnoteReference w:id="106"/>
      </w:r>
      <w:r w:rsidR="001E3DF3" w:rsidRPr="00F0313F">
        <w:rPr>
          <w:rFonts w:cs="Tahoma"/>
        </w:rPr>
        <w:t xml:space="preserve">: </w:t>
      </w:r>
      <w:r w:rsidR="001E3DF3" w:rsidRPr="00F0313F">
        <w:rPr>
          <w:rFonts w:cs="Tahoma"/>
          <w:i/>
        </w:rPr>
        <w:t>The First World War had a profound effect upon British Society – it swept away a whole world and created a new one.</w:t>
      </w:r>
      <w:r w:rsidR="001E3DF3" w:rsidRPr="00F0313F">
        <w:rPr>
          <w:rFonts w:cs="Tahoma"/>
        </w:rPr>
        <w:t xml:space="preserve"> </w:t>
      </w:r>
    </w:p>
    <w:p w:rsidR="00F0313F" w:rsidRPr="00F0313F" w:rsidRDefault="00F0313F" w:rsidP="00F0313F">
      <w:pPr>
        <w:pStyle w:val="FootnoteText"/>
        <w:rPr>
          <w:rFonts w:cs="Tahoma"/>
          <w:sz w:val="22"/>
          <w:szCs w:val="22"/>
        </w:rPr>
      </w:pPr>
      <w:r w:rsidRPr="00F0313F">
        <w:rPr>
          <w:rFonts w:cs="Tahoma"/>
          <w:sz w:val="22"/>
          <w:szCs w:val="22"/>
        </w:rPr>
        <w:t>3,280</w:t>
      </w:r>
      <w:r w:rsidR="00BC125E">
        <w:rPr>
          <w:rFonts w:cs="Tahoma"/>
          <w:sz w:val="22"/>
          <w:szCs w:val="22"/>
        </w:rPr>
        <w:t xml:space="preserve"> words excluding quotations, f</w:t>
      </w:r>
      <w:r w:rsidRPr="00F0313F">
        <w:rPr>
          <w:rFonts w:cs="Tahoma"/>
          <w:sz w:val="22"/>
          <w:szCs w:val="22"/>
        </w:rPr>
        <w:t>ootnotes</w:t>
      </w:r>
      <w:r w:rsidR="00BC125E">
        <w:rPr>
          <w:rFonts w:cs="Tahoma"/>
          <w:sz w:val="22"/>
          <w:szCs w:val="22"/>
        </w:rPr>
        <w:t xml:space="preserve"> and bibliography</w:t>
      </w:r>
      <w:r w:rsidRPr="00F0313F">
        <w:rPr>
          <w:rFonts w:cs="Tahoma"/>
          <w:sz w:val="22"/>
          <w:szCs w:val="22"/>
        </w:rPr>
        <w:t xml:space="preserve">. </w:t>
      </w:r>
    </w:p>
    <w:p w:rsidR="00BE1049" w:rsidRDefault="00BE1049" w:rsidP="00F0313F">
      <w:pPr>
        <w:pStyle w:val="FootnoteText"/>
        <w:rPr>
          <w:rFonts w:cs="Tahoma"/>
          <w:b/>
          <w:sz w:val="22"/>
          <w:szCs w:val="22"/>
          <w:u w:val="single"/>
        </w:rPr>
      </w:pPr>
    </w:p>
    <w:p w:rsidR="00F0313F" w:rsidRPr="00F0313F" w:rsidRDefault="00F0313F" w:rsidP="00F0313F">
      <w:pPr>
        <w:pStyle w:val="FootnoteText"/>
        <w:rPr>
          <w:rFonts w:cs="Tahoma"/>
          <w:b/>
          <w:sz w:val="22"/>
          <w:szCs w:val="22"/>
          <w:u w:val="single"/>
        </w:rPr>
      </w:pPr>
      <w:r w:rsidRPr="00F0313F">
        <w:rPr>
          <w:rFonts w:cs="Tahoma"/>
          <w:b/>
          <w:sz w:val="22"/>
          <w:szCs w:val="22"/>
          <w:u w:val="single"/>
        </w:rPr>
        <w:t>Bibliography</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G. </w:t>
      </w:r>
      <w:proofErr w:type="spellStart"/>
      <w:r w:rsidRPr="00F0313F">
        <w:rPr>
          <w:rFonts w:cs="Tahoma"/>
          <w:sz w:val="22"/>
          <w:szCs w:val="22"/>
        </w:rPr>
        <w:t>Braybon</w:t>
      </w:r>
      <w:proofErr w:type="spellEnd"/>
      <w:r w:rsidRPr="00F0313F">
        <w:rPr>
          <w:rFonts w:cs="Tahoma"/>
          <w:sz w:val="22"/>
          <w:szCs w:val="22"/>
        </w:rPr>
        <w:t xml:space="preserve">, </w:t>
      </w:r>
      <w:r w:rsidRPr="00F0313F">
        <w:rPr>
          <w:rFonts w:cs="Tahoma"/>
          <w:i/>
          <w:sz w:val="22"/>
          <w:szCs w:val="22"/>
        </w:rPr>
        <w:t>Evidence History and the Great War: Historians and the Impact of 1914-18</w:t>
      </w:r>
      <w:r w:rsidRPr="00F0313F">
        <w:rPr>
          <w:rFonts w:cs="Tahoma"/>
          <w:sz w:val="22"/>
          <w:szCs w:val="22"/>
        </w:rPr>
        <w:t xml:space="preserve"> (New York and </w:t>
      </w:r>
      <w:proofErr w:type="spellStart"/>
      <w:r w:rsidRPr="00F0313F">
        <w:rPr>
          <w:rFonts w:cs="Tahoma"/>
          <w:sz w:val="22"/>
          <w:szCs w:val="22"/>
        </w:rPr>
        <w:t>Qxford</w:t>
      </w:r>
      <w:proofErr w:type="spellEnd"/>
      <w:r w:rsidRPr="00F0313F">
        <w:rPr>
          <w:rFonts w:cs="Tahoma"/>
          <w:sz w:val="22"/>
          <w:szCs w:val="22"/>
        </w:rPr>
        <w:t xml:space="preserve">: </w:t>
      </w:r>
      <w:proofErr w:type="spellStart"/>
      <w:r w:rsidRPr="00F0313F">
        <w:rPr>
          <w:rFonts w:cs="Tahoma"/>
          <w:sz w:val="22"/>
          <w:szCs w:val="22"/>
        </w:rPr>
        <w:t>Berghahn</w:t>
      </w:r>
      <w:proofErr w:type="spellEnd"/>
      <w:r w:rsidRPr="00F0313F">
        <w:rPr>
          <w:rFonts w:cs="Tahoma"/>
          <w:sz w:val="22"/>
          <w:szCs w:val="22"/>
        </w:rPr>
        <w:t xml:space="preserve"> Books, 2005).</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P. Clarke, </w:t>
      </w:r>
      <w:r w:rsidRPr="00F0313F">
        <w:rPr>
          <w:rFonts w:cs="Tahoma"/>
          <w:i/>
          <w:sz w:val="22"/>
          <w:szCs w:val="22"/>
        </w:rPr>
        <w:t>Hope and Glory: Britain 1900-2000</w:t>
      </w:r>
      <w:r w:rsidRPr="00F0313F">
        <w:rPr>
          <w:rFonts w:cs="Tahoma"/>
          <w:sz w:val="22"/>
          <w:szCs w:val="22"/>
        </w:rPr>
        <w:t xml:space="preserve"> (London: Penguin</w:t>
      </w:r>
      <w:proofErr w:type="gramStart"/>
      <w:r w:rsidRPr="00F0313F">
        <w:rPr>
          <w:rFonts w:cs="Tahoma"/>
          <w:sz w:val="22"/>
          <w:szCs w:val="22"/>
        </w:rPr>
        <w:t>,2004</w:t>
      </w:r>
      <w:proofErr w:type="gramEnd"/>
      <w:r w:rsidRPr="00F0313F">
        <w:rPr>
          <w:rFonts w:cs="Tahoma"/>
          <w:sz w:val="22"/>
          <w:szCs w:val="22"/>
        </w:rPr>
        <w:t>).</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S. Constantine, M. W. Kirby and M.B. Rose, </w:t>
      </w:r>
      <w:r w:rsidRPr="00F0313F">
        <w:rPr>
          <w:rFonts w:cs="Tahoma"/>
          <w:i/>
          <w:sz w:val="22"/>
          <w:szCs w:val="22"/>
        </w:rPr>
        <w:t>The First World War in British History</w:t>
      </w:r>
      <w:r w:rsidRPr="00F0313F">
        <w:rPr>
          <w:rFonts w:cs="Tahoma"/>
          <w:sz w:val="22"/>
          <w:szCs w:val="22"/>
        </w:rPr>
        <w:t xml:space="preserve"> (London: Edward Arnold, 1995).</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T.L. Crosby, </w:t>
      </w:r>
      <w:proofErr w:type="gramStart"/>
      <w:r w:rsidRPr="00F0313F">
        <w:rPr>
          <w:rFonts w:cs="Tahoma"/>
          <w:i/>
          <w:sz w:val="22"/>
          <w:szCs w:val="22"/>
        </w:rPr>
        <w:t>The</w:t>
      </w:r>
      <w:proofErr w:type="gramEnd"/>
      <w:r w:rsidRPr="00F0313F">
        <w:rPr>
          <w:rFonts w:cs="Tahoma"/>
          <w:i/>
          <w:sz w:val="22"/>
          <w:szCs w:val="22"/>
        </w:rPr>
        <w:t xml:space="preserve"> Unknown Lloyd George: A Statesman in Conflict</w:t>
      </w:r>
      <w:r w:rsidRPr="00F0313F">
        <w:rPr>
          <w:rFonts w:cs="Tahoma"/>
          <w:sz w:val="22"/>
          <w:szCs w:val="22"/>
        </w:rPr>
        <w:t xml:space="preserve"> (London and New York: Taurus, 2014).</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N. Davies, </w:t>
      </w:r>
      <w:r w:rsidRPr="00F0313F">
        <w:rPr>
          <w:rFonts w:cs="Tahoma"/>
          <w:i/>
          <w:sz w:val="22"/>
          <w:szCs w:val="22"/>
        </w:rPr>
        <w:t>Europe a History,</w:t>
      </w:r>
      <w:r w:rsidRPr="00F0313F">
        <w:rPr>
          <w:rFonts w:cs="Tahoma"/>
          <w:sz w:val="22"/>
          <w:szCs w:val="22"/>
        </w:rPr>
        <w:t xml:space="preserve"> (London: A Bodily Head, 2014).</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C. Falls, </w:t>
      </w:r>
      <w:r w:rsidRPr="00F0313F">
        <w:rPr>
          <w:rFonts w:cs="Tahoma"/>
          <w:i/>
          <w:sz w:val="22"/>
          <w:szCs w:val="22"/>
        </w:rPr>
        <w:t>The Nature of Modern Warfare</w:t>
      </w:r>
      <w:r w:rsidRPr="00F0313F">
        <w:rPr>
          <w:rFonts w:cs="Tahoma"/>
          <w:sz w:val="22"/>
          <w:szCs w:val="22"/>
        </w:rPr>
        <w:t xml:space="preserve"> (London: Methuen, 1941).</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M. T. Foy and B. Barton, </w:t>
      </w:r>
      <w:proofErr w:type="gramStart"/>
      <w:r w:rsidRPr="00F0313F">
        <w:rPr>
          <w:rFonts w:cs="Tahoma"/>
          <w:i/>
          <w:sz w:val="22"/>
          <w:szCs w:val="22"/>
        </w:rPr>
        <w:t>The</w:t>
      </w:r>
      <w:proofErr w:type="gramEnd"/>
      <w:r w:rsidRPr="00F0313F">
        <w:rPr>
          <w:rFonts w:cs="Tahoma"/>
          <w:i/>
          <w:sz w:val="22"/>
          <w:szCs w:val="22"/>
        </w:rPr>
        <w:t xml:space="preserve"> Easter Rising</w:t>
      </w:r>
      <w:r w:rsidRPr="00F0313F">
        <w:rPr>
          <w:rFonts w:cs="Tahoma"/>
          <w:sz w:val="22"/>
          <w:szCs w:val="22"/>
        </w:rPr>
        <w:t xml:space="preserve"> (Stroud: The History Press, 2011). </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D. Fraser, </w:t>
      </w:r>
      <w:proofErr w:type="gramStart"/>
      <w:r w:rsidRPr="00F0313F">
        <w:rPr>
          <w:rFonts w:cs="Tahoma"/>
          <w:i/>
          <w:sz w:val="22"/>
          <w:szCs w:val="22"/>
        </w:rPr>
        <w:t>The</w:t>
      </w:r>
      <w:proofErr w:type="gramEnd"/>
      <w:r w:rsidRPr="00F0313F">
        <w:rPr>
          <w:rFonts w:cs="Tahoma"/>
          <w:i/>
          <w:sz w:val="22"/>
          <w:szCs w:val="22"/>
        </w:rPr>
        <w:t xml:space="preserve"> Evolution of the British Welfare State: A History of Social Policy Since the Industrial Revolution</w:t>
      </w:r>
      <w:r w:rsidRPr="00F0313F">
        <w:rPr>
          <w:rFonts w:cs="Tahoma"/>
          <w:sz w:val="22"/>
          <w:szCs w:val="22"/>
        </w:rPr>
        <w:t xml:space="preserve"> (London: Palgrave Macmillan, 2009).</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P. </w:t>
      </w:r>
      <w:proofErr w:type="spellStart"/>
      <w:r w:rsidRPr="00F0313F">
        <w:rPr>
          <w:rFonts w:cs="Tahoma"/>
          <w:sz w:val="22"/>
          <w:szCs w:val="22"/>
        </w:rPr>
        <w:t>Fussell</w:t>
      </w:r>
      <w:proofErr w:type="spellEnd"/>
      <w:r w:rsidRPr="00F0313F">
        <w:rPr>
          <w:rFonts w:cs="Tahoma"/>
          <w:sz w:val="22"/>
          <w:szCs w:val="22"/>
        </w:rPr>
        <w:t xml:space="preserve"> </w:t>
      </w:r>
      <w:proofErr w:type="gramStart"/>
      <w:r w:rsidRPr="00F0313F">
        <w:rPr>
          <w:rFonts w:cs="Tahoma"/>
          <w:i/>
          <w:sz w:val="22"/>
          <w:szCs w:val="22"/>
        </w:rPr>
        <w:t>The</w:t>
      </w:r>
      <w:proofErr w:type="gramEnd"/>
      <w:r w:rsidRPr="00F0313F">
        <w:rPr>
          <w:rFonts w:cs="Tahoma"/>
          <w:i/>
          <w:sz w:val="22"/>
          <w:szCs w:val="22"/>
        </w:rPr>
        <w:t xml:space="preserve"> Great War and Modern Memory</w:t>
      </w:r>
      <w:r w:rsidRPr="00F0313F">
        <w:rPr>
          <w:rFonts w:cs="Tahoma"/>
          <w:sz w:val="22"/>
          <w:szCs w:val="22"/>
        </w:rPr>
        <w:t xml:space="preserve"> (Oxford: Oxford University Press, 2013).</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J. Gardiner, </w:t>
      </w:r>
      <w:proofErr w:type="gramStart"/>
      <w:r w:rsidRPr="00F0313F">
        <w:rPr>
          <w:rFonts w:cs="Tahoma"/>
          <w:i/>
          <w:sz w:val="22"/>
          <w:szCs w:val="22"/>
        </w:rPr>
        <w:t>The</w:t>
      </w:r>
      <w:proofErr w:type="gramEnd"/>
      <w:r w:rsidRPr="00F0313F">
        <w:rPr>
          <w:rFonts w:cs="Tahoma"/>
          <w:i/>
          <w:sz w:val="22"/>
          <w:szCs w:val="22"/>
        </w:rPr>
        <w:t xml:space="preserve"> Thirties: an Intimate History</w:t>
      </w:r>
      <w:r w:rsidRPr="00F0313F">
        <w:rPr>
          <w:rFonts w:cs="Tahoma"/>
          <w:sz w:val="22"/>
          <w:szCs w:val="22"/>
        </w:rPr>
        <w:t xml:space="preserve"> (London: Harper Press 2011).</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R. </w:t>
      </w:r>
      <w:proofErr w:type="spellStart"/>
      <w:r w:rsidRPr="00F0313F">
        <w:rPr>
          <w:rFonts w:cs="Tahoma"/>
          <w:sz w:val="22"/>
          <w:szCs w:val="22"/>
        </w:rPr>
        <w:t>Gerwarth</w:t>
      </w:r>
      <w:proofErr w:type="spellEnd"/>
      <w:r w:rsidRPr="00F0313F">
        <w:rPr>
          <w:rFonts w:cs="Tahoma"/>
          <w:sz w:val="22"/>
          <w:szCs w:val="22"/>
        </w:rPr>
        <w:t xml:space="preserve">, </w:t>
      </w:r>
      <w:r w:rsidRPr="00F0313F">
        <w:rPr>
          <w:rFonts w:cs="Tahoma"/>
          <w:i/>
          <w:sz w:val="22"/>
          <w:szCs w:val="22"/>
        </w:rPr>
        <w:t>The Vanquished: Why the First World War Failed to End, 1917-1923</w:t>
      </w:r>
      <w:r w:rsidRPr="00F0313F">
        <w:rPr>
          <w:rFonts w:cs="Tahoma"/>
          <w:sz w:val="22"/>
          <w:szCs w:val="22"/>
        </w:rPr>
        <w:t xml:space="preserve"> (London: Penguin, 2017). </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B. B. Gilbert, </w:t>
      </w:r>
      <w:r w:rsidRPr="00F0313F">
        <w:rPr>
          <w:rFonts w:cs="Tahoma"/>
          <w:i/>
          <w:sz w:val="22"/>
          <w:szCs w:val="22"/>
        </w:rPr>
        <w:t>British Social Policy 1914-1939</w:t>
      </w:r>
      <w:r w:rsidRPr="00F0313F">
        <w:rPr>
          <w:rFonts w:cs="Tahoma"/>
          <w:sz w:val="22"/>
          <w:szCs w:val="22"/>
        </w:rPr>
        <w:t xml:space="preserve"> (London: B. T. Basford, 1973).</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M. Hastings, </w:t>
      </w:r>
      <w:r w:rsidRPr="00F0313F">
        <w:rPr>
          <w:rFonts w:cs="Tahoma"/>
          <w:i/>
          <w:sz w:val="22"/>
          <w:szCs w:val="22"/>
        </w:rPr>
        <w:t>Catastrophe: Europe goes to War 1914</w:t>
      </w:r>
      <w:r w:rsidRPr="00F0313F">
        <w:rPr>
          <w:rFonts w:cs="Tahoma"/>
          <w:sz w:val="22"/>
          <w:szCs w:val="22"/>
        </w:rPr>
        <w:t xml:space="preserve"> (London: Collins, 2013).</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M. </w:t>
      </w:r>
      <w:proofErr w:type="spellStart"/>
      <w:r w:rsidRPr="00F0313F">
        <w:rPr>
          <w:rFonts w:cs="Tahoma"/>
          <w:sz w:val="22"/>
          <w:szCs w:val="22"/>
        </w:rPr>
        <w:t>Higonnet</w:t>
      </w:r>
      <w:proofErr w:type="spellEnd"/>
      <w:r w:rsidRPr="00F0313F">
        <w:rPr>
          <w:rFonts w:cs="Tahoma"/>
          <w:sz w:val="22"/>
          <w:szCs w:val="22"/>
        </w:rPr>
        <w:t xml:space="preserve"> and J. Jenson </w:t>
      </w:r>
      <w:r w:rsidRPr="00F0313F">
        <w:rPr>
          <w:rFonts w:cs="Tahoma"/>
          <w:i/>
          <w:sz w:val="22"/>
          <w:szCs w:val="22"/>
        </w:rPr>
        <w:t>Behind the Lines: Gender and the Two World Wars</w:t>
      </w:r>
      <w:r w:rsidRPr="00F0313F">
        <w:rPr>
          <w:rFonts w:cs="Tahoma"/>
          <w:sz w:val="22"/>
          <w:szCs w:val="22"/>
        </w:rPr>
        <w:t xml:space="preserve"> (New Haven: Yale University Press, 1987).</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I. Kershaw, </w:t>
      </w:r>
      <w:r w:rsidRPr="00F0313F">
        <w:rPr>
          <w:rFonts w:cs="Tahoma"/>
          <w:i/>
          <w:sz w:val="22"/>
          <w:szCs w:val="22"/>
        </w:rPr>
        <w:t>To Hell and Back: Europe 1914-1949</w:t>
      </w:r>
      <w:r w:rsidRPr="00F0313F">
        <w:rPr>
          <w:rFonts w:cs="Tahoma"/>
          <w:sz w:val="22"/>
          <w:szCs w:val="22"/>
        </w:rPr>
        <w:t xml:space="preserve"> (London; Penguin, 2015).</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J.M. Keynes, </w:t>
      </w:r>
      <w:proofErr w:type="gramStart"/>
      <w:r w:rsidRPr="00F0313F">
        <w:rPr>
          <w:rFonts w:cs="Tahoma"/>
          <w:i/>
          <w:sz w:val="22"/>
          <w:szCs w:val="22"/>
        </w:rPr>
        <w:t>The</w:t>
      </w:r>
      <w:proofErr w:type="gramEnd"/>
      <w:r w:rsidRPr="00F0313F">
        <w:rPr>
          <w:rFonts w:cs="Tahoma"/>
          <w:i/>
          <w:sz w:val="22"/>
          <w:szCs w:val="22"/>
        </w:rPr>
        <w:t xml:space="preserve"> Economic Consequences of the Peace</w:t>
      </w:r>
      <w:r w:rsidRPr="00F0313F">
        <w:rPr>
          <w:rFonts w:cs="Tahoma"/>
          <w:sz w:val="22"/>
          <w:szCs w:val="22"/>
        </w:rPr>
        <w:t xml:space="preserve"> (USA: ReadaClassic.com, 2010).</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A. Marwick, </w:t>
      </w:r>
      <w:proofErr w:type="gramStart"/>
      <w:r w:rsidRPr="00F0313F">
        <w:rPr>
          <w:rFonts w:cs="Tahoma"/>
          <w:i/>
          <w:sz w:val="22"/>
          <w:szCs w:val="22"/>
        </w:rPr>
        <w:t>The</w:t>
      </w:r>
      <w:proofErr w:type="gramEnd"/>
      <w:r w:rsidRPr="00F0313F">
        <w:rPr>
          <w:rFonts w:cs="Tahoma"/>
          <w:i/>
          <w:sz w:val="22"/>
          <w:szCs w:val="22"/>
        </w:rPr>
        <w:t xml:space="preserve"> Deluge</w:t>
      </w:r>
      <w:r w:rsidRPr="00F0313F">
        <w:rPr>
          <w:rFonts w:cs="Tahoma"/>
          <w:sz w:val="22"/>
          <w:szCs w:val="22"/>
        </w:rPr>
        <w:t xml:space="preserve"> (Basingstoke: Palgrave Macmillan, 2006). </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M. </w:t>
      </w:r>
      <w:proofErr w:type="spellStart"/>
      <w:r w:rsidRPr="00F0313F">
        <w:rPr>
          <w:rFonts w:cs="Tahoma"/>
          <w:sz w:val="22"/>
          <w:szCs w:val="22"/>
        </w:rPr>
        <w:t>Mazower</w:t>
      </w:r>
      <w:proofErr w:type="spellEnd"/>
      <w:r w:rsidRPr="00F0313F">
        <w:rPr>
          <w:rFonts w:cs="Tahoma"/>
          <w:sz w:val="22"/>
          <w:szCs w:val="22"/>
        </w:rPr>
        <w:t xml:space="preserve">, </w:t>
      </w:r>
      <w:r w:rsidRPr="00F0313F">
        <w:rPr>
          <w:rFonts w:cs="Tahoma"/>
          <w:i/>
          <w:sz w:val="22"/>
          <w:szCs w:val="22"/>
        </w:rPr>
        <w:t>Dark Continent: Europe’s Twentieth Century</w:t>
      </w:r>
      <w:r w:rsidRPr="00F0313F">
        <w:rPr>
          <w:rFonts w:cs="Tahoma"/>
          <w:sz w:val="22"/>
          <w:szCs w:val="22"/>
        </w:rPr>
        <w:t xml:space="preserve"> (London: Penguin Books, 1999).</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K.O. Morgan, </w:t>
      </w:r>
      <w:proofErr w:type="gramStart"/>
      <w:r w:rsidRPr="00F0313F">
        <w:rPr>
          <w:rFonts w:cs="Tahoma"/>
          <w:i/>
          <w:sz w:val="22"/>
          <w:szCs w:val="22"/>
        </w:rPr>
        <w:t>The</w:t>
      </w:r>
      <w:proofErr w:type="gramEnd"/>
      <w:r w:rsidRPr="00F0313F">
        <w:rPr>
          <w:rFonts w:cs="Tahoma"/>
          <w:i/>
          <w:sz w:val="22"/>
          <w:szCs w:val="22"/>
        </w:rPr>
        <w:t xml:space="preserve"> Age of Lloyd George: the Liberal Party and British Politics, 1890-1929</w:t>
      </w:r>
      <w:r w:rsidRPr="00F0313F">
        <w:rPr>
          <w:rFonts w:cs="Tahoma"/>
          <w:sz w:val="22"/>
          <w:szCs w:val="22"/>
        </w:rPr>
        <w:t xml:space="preserve"> (London: Macmillan, 1968).</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K. O. Morgan </w:t>
      </w:r>
      <w:proofErr w:type="gramStart"/>
      <w:r w:rsidRPr="00F0313F">
        <w:rPr>
          <w:rFonts w:cs="Tahoma"/>
          <w:i/>
          <w:sz w:val="22"/>
          <w:szCs w:val="22"/>
        </w:rPr>
        <w:t>The</w:t>
      </w:r>
      <w:proofErr w:type="gramEnd"/>
      <w:r w:rsidRPr="00F0313F">
        <w:rPr>
          <w:rFonts w:cs="Tahoma"/>
          <w:i/>
          <w:sz w:val="22"/>
          <w:szCs w:val="22"/>
        </w:rPr>
        <w:t xml:space="preserve"> Oxford History of Britain</w:t>
      </w:r>
      <w:r w:rsidRPr="00F0313F">
        <w:rPr>
          <w:rFonts w:cs="Tahoma"/>
          <w:sz w:val="22"/>
          <w:szCs w:val="22"/>
        </w:rPr>
        <w:t xml:space="preserve"> (Oxford: Oxford University Press, 2010). </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G. L. </w:t>
      </w:r>
      <w:proofErr w:type="spellStart"/>
      <w:r w:rsidRPr="00F0313F">
        <w:rPr>
          <w:rFonts w:cs="Tahoma"/>
          <w:sz w:val="22"/>
          <w:szCs w:val="22"/>
        </w:rPr>
        <w:t>Mosse</w:t>
      </w:r>
      <w:proofErr w:type="spellEnd"/>
      <w:r w:rsidRPr="00F0313F">
        <w:rPr>
          <w:rFonts w:cs="Tahoma"/>
          <w:sz w:val="22"/>
          <w:szCs w:val="22"/>
        </w:rPr>
        <w:t xml:space="preserve">, </w:t>
      </w:r>
      <w:proofErr w:type="gramStart"/>
      <w:r w:rsidRPr="00F0313F">
        <w:rPr>
          <w:rFonts w:cs="Tahoma"/>
          <w:i/>
          <w:sz w:val="22"/>
          <w:szCs w:val="22"/>
        </w:rPr>
        <w:t>The</w:t>
      </w:r>
      <w:proofErr w:type="gramEnd"/>
      <w:r w:rsidRPr="00F0313F">
        <w:rPr>
          <w:rFonts w:cs="Tahoma"/>
          <w:i/>
          <w:sz w:val="22"/>
          <w:szCs w:val="22"/>
        </w:rPr>
        <w:t xml:space="preserve"> Culture of Western Europe: the Nineteenth and Twentieth Centuries</w:t>
      </w:r>
      <w:r w:rsidRPr="00F0313F">
        <w:rPr>
          <w:rFonts w:cs="Tahoma"/>
          <w:sz w:val="22"/>
          <w:szCs w:val="22"/>
        </w:rPr>
        <w:t xml:space="preserve"> (Boulder and London: Westview Press, 1988).</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lang w:val="fr-FR"/>
        </w:rPr>
      </w:pPr>
      <w:r w:rsidRPr="00F0313F">
        <w:rPr>
          <w:rFonts w:cs="Tahoma"/>
          <w:sz w:val="22"/>
          <w:szCs w:val="22"/>
          <w:lang w:val="fr-FR"/>
        </w:rPr>
        <w:t xml:space="preserve">J. M. Roberts, </w:t>
      </w:r>
      <w:r w:rsidRPr="00F0313F">
        <w:rPr>
          <w:rFonts w:cs="Tahoma"/>
          <w:i/>
          <w:sz w:val="22"/>
          <w:szCs w:val="22"/>
          <w:lang w:val="fr-FR"/>
        </w:rPr>
        <w:t>Europe 1880-1945</w:t>
      </w:r>
      <w:r w:rsidRPr="00F0313F">
        <w:rPr>
          <w:rFonts w:cs="Tahoma"/>
          <w:sz w:val="22"/>
          <w:szCs w:val="22"/>
          <w:lang w:val="fr-FR"/>
        </w:rPr>
        <w:t xml:space="preserve"> (London: Longman, 2001).</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A. Sharp, </w:t>
      </w:r>
      <w:r w:rsidRPr="00F0313F">
        <w:rPr>
          <w:rFonts w:cs="Tahoma"/>
          <w:i/>
          <w:sz w:val="22"/>
          <w:szCs w:val="22"/>
        </w:rPr>
        <w:t>Consequences of the Versailles Settlement: Aftermath and Legacy 1919- 2010</w:t>
      </w:r>
      <w:r w:rsidRPr="00F0313F">
        <w:rPr>
          <w:rFonts w:cs="Tahoma"/>
          <w:sz w:val="22"/>
          <w:szCs w:val="22"/>
        </w:rPr>
        <w:t xml:space="preserve"> (London: </w:t>
      </w:r>
      <w:proofErr w:type="spellStart"/>
      <w:r w:rsidRPr="00F0313F">
        <w:rPr>
          <w:rFonts w:cs="Tahoma"/>
          <w:sz w:val="22"/>
          <w:szCs w:val="22"/>
        </w:rPr>
        <w:t>Haus</w:t>
      </w:r>
      <w:proofErr w:type="spellEnd"/>
      <w:r w:rsidRPr="00F0313F">
        <w:rPr>
          <w:rFonts w:cs="Tahoma"/>
          <w:sz w:val="22"/>
          <w:szCs w:val="22"/>
        </w:rPr>
        <w:t xml:space="preserve"> Publishing, 2015).</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A.J.P. Taylor, </w:t>
      </w:r>
      <w:proofErr w:type="gramStart"/>
      <w:r w:rsidRPr="00F0313F">
        <w:rPr>
          <w:rFonts w:cs="Tahoma"/>
          <w:i/>
          <w:sz w:val="22"/>
          <w:szCs w:val="22"/>
        </w:rPr>
        <w:t>The</w:t>
      </w:r>
      <w:proofErr w:type="gramEnd"/>
      <w:r w:rsidRPr="00F0313F">
        <w:rPr>
          <w:rFonts w:cs="Tahoma"/>
          <w:i/>
          <w:sz w:val="22"/>
          <w:szCs w:val="22"/>
        </w:rPr>
        <w:t xml:space="preserve"> Struggle for Mastery in Europe 1848-1918</w:t>
      </w:r>
      <w:r w:rsidRPr="00F0313F">
        <w:rPr>
          <w:rFonts w:cs="Tahoma"/>
          <w:sz w:val="22"/>
          <w:szCs w:val="22"/>
        </w:rPr>
        <w:t xml:space="preserve"> (Oxford: Oxford University Press, 1971).</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P. Thane,</w:t>
      </w:r>
      <w:r w:rsidRPr="00F0313F">
        <w:rPr>
          <w:rFonts w:cs="Tahoma"/>
          <w:i/>
          <w:sz w:val="22"/>
          <w:szCs w:val="22"/>
        </w:rPr>
        <w:t xml:space="preserve"> Foundations of the Welfare State</w:t>
      </w:r>
      <w:r w:rsidRPr="00F0313F">
        <w:rPr>
          <w:rFonts w:cs="Tahoma"/>
          <w:sz w:val="22"/>
          <w:szCs w:val="22"/>
        </w:rPr>
        <w:t xml:space="preserve"> (London: Pearson Longman, 1996).</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J. Turner, </w:t>
      </w:r>
      <w:r w:rsidRPr="00F0313F">
        <w:rPr>
          <w:rFonts w:cs="Tahoma"/>
          <w:i/>
          <w:sz w:val="22"/>
          <w:szCs w:val="22"/>
        </w:rPr>
        <w:t>Britain and the First World War</w:t>
      </w:r>
      <w:r w:rsidRPr="00F0313F">
        <w:rPr>
          <w:rFonts w:cs="Tahoma"/>
          <w:sz w:val="22"/>
          <w:szCs w:val="22"/>
        </w:rPr>
        <w:t xml:space="preserve"> (London: Unwin Hyman, 1988).</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B. Waites, A. Marwick, B. Purdue, J. Chapman, C. Emsley, D. Englander and M. </w:t>
      </w:r>
      <w:proofErr w:type="spellStart"/>
      <w:r w:rsidRPr="00F0313F">
        <w:rPr>
          <w:rFonts w:cs="Tahoma"/>
          <w:sz w:val="22"/>
          <w:szCs w:val="22"/>
        </w:rPr>
        <w:t>Pittaway</w:t>
      </w:r>
      <w:proofErr w:type="spellEnd"/>
      <w:r w:rsidRPr="00F0313F">
        <w:rPr>
          <w:rFonts w:cs="Tahoma"/>
          <w:sz w:val="22"/>
          <w:szCs w:val="22"/>
        </w:rPr>
        <w:t xml:space="preserve">, </w:t>
      </w:r>
      <w:r w:rsidRPr="00F0313F">
        <w:rPr>
          <w:rFonts w:cs="Tahoma"/>
          <w:i/>
          <w:sz w:val="22"/>
          <w:szCs w:val="22"/>
        </w:rPr>
        <w:t xml:space="preserve">The Impact of World War 1 </w:t>
      </w:r>
      <w:r w:rsidRPr="00F0313F">
        <w:rPr>
          <w:rFonts w:cs="Tahoma"/>
          <w:sz w:val="22"/>
          <w:szCs w:val="22"/>
        </w:rPr>
        <w:t xml:space="preserve">(Milton Keynes: Open University Press, 2006). </w:t>
      </w:r>
    </w:p>
    <w:p w:rsidR="00F0313F" w:rsidRPr="00F0313F" w:rsidRDefault="00F0313F" w:rsidP="00F0313F">
      <w:pPr>
        <w:pStyle w:val="FootnoteText"/>
        <w:rPr>
          <w:rFonts w:cs="Tahoma"/>
          <w:sz w:val="22"/>
          <w:szCs w:val="22"/>
        </w:rPr>
      </w:pPr>
    </w:p>
    <w:p w:rsidR="00F0313F" w:rsidRPr="00F0313F" w:rsidRDefault="00F0313F" w:rsidP="00F0313F">
      <w:pPr>
        <w:pStyle w:val="FootnoteText"/>
        <w:rPr>
          <w:rFonts w:cs="Tahoma"/>
          <w:sz w:val="22"/>
          <w:szCs w:val="22"/>
        </w:rPr>
      </w:pPr>
      <w:r w:rsidRPr="00F0313F">
        <w:rPr>
          <w:rFonts w:cs="Tahoma"/>
          <w:sz w:val="22"/>
          <w:szCs w:val="22"/>
        </w:rPr>
        <w:t xml:space="preserve">J. M. Winter, </w:t>
      </w:r>
      <w:proofErr w:type="gramStart"/>
      <w:r w:rsidRPr="00F0313F">
        <w:rPr>
          <w:rFonts w:cs="Tahoma"/>
          <w:i/>
          <w:sz w:val="22"/>
          <w:szCs w:val="22"/>
        </w:rPr>
        <w:t>The</w:t>
      </w:r>
      <w:proofErr w:type="gramEnd"/>
      <w:r w:rsidRPr="00F0313F">
        <w:rPr>
          <w:rFonts w:cs="Tahoma"/>
          <w:i/>
          <w:sz w:val="22"/>
          <w:szCs w:val="22"/>
        </w:rPr>
        <w:t xml:space="preserve"> Great War and its People </w:t>
      </w:r>
      <w:r w:rsidRPr="00F0313F">
        <w:rPr>
          <w:rFonts w:cs="Tahoma"/>
          <w:sz w:val="22"/>
          <w:szCs w:val="22"/>
        </w:rPr>
        <w:t>(Basingstoke: Palgrave Macmillan, 2003).</w:t>
      </w:r>
      <w:bookmarkStart w:id="0" w:name="_GoBack"/>
      <w:bookmarkEnd w:id="0"/>
    </w:p>
    <w:sectPr w:rsidR="00F0313F" w:rsidRPr="00F0313F" w:rsidSect="005A51B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59C" w:rsidRDefault="0012359C" w:rsidP="006A5E7D">
      <w:pPr>
        <w:spacing w:after="0" w:line="240" w:lineRule="auto"/>
      </w:pPr>
      <w:r>
        <w:separator/>
      </w:r>
    </w:p>
  </w:endnote>
  <w:endnote w:type="continuationSeparator" w:id="0">
    <w:p w:rsidR="0012359C" w:rsidRDefault="0012359C" w:rsidP="006A5E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59C" w:rsidRDefault="0012359C" w:rsidP="006A5E7D">
      <w:pPr>
        <w:spacing w:after="0" w:line="240" w:lineRule="auto"/>
      </w:pPr>
      <w:r>
        <w:separator/>
      </w:r>
    </w:p>
  </w:footnote>
  <w:footnote w:type="continuationSeparator" w:id="0">
    <w:p w:rsidR="0012359C" w:rsidRDefault="0012359C" w:rsidP="006A5E7D">
      <w:pPr>
        <w:spacing w:after="0" w:line="240" w:lineRule="auto"/>
      </w:pPr>
      <w:r>
        <w:continuationSeparator/>
      </w:r>
    </w:p>
  </w:footnote>
  <w:footnote w:id="1">
    <w:p w:rsidR="005706CC" w:rsidRDefault="005706CC" w:rsidP="005706CC">
      <w:pPr>
        <w:pStyle w:val="FootnoteText"/>
      </w:pPr>
      <w:r>
        <w:rPr>
          <w:rStyle w:val="FootnoteReference"/>
        </w:rPr>
        <w:footnoteRef/>
      </w:r>
      <w:r>
        <w:t xml:space="preserve"> S. Constantine, M. W. Kirby and M.B. Rose, </w:t>
      </w:r>
      <w:r w:rsidRPr="007B3DB4">
        <w:rPr>
          <w:i/>
        </w:rPr>
        <w:t>The First World War in British History</w:t>
      </w:r>
      <w:r>
        <w:t xml:space="preserve"> (London: Edward Arnold</w:t>
      </w:r>
      <w:r w:rsidR="001A04DF">
        <w:t>,</w:t>
      </w:r>
      <w:r>
        <w:t xml:space="preserve"> 1995), p.1.</w:t>
      </w:r>
    </w:p>
  </w:footnote>
  <w:footnote w:id="2">
    <w:p w:rsidR="00EB4FF6" w:rsidRDefault="00EB4FF6">
      <w:pPr>
        <w:pStyle w:val="FootnoteText"/>
      </w:pPr>
      <w:r>
        <w:rPr>
          <w:rStyle w:val="FootnoteReference"/>
        </w:rPr>
        <w:footnoteRef/>
      </w:r>
      <w:r>
        <w:t xml:space="preserve"> C. Falls, </w:t>
      </w:r>
      <w:r w:rsidR="00AC4DA3" w:rsidRPr="00AB301F">
        <w:rPr>
          <w:i/>
        </w:rPr>
        <w:t>The Nature of Modern Warfare</w:t>
      </w:r>
      <w:r w:rsidR="00AC4DA3">
        <w:t xml:space="preserve"> (London: Methuen</w:t>
      </w:r>
      <w:r w:rsidR="001A04DF">
        <w:t>,</w:t>
      </w:r>
      <w:r w:rsidR="00AC4DA3">
        <w:t xml:space="preserve"> 1941), p. 8.</w:t>
      </w:r>
    </w:p>
  </w:footnote>
  <w:footnote w:id="3">
    <w:p w:rsidR="004D7D43" w:rsidRDefault="004D7D43">
      <w:pPr>
        <w:pStyle w:val="FootnoteText"/>
      </w:pPr>
      <w:r>
        <w:rPr>
          <w:rStyle w:val="FootnoteReference"/>
        </w:rPr>
        <w:footnoteRef/>
      </w:r>
      <w:r>
        <w:t xml:space="preserve"> I. Kershaw, </w:t>
      </w:r>
      <w:r w:rsidRPr="00AB301F">
        <w:rPr>
          <w:i/>
        </w:rPr>
        <w:t>To Hel</w:t>
      </w:r>
      <w:r w:rsidR="001A04DF" w:rsidRPr="00AB301F">
        <w:rPr>
          <w:i/>
        </w:rPr>
        <w:t>l and Back: Europe 1914-1949</w:t>
      </w:r>
      <w:r w:rsidR="001A04DF">
        <w:t xml:space="preserve"> (London; </w:t>
      </w:r>
      <w:r>
        <w:t>Penguin</w:t>
      </w:r>
      <w:r w:rsidR="001A04DF">
        <w:t>,</w:t>
      </w:r>
      <w:r>
        <w:t xml:space="preserve"> 2015), p.1.</w:t>
      </w:r>
    </w:p>
  </w:footnote>
  <w:footnote w:id="4">
    <w:p w:rsidR="00470BC3" w:rsidRDefault="00470BC3">
      <w:pPr>
        <w:pStyle w:val="FootnoteText"/>
      </w:pPr>
      <w:r>
        <w:rPr>
          <w:rStyle w:val="FootnoteReference"/>
        </w:rPr>
        <w:footnoteRef/>
      </w:r>
      <w:r>
        <w:t xml:space="preserve"> A</w:t>
      </w:r>
      <w:r w:rsidR="000721A7">
        <w:t>.</w:t>
      </w:r>
      <w:r>
        <w:t xml:space="preserve"> Marwick, </w:t>
      </w:r>
      <w:proofErr w:type="gramStart"/>
      <w:r w:rsidRPr="001A04DF">
        <w:rPr>
          <w:i/>
        </w:rPr>
        <w:t>The</w:t>
      </w:r>
      <w:proofErr w:type="gramEnd"/>
      <w:r w:rsidRPr="001A04DF">
        <w:rPr>
          <w:i/>
        </w:rPr>
        <w:t xml:space="preserve"> Deluge</w:t>
      </w:r>
      <w:r w:rsidR="001A04DF">
        <w:t xml:space="preserve"> (</w:t>
      </w:r>
      <w:r>
        <w:t>Basingstoke: Palgrave Macmillan</w:t>
      </w:r>
      <w:r w:rsidR="001A04DF">
        <w:t>, 2006), pp. 21-24;</w:t>
      </w:r>
      <w:r w:rsidR="00E84231">
        <w:t xml:space="preserve"> A. Sharp, </w:t>
      </w:r>
      <w:r w:rsidR="00E84231" w:rsidRPr="004B2A85">
        <w:rPr>
          <w:i/>
        </w:rPr>
        <w:t>Consequences of the Versailles Settlement: Aftermath and Leg</w:t>
      </w:r>
      <w:r w:rsidR="00AB301F">
        <w:rPr>
          <w:i/>
        </w:rPr>
        <w:t>acy 1919-</w:t>
      </w:r>
      <w:r w:rsidR="00E84231" w:rsidRPr="004B2A85">
        <w:rPr>
          <w:i/>
        </w:rPr>
        <w:t>2010</w:t>
      </w:r>
      <w:r w:rsidR="00E84231">
        <w:t xml:space="preserve"> (London: </w:t>
      </w:r>
      <w:proofErr w:type="spellStart"/>
      <w:r w:rsidR="00E84231">
        <w:t>Haus</w:t>
      </w:r>
      <w:proofErr w:type="spellEnd"/>
      <w:r w:rsidR="00E84231">
        <w:t xml:space="preserve"> Publishing</w:t>
      </w:r>
      <w:r w:rsidR="001A04DF">
        <w:t>,</w:t>
      </w:r>
      <w:r w:rsidR="00E84231">
        <w:t xml:space="preserve"> 2015), pp. 9-10.</w:t>
      </w:r>
    </w:p>
  </w:footnote>
  <w:footnote w:id="5">
    <w:p w:rsidR="00B35F18" w:rsidRDefault="00B35F18">
      <w:pPr>
        <w:pStyle w:val="FootnoteText"/>
      </w:pPr>
      <w:r>
        <w:rPr>
          <w:rStyle w:val="FootnoteReference"/>
        </w:rPr>
        <w:footnoteRef/>
      </w:r>
      <w:r>
        <w:t xml:space="preserve"> M. Hastings, </w:t>
      </w:r>
      <w:r w:rsidRPr="00B35F18">
        <w:rPr>
          <w:i/>
        </w:rPr>
        <w:t>Catastrophe: Europe goes to War 1914</w:t>
      </w:r>
      <w:r>
        <w:t xml:space="preserve"> (London: Collins</w:t>
      </w:r>
      <w:r w:rsidR="001A04DF">
        <w:t>,</w:t>
      </w:r>
      <w:r>
        <w:t xml:space="preserve"> 2013), pp. 42-47.</w:t>
      </w:r>
    </w:p>
  </w:footnote>
  <w:footnote w:id="6">
    <w:p w:rsidR="00F375E2" w:rsidRDefault="00F375E2">
      <w:pPr>
        <w:pStyle w:val="FootnoteText"/>
      </w:pPr>
      <w:r>
        <w:rPr>
          <w:rStyle w:val="FootnoteReference"/>
        </w:rPr>
        <w:footnoteRef/>
      </w:r>
      <w:r>
        <w:t xml:space="preserve"> </w:t>
      </w:r>
      <w:r w:rsidR="00F75814">
        <w:t xml:space="preserve">S. Constantine, M. W. Kirby and M.B. Rose, </w:t>
      </w:r>
      <w:r w:rsidR="00F75814" w:rsidRPr="007B3DB4">
        <w:rPr>
          <w:i/>
        </w:rPr>
        <w:t>The First World War in British History</w:t>
      </w:r>
      <w:r w:rsidR="00F75814">
        <w:t xml:space="preserve"> (London: Edward Arnold</w:t>
      </w:r>
      <w:r w:rsidR="001A04DF">
        <w:t>,</w:t>
      </w:r>
      <w:r w:rsidR="00F75814">
        <w:t xml:space="preserve"> 1995), p.1.</w:t>
      </w:r>
    </w:p>
  </w:footnote>
  <w:footnote w:id="7">
    <w:p w:rsidR="00B93692" w:rsidRPr="005D51AF" w:rsidRDefault="00B93692" w:rsidP="00B93692">
      <w:pPr>
        <w:pStyle w:val="FootnoteText"/>
        <w:rPr>
          <w:lang w:val="fr-FR"/>
        </w:rPr>
      </w:pPr>
      <w:r>
        <w:rPr>
          <w:rStyle w:val="FootnoteReference"/>
        </w:rPr>
        <w:footnoteRef/>
      </w:r>
      <w:r w:rsidRPr="005D51AF">
        <w:rPr>
          <w:lang w:val="fr-FR"/>
        </w:rPr>
        <w:t xml:space="preserve"> J. M. Roberts, </w:t>
      </w:r>
      <w:r w:rsidRPr="005D51AF">
        <w:rPr>
          <w:i/>
          <w:lang w:val="fr-FR"/>
        </w:rPr>
        <w:t>Europe 1880-1945</w:t>
      </w:r>
      <w:r w:rsidR="001A04DF">
        <w:rPr>
          <w:lang w:val="fr-FR"/>
        </w:rPr>
        <w:t xml:space="preserve"> (London</w:t>
      </w:r>
      <w:r w:rsidR="006B2826">
        <w:rPr>
          <w:lang w:val="fr-FR"/>
        </w:rPr>
        <w:t xml:space="preserve">: Longman, 2001), pp. 292-293 ; </w:t>
      </w:r>
      <w:r w:rsidR="006B2826">
        <w:t xml:space="preserve">J. M. Winter, </w:t>
      </w:r>
      <w:r w:rsidR="006B2826" w:rsidRPr="00F14352">
        <w:rPr>
          <w:i/>
        </w:rPr>
        <w:t xml:space="preserve">The Great War and its People </w:t>
      </w:r>
      <w:r w:rsidR="006B2826">
        <w:t>(Basingstoke: Palgrave Macmillan, 2003), pp. 66-72.</w:t>
      </w:r>
    </w:p>
  </w:footnote>
  <w:footnote w:id="8">
    <w:p w:rsidR="002E178F" w:rsidRPr="001A04DF" w:rsidRDefault="002E178F" w:rsidP="001A04DF">
      <w:pPr>
        <w:spacing w:after="0"/>
        <w:rPr>
          <w:rFonts w:ascii="Tahoma" w:hAnsi="Tahoma" w:cs="Tahoma"/>
          <w:sz w:val="20"/>
          <w:szCs w:val="20"/>
        </w:rPr>
      </w:pPr>
      <w:r w:rsidRPr="001A04DF">
        <w:rPr>
          <w:rStyle w:val="FootnoteReference"/>
          <w:sz w:val="20"/>
          <w:szCs w:val="20"/>
        </w:rPr>
        <w:footnoteRef/>
      </w:r>
      <w:r w:rsidRPr="001A04DF">
        <w:rPr>
          <w:sz w:val="20"/>
          <w:szCs w:val="20"/>
        </w:rPr>
        <w:t xml:space="preserve"> </w:t>
      </w:r>
      <w:r w:rsidR="001A04DF" w:rsidRPr="001A04DF">
        <w:rPr>
          <w:sz w:val="20"/>
          <w:szCs w:val="20"/>
        </w:rPr>
        <w:t xml:space="preserve">S. Constantine, M. W. Kirby and M.B. Rose, </w:t>
      </w:r>
      <w:r w:rsidR="001A04DF" w:rsidRPr="001A04DF">
        <w:rPr>
          <w:i/>
          <w:sz w:val="20"/>
          <w:szCs w:val="20"/>
        </w:rPr>
        <w:t>The First World War in British History</w:t>
      </w:r>
      <w:r w:rsidR="001A04DF" w:rsidRPr="001A04DF">
        <w:rPr>
          <w:sz w:val="20"/>
          <w:szCs w:val="20"/>
        </w:rPr>
        <w:t xml:space="preserve"> (London: Edward Arnold,</w:t>
      </w:r>
      <w:r w:rsidR="001A04DF">
        <w:rPr>
          <w:sz w:val="20"/>
          <w:szCs w:val="20"/>
        </w:rPr>
        <w:t xml:space="preserve"> 1995), </w:t>
      </w:r>
      <w:r w:rsidR="00F14352" w:rsidRPr="001A04DF">
        <w:rPr>
          <w:sz w:val="20"/>
          <w:szCs w:val="20"/>
        </w:rPr>
        <w:t>p. 6.</w:t>
      </w:r>
    </w:p>
  </w:footnote>
  <w:footnote w:id="9">
    <w:p w:rsidR="00271B46" w:rsidRDefault="00271B46" w:rsidP="001A04DF">
      <w:pPr>
        <w:pStyle w:val="FootnoteText"/>
      </w:pPr>
      <w:r>
        <w:rPr>
          <w:rStyle w:val="FootnoteReference"/>
        </w:rPr>
        <w:footnoteRef/>
      </w:r>
      <w:r>
        <w:t xml:space="preserve"> J. M. Winter</w:t>
      </w:r>
      <w:r w:rsidR="00D90832">
        <w:t xml:space="preserve">, </w:t>
      </w:r>
      <w:proofErr w:type="gramStart"/>
      <w:r w:rsidR="00D90832" w:rsidRPr="001A04DF">
        <w:rPr>
          <w:i/>
        </w:rPr>
        <w:t>The</w:t>
      </w:r>
      <w:proofErr w:type="gramEnd"/>
      <w:r w:rsidR="00D90832" w:rsidRPr="001A04DF">
        <w:rPr>
          <w:i/>
        </w:rPr>
        <w:t xml:space="preserve"> Great War and its People</w:t>
      </w:r>
      <w:r w:rsidR="00D90832">
        <w:t xml:space="preserve"> </w:t>
      </w:r>
      <w:r w:rsidR="001A04DF">
        <w:t>(Basingstoke</w:t>
      </w:r>
      <w:r>
        <w:t>: Palgrave Macmillan, 2003), p. 65.</w:t>
      </w:r>
    </w:p>
  </w:footnote>
  <w:footnote w:id="10">
    <w:p w:rsidR="002726DF" w:rsidRDefault="002726DF">
      <w:pPr>
        <w:pStyle w:val="FootnoteText"/>
      </w:pPr>
      <w:r>
        <w:rPr>
          <w:rStyle w:val="FootnoteReference"/>
        </w:rPr>
        <w:footnoteRef/>
      </w:r>
      <w:r w:rsidR="001A04DF">
        <w:t xml:space="preserve"> A. Marwick, </w:t>
      </w:r>
      <w:proofErr w:type="gramStart"/>
      <w:r w:rsidR="001A04DF" w:rsidRPr="001A04DF">
        <w:rPr>
          <w:i/>
        </w:rPr>
        <w:t>The</w:t>
      </w:r>
      <w:proofErr w:type="gramEnd"/>
      <w:r w:rsidR="001A04DF" w:rsidRPr="001A04DF">
        <w:rPr>
          <w:i/>
        </w:rPr>
        <w:t xml:space="preserve"> Deluge</w:t>
      </w:r>
      <w:r w:rsidR="001A04DF">
        <w:t xml:space="preserve"> (</w:t>
      </w:r>
      <w:r>
        <w:t>Basingstoke: Palgrave Macmillan</w:t>
      </w:r>
      <w:r w:rsidR="001A04DF">
        <w:t>,</w:t>
      </w:r>
      <w:r>
        <w:t xml:space="preserve"> 2006), pp. 230-231.</w:t>
      </w:r>
    </w:p>
  </w:footnote>
  <w:footnote w:id="11">
    <w:p w:rsidR="00D90832" w:rsidRDefault="00D90832">
      <w:pPr>
        <w:pStyle w:val="FootnoteText"/>
      </w:pPr>
      <w:r>
        <w:rPr>
          <w:rStyle w:val="FootnoteReference"/>
        </w:rPr>
        <w:footnoteRef/>
      </w:r>
      <w:r>
        <w:t xml:space="preserve"> J. M. Winter, </w:t>
      </w:r>
      <w:proofErr w:type="gramStart"/>
      <w:r w:rsidRPr="001A04DF">
        <w:rPr>
          <w:i/>
        </w:rPr>
        <w:t>The</w:t>
      </w:r>
      <w:proofErr w:type="gramEnd"/>
      <w:r w:rsidRPr="001A04DF">
        <w:rPr>
          <w:i/>
        </w:rPr>
        <w:t xml:space="preserve"> Great War and its People</w:t>
      </w:r>
      <w:r w:rsidR="002047E5">
        <w:t xml:space="preserve"> </w:t>
      </w:r>
      <w:r w:rsidR="001A04DF">
        <w:t>(Basingstoke</w:t>
      </w:r>
      <w:r>
        <w:t>: Palgrave Macmillan, 2003), p. 16.</w:t>
      </w:r>
    </w:p>
  </w:footnote>
  <w:footnote w:id="12">
    <w:p w:rsidR="002047E5" w:rsidRDefault="002047E5">
      <w:pPr>
        <w:pStyle w:val="FootnoteText"/>
      </w:pPr>
      <w:r>
        <w:rPr>
          <w:rStyle w:val="FootnoteReference"/>
        </w:rPr>
        <w:footnoteRef/>
      </w:r>
      <w:proofErr w:type="gramStart"/>
      <w:r w:rsidR="00432A86" w:rsidRPr="00BE1049">
        <w:rPr>
          <w:i/>
        </w:rPr>
        <w:t>i</w:t>
      </w:r>
      <w:r w:rsidR="009B2A45" w:rsidRPr="00BE1049">
        <w:rPr>
          <w:i/>
        </w:rPr>
        <w:t>bid</w:t>
      </w:r>
      <w:r w:rsidR="009B2A45">
        <w:t>.</w:t>
      </w:r>
      <w:r w:rsidR="00E96517">
        <w:t>,</w:t>
      </w:r>
      <w:proofErr w:type="gramEnd"/>
      <w:r w:rsidR="00E96517">
        <w:t xml:space="preserve"> p. 52</w:t>
      </w:r>
      <w:r>
        <w:t>.</w:t>
      </w:r>
    </w:p>
  </w:footnote>
  <w:footnote w:id="13">
    <w:p w:rsidR="00063414" w:rsidRDefault="00063414">
      <w:pPr>
        <w:pStyle w:val="FootnoteText"/>
      </w:pPr>
      <w:r>
        <w:rPr>
          <w:rStyle w:val="FootnoteReference"/>
        </w:rPr>
        <w:footnoteRef/>
      </w:r>
      <w:proofErr w:type="gramStart"/>
      <w:r w:rsidR="00432A86" w:rsidRPr="00BE1049">
        <w:rPr>
          <w:i/>
        </w:rPr>
        <w:t>i</w:t>
      </w:r>
      <w:r w:rsidR="009B2A45" w:rsidRPr="00BE1049">
        <w:rPr>
          <w:i/>
        </w:rPr>
        <w:t>bid</w:t>
      </w:r>
      <w:r w:rsidR="009B2A45">
        <w:t>.</w:t>
      </w:r>
      <w:r>
        <w:t>,</w:t>
      </w:r>
      <w:proofErr w:type="gramEnd"/>
      <w:r>
        <w:t xml:space="preserve"> p. 49.</w:t>
      </w:r>
    </w:p>
  </w:footnote>
  <w:footnote w:id="14">
    <w:p w:rsidR="00400549" w:rsidRDefault="00400549" w:rsidP="00400549">
      <w:pPr>
        <w:pStyle w:val="FootnoteText"/>
      </w:pPr>
      <w:r>
        <w:rPr>
          <w:rStyle w:val="FootnoteReference"/>
        </w:rPr>
        <w:footnoteRef/>
      </w:r>
      <w:proofErr w:type="gramStart"/>
      <w:r w:rsidR="00432A86" w:rsidRPr="00BE1049">
        <w:rPr>
          <w:i/>
        </w:rPr>
        <w:t>i</w:t>
      </w:r>
      <w:r w:rsidR="009B2A45" w:rsidRPr="00BE1049">
        <w:rPr>
          <w:i/>
        </w:rPr>
        <w:t>bid</w:t>
      </w:r>
      <w:r w:rsidR="009B2A45">
        <w:t>.,</w:t>
      </w:r>
      <w:proofErr w:type="gramEnd"/>
      <w:r w:rsidR="009B2A45">
        <w:t xml:space="preserve"> p. 20.</w:t>
      </w:r>
    </w:p>
  </w:footnote>
  <w:footnote w:id="15">
    <w:p w:rsidR="00AE6BB4" w:rsidRDefault="00AE6BB4" w:rsidP="00AE6BB4">
      <w:pPr>
        <w:pStyle w:val="FootnoteText"/>
      </w:pPr>
      <w:r>
        <w:rPr>
          <w:rStyle w:val="FootnoteReference"/>
        </w:rPr>
        <w:footnoteRef/>
      </w:r>
      <w:r w:rsidR="009B2A45" w:rsidRPr="00BE1049">
        <w:rPr>
          <w:i/>
        </w:rPr>
        <w:t>ibid</w:t>
      </w:r>
      <w:r>
        <w:t>, p. 140.</w:t>
      </w:r>
    </w:p>
  </w:footnote>
  <w:footnote w:id="16">
    <w:p w:rsidR="006D11F2" w:rsidRDefault="006D11F2" w:rsidP="006D11F2">
      <w:pPr>
        <w:pStyle w:val="FootnoteText"/>
      </w:pPr>
      <w:r>
        <w:rPr>
          <w:rStyle w:val="FootnoteReference"/>
        </w:rPr>
        <w:footnoteRef/>
      </w:r>
      <w:r>
        <w:t xml:space="preserve"> I. Kershaw </w:t>
      </w:r>
      <w:proofErr w:type="gramStart"/>
      <w:r w:rsidRPr="009B2A45">
        <w:rPr>
          <w:i/>
        </w:rPr>
        <w:t>To</w:t>
      </w:r>
      <w:proofErr w:type="gramEnd"/>
      <w:r w:rsidRPr="009B2A45">
        <w:rPr>
          <w:i/>
        </w:rPr>
        <w:t xml:space="preserve"> Hell and Back: Europe 1914-1949</w:t>
      </w:r>
      <w:r w:rsidR="009B2A45">
        <w:t xml:space="preserve"> (London: Penguin, 2015), p. 95;</w:t>
      </w:r>
      <w:r w:rsidR="00187EFE">
        <w:t xml:space="preserve"> P. </w:t>
      </w:r>
      <w:proofErr w:type="spellStart"/>
      <w:r w:rsidR="00187EFE">
        <w:t>Fussell</w:t>
      </w:r>
      <w:proofErr w:type="spellEnd"/>
      <w:r w:rsidR="00187EFE">
        <w:t xml:space="preserve"> </w:t>
      </w:r>
      <w:r w:rsidR="00187EFE">
        <w:rPr>
          <w:i/>
        </w:rPr>
        <w:t>The Great War and Modern Memory</w:t>
      </w:r>
      <w:r w:rsidR="00187EFE">
        <w:t xml:space="preserve"> (Oxford: Oxford University Press, 2013), p. 343</w:t>
      </w:r>
      <w:r w:rsidR="009B2A45">
        <w:t>.</w:t>
      </w:r>
    </w:p>
  </w:footnote>
  <w:footnote w:id="17">
    <w:p w:rsidR="006D11F2" w:rsidRDefault="006D11F2" w:rsidP="006D11F2">
      <w:pPr>
        <w:pStyle w:val="FootnoteText"/>
      </w:pPr>
      <w:r>
        <w:rPr>
          <w:rStyle w:val="FootnoteReference"/>
        </w:rPr>
        <w:footnoteRef/>
      </w:r>
      <w:r>
        <w:t xml:space="preserve"> M. B. Rose </w:t>
      </w:r>
      <w:r w:rsidR="009B2A45" w:rsidRPr="009B2A45">
        <w:t>“</w:t>
      </w:r>
      <w:r w:rsidRPr="009B2A45">
        <w:t>Britain and the International Economy</w:t>
      </w:r>
      <w:r w:rsidR="009B2A45" w:rsidRPr="009B2A45">
        <w:t>”,</w:t>
      </w:r>
      <w:r w:rsidR="009B2A45">
        <w:t xml:space="preserve"> </w:t>
      </w:r>
      <w:r w:rsidR="009B2A45" w:rsidRPr="009B2A45">
        <w:rPr>
          <w:i/>
        </w:rPr>
        <w:t>The First World War In British History</w:t>
      </w:r>
      <w:r w:rsidR="009B2A45">
        <w:rPr>
          <w:i/>
        </w:rPr>
        <w:t>,</w:t>
      </w:r>
      <w:r w:rsidR="009B2A45">
        <w:t xml:space="preserve"> ed.</w:t>
      </w:r>
      <w:r w:rsidR="00AB301F">
        <w:t xml:space="preserve"> S. Constantine, M.W. Kirby and</w:t>
      </w:r>
      <w:r>
        <w:t xml:space="preserve"> M. B. Rose (London: Edward Arnold</w:t>
      </w:r>
      <w:r w:rsidR="009B2A45">
        <w:t>,</w:t>
      </w:r>
      <w:r>
        <w:t xml:space="preserve"> 1995), p. 240.</w:t>
      </w:r>
    </w:p>
  </w:footnote>
  <w:footnote w:id="18">
    <w:p w:rsidR="006D11F2" w:rsidRDefault="006D11F2" w:rsidP="006D11F2">
      <w:pPr>
        <w:pStyle w:val="FootnoteText"/>
      </w:pPr>
      <w:r>
        <w:rPr>
          <w:rStyle w:val="FootnoteReference"/>
        </w:rPr>
        <w:footnoteRef/>
      </w:r>
      <w:r>
        <w:t xml:space="preserve"> </w:t>
      </w:r>
      <w:r w:rsidRPr="00F75310">
        <w:t>P. Thane</w:t>
      </w:r>
      <w:r>
        <w:rPr>
          <w:i/>
        </w:rPr>
        <w:t xml:space="preserve"> Foundations of the Welfare State</w:t>
      </w:r>
      <w:r>
        <w:t xml:space="preserve"> (London: Pearson Longman</w:t>
      </w:r>
      <w:r w:rsidR="00F75310">
        <w:t>,</w:t>
      </w:r>
      <w:r>
        <w:t xml:space="preserve"> 1996), p.155.</w:t>
      </w:r>
    </w:p>
  </w:footnote>
  <w:footnote w:id="19">
    <w:p w:rsidR="006D11F2" w:rsidRDefault="006D11F2" w:rsidP="006D11F2">
      <w:pPr>
        <w:pStyle w:val="FootnoteText"/>
      </w:pPr>
      <w:r>
        <w:rPr>
          <w:rStyle w:val="FootnoteReference"/>
        </w:rPr>
        <w:footnoteRef/>
      </w:r>
      <w:r>
        <w:t xml:space="preserve"> I. Kershaw </w:t>
      </w:r>
      <w:proofErr w:type="gramStart"/>
      <w:r>
        <w:rPr>
          <w:i/>
        </w:rPr>
        <w:t>To</w:t>
      </w:r>
      <w:proofErr w:type="gramEnd"/>
      <w:r>
        <w:rPr>
          <w:i/>
        </w:rPr>
        <w:t xml:space="preserve"> Hell and Back: Europe 1914-1949</w:t>
      </w:r>
      <w:r>
        <w:t xml:space="preserve"> (London: Penguin</w:t>
      </w:r>
      <w:r w:rsidR="00F75310">
        <w:t>,</w:t>
      </w:r>
      <w:r>
        <w:t xml:space="preserve"> 2015), p. 94.</w:t>
      </w:r>
    </w:p>
  </w:footnote>
  <w:footnote w:id="20">
    <w:p w:rsidR="006D11F2" w:rsidRDefault="006D11F2" w:rsidP="006D11F2">
      <w:pPr>
        <w:pStyle w:val="FootnoteText"/>
      </w:pPr>
      <w:r>
        <w:rPr>
          <w:rStyle w:val="FootnoteReference"/>
        </w:rPr>
        <w:footnoteRef/>
      </w:r>
      <w:r>
        <w:t xml:space="preserve"> D. Fraser</w:t>
      </w:r>
      <w:r w:rsidR="009B2A45">
        <w:t xml:space="preserve"> </w:t>
      </w:r>
      <w:r w:rsidR="009B2A45">
        <w:rPr>
          <w:i/>
        </w:rPr>
        <w:t>The E</w:t>
      </w:r>
      <w:r>
        <w:rPr>
          <w:i/>
        </w:rPr>
        <w:t>volution of the British Welfare State</w:t>
      </w:r>
      <w:r w:rsidR="00506CA7">
        <w:rPr>
          <w:i/>
        </w:rPr>
        <w:t>:</w:t>
      </w:r>
      <w:r w:rsidR="00506CA7" w:rsidRPr="00506CA7">
        <w:rPr>
          <w:i/>
        </w:rPr>
        <w:t xml:space="preserve"> </w:t>
      </w:r>
      <w:r w:rsidR="00506CA7" w:rsidRPr="008516B1">
        <w:rPr>
          <w:i/>
        </w:rPr>
        <w:t xml:space="preserve">A History of Social Policy </w:t>
      </w:r>
      <w:proofErr w:type="gramStart"/>
      <w:r w:rsidR="00506CA7" w:rsidRPr="008516B1">
        <w:rPr>
          <w:i/>
        </w:rPr>
        <w:t>Since</w:t>
      </w:r>
      <w:proofErr w:type="gramEnd"/>
      <w:r w:rsidR="00506CA7" w:rsidRPr="008516B1">
        <w:rPr>
          <w:i/>
        </w:rPr>
        <w:t xml:space="preserve"> the Industrial Revolution</w:t>
      </w:r>
      <w:r>
        <w:t xml:space="preserve"> (London: Palgrave Macmillan</w:t>
      </w:r>
      <w:r w:rsidR="009B2A45">
        <w:t>,</w:t>
      </w:r>
      <w:r w:rsidR="003827A3">
        <w:t xml:space="preserve"> 2009</w:t>
      </w:r>
      <w:r>
        <w:t>), p.219</w:t>
      </w:r>
      <w:r w:rsidR="009B2A45">
        <w:t>.</w:t>
      </w:r>
    </w:p>
  </w:footnote>
  <w:footnote w:id="21">
    <w:p w:rsidR="006D11F2" w:rsidRDefault="006D11F2" w:rsidP="006D11F2">
      <w:pPr>
        <w:pStyle w:val="FootnoteText"/>
      </w:pPr>
      <w:r>
        <w:rPr>
          <w:rStyle w:val="FootnoteReference"/>
        </w:rPr>
        <w:footnoteRef/>
      </w:r>
      <w:r>
        <w:t xml:space="preserve"> I. Kershaw </w:t>
      </w:r>
      <w:proofErr w:type="gramStart"/>
      <w:r>
        <w:rPr>
          <w:i/>
        </w:rPr>
        <w:t>To</w:t>
      </w:r>
      <w:proofErr w:type="gramEnd"/>
      <w:r>
        <w:rPr>
          <w:i/>
        </w:rPr>
        <w:t xml:space="preserve"> Hell and Back: Europe 1914-1949</w:t>
      </w:r>
      <w:r>
        <w:t xml:space="preserve"> (London: Penguin</w:t>
      </w:r>
      <w:r w:rsidR="009B2A45">
        <w:t>,</w:t>
      </w:r>
      <w:r>
        <w:t xml:space="preserve"> 2015), p. 416.</w:t>
      </w:r>
    </w:p>
  </w:footnote>
  <w:footnote w:id="22">
    <w:p w:rsidR="006D11F2" w:rsidRDefault="006D11F2" w:rsidP="006D11F2">
      <w:pPr>
        <w:pStyle w:val="FootnoteText"/>
      </w:pPr>
      <w:r>
        <w:rPr>
          <w:rStyle w:val="FootnoteReference"/>
        </w:rPr>
        <w:footnoteRef/>
      </w:r>
      <w:r>
        <w:t xml:space="preserve"> P. </w:t>
      </w:r>
      <w:proofErr w:type="spellStart"/>
      <w:r>
        <w:t>Fussell</w:t>
      </w:r>
      <w:proofErr w:type="spellEnd"/>
      <w:r>
        <w:t xml:space="preserve"> </w:t>
      </w:r>
      <w:proofErr w:type="gramStart"/>
      <w:r>
        <w:rPr>
          <w:i/>
        </w:rPr>
        <w:t>The</w:t>
      </w:r>
      <w:proofErr w:type="gramEnd"/>
      <w:r>
        <w:rPr>
          <w:i/>
        </w:rPr>
        <w:t xml:space="preserve"> Great War and Modern Memory</w:t>
      </w:r>
      <w:r>
        <w:t xml:space="preserve"> (Oxford: Oxford University Press, 2013), p. 343.</w:t>
      </w:r>
    </w:p>
  </w:footnote>
  <w:footnote w:id="23">
    <w:p w:rsidR="000B7EBD" w:rsidRDefault="000B7EBD" w:rsidP="000B7EBD">
      <w:pPr>
        <w:pStyle w:val="FootnoteText"/>
      </w:pPr>
      <w:r>
        <w:rPr>
          <w:rStyle w:val="FootnoteReference"/>
        </w:rPr>
        <w:footnoteRef/>
      </w:r>
      <w:r w:rsidR="006A4507">
        <w:t xml:space="preserve"> A. Marwick, </w:t>
      </w:r>
      <w:proofErr w:type="gramStart"/>
      <w:r w:rsidR="006A4507" w:rsidRPr="009B2A45">
        <w:rPr>
          <w:i/>
        </w:rPr>
        <w:t>The</w:t>
      </w:r>
      <w:proofErr w:type="gramEnd"/>
      <w:r w:rsidR="006A4507" w:rsidRPr="009B2A45">
        <w:rPr>
          <w:i/>
        </w:rPr>
        <w:t xml:space="preserve"> Deluge</w:t>
      </w:r>
      <w:r w:rsidR="006A4507">
        <w:t xml:space="preserve"> (</w:t>
      </w:r>
      <w:r>
        <w:t>Basingstoke: Palgrave Macmillan</w:t>
      </w:r>
      <w:r w:rsidR="009B2A45">
        <w:t>,</w:t>
      </w:r>
      <w:r>
        <w:t xml:space="preserve"> 2006), p. 23.</w:t>
      </w:r>
    </w:p>
  </w:footnote>
  <w:footnote w:id="24">
    <w:p w:rsidR="000B7EBD" w:rsidRDefault="000B7EBD" w:rsidP="000B7EBD">
      <w:pPr>
        <w:pStyle w:val="FootnoteText"/>
      </w:pPr>
      <w:r>
        <w:rPr>
          <w:rStyle w:val="FootnoteReference"/>
        </w:rPr>
        <w:footnoteRef/>
      </w:r>
      <w:r>
        <w:t xml:space="preserve"> </w:t>
      </w:r>
      <w:r w:rsidR="009B2A45">
        <w:t xml:space="preserve">S </w:t>
      </w:r>
      <w:r>
        <w:t xml:space="preserve">Constantine, M. W. Kirby and M.B. Rose, </w:t>
      </w:r>
      <w:r w:rsidRPr="007B3DB4">
        <w:rPr>
          <w:i/>
        </w:rPr>
        <w:t>The First World War in British History</w:t>
      </w:r>
      <w:r>
        <w:t xml:space="preserve"> (London: Edward Arnold</w:t>
      </w:r>
      <w:r w:rsidR="009B2A45">
        <w:t>,</w:t>
      </w:r>
      <w:r>
        <w:t xml:space="preserve"> 1995), p.2.</w:t>
      </w:r>
    </w:p>
  </w:footnote>
  <w:footnote w:id="25">
    <w:p w:rsidR="0067261A" w:rsidRDefault="0067261A" w:rsidP="0067261A">
      <w:pPr>
        <w:pStyle w:val="FootnoteText"/>
      </w:pPr>
      <w:r>
        <w:rPr>
          <w:rStyle w:val="FootnoteReference"/>
        </w:rPr>
        <w:footnoteRef/>
      </w:r>
      <w:r w:rsidR="006A4507">
        <w:t xml:space="preserve"> A. Marwick, </w:t>
      </w:r>
      <w:proofErr w:type="gramStart"/>
      <w:r w:rsidR="006A4507" w:rsidRPr="006A4507">
        <w:rPr>
          <w:i/>
        </w:rPr>
        <w:t>The</w:t>
      </w:r>
      <w:proofErr w:type="gramEnd"/>
      <w:r w:rsidR="006A4507" w:rsidRPr="006A4507">
        <w:rPr>
          <w:i/>
        </w:rPr>
        <w:t xml:space="preserve"> Deluge</w:t>
      </w:r>
      <w:r w:rsidR="006A4507">
        <w:t xml:space="preserve"> (</w:t>
      </w:r>
      <w:r>
        <w:t>Basingstoke: Palgrave Macmillan</w:t>
      </w:r>
      <w:r w:rsidR="00432A86">
        <w:t>,</w:t>
      </w:r>
      <w:r>
        <w:t xml:space="preserve"> 2006), p. 192.</w:t>
      </w:r>
    </w:p>
  </w:footnote>
  <w:footnote w:id="26">
    <w:p w:rsidR="0067261A" w:rsidRDefault="0067261A" w:rsidP="0067261A">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196.</w:t>
      </w:r>
    </w:p>
  </w:footnote>
  <w:footnote w:id="27">
    <w:p w:rsidR="0067261A" w:rsidRDefault="0067261A" w:rsidP="0067261A">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197.</w:t>
      </w:r>
    </w:p>
  </w:footnote>
  <w:footnote w:id="28">
    <w:p w:rsidR="009D136C" w:rsidRDefault="009D136C" w:rsidP="009D136C">
      <w:pPr>
        <w:pStyle w:val="FootnoteText"/>
      </w:pPr>
      <w:r>
        <w:rPr>
          <w:rStyle w:val="FootnoteReference"/>
        </w:rPr>
        <w:footnoteRef/>
      </w:r>
      <w:r w:rsidR="00432A86" w:rsidRPr="00BE1049">
        <w:rPr>
          <w:i/>
        </w:rPr>
        <w:t xml:space="preserve"> </w:t>
      </w:r>
      <w:proofErr w:type="gramStart"/>
      <w:r w:rsidR="00432A86" w:rsidRPr="00BE1049">
        <w:rPr>
          <w:i/>
        </w:rPr>
        <w:t>ibid</w:t>
      </w:r>
      <w:r w:rsidR="00432A86">
        <w:t>.</w:t>
      </w:r>
      <w:r>
        <w:t>,</w:t>
      </w:r>
      <w:proofErr w:type="gramEnd"/>
      <w:r>
        <w:t xml:space="preserve"> p. 194.</w:t>
      </w:r>
    </w:p>
  </w:footnote>
  <w:footnote w:id="29">
    <w:p w:rsidR="00F97F1B" w:rsidRDefault="00F97F1B" w:rsidP="00F97F1B">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209.</w:t>
      </w:r>
    </w:p>
  </w:footnote>
  <w:footnote w:id="30">
    <w:p w:rsidR="00EE4D01" w:rsidRDefault="00EE4D01" w:rsidP="00EE4D01">
      <w:pPr>
        <w:pStyle w:val="FootnoteText"/>
      </w:pPr>
      <w:r>
        <w:rPr>
          <w:rStyle w:val="FootnoteReference"/>
        </w:rPr>
        <w:footnoteRef/>
      </w:r>
      <w:r w:rsidR="00432A86">
        <w:t xml:space="preserve"> </w:t>
      </w:r>
      <w:proofErr w:type="gramStart"/>
      <w:r w:rsidR="00432A86" w:rsidRPr="00BE1049">
        <w:rPr>
          <w:i/>
        </w:rPr>
        <w:t>ibid</w:t>
      </w:r>
      <w:r w:rsidR="00432A86">
        <w:t>.,</w:t>
      </w:r>
      <w:proofErr w:type="gramEnd"/>
      <w:r w:rsidR="00432A86">
        <w:t xml:space="preserve"> p</w:t>
      </w:r>
      <w:r>
        <w:t>. 242.</w:t>
      </w:r>
    </w:p>
  </w:footnote>
  <w:footnote w:id="31">
    <w:p w:rsidR="0067261A" w:rsidRDefault="0067261A" w:rsidP="0067261A">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211.</w:t>
      </w:r>
    </w:p>
  </w:footnote>
  <w:footnote w:id="32">
    <w:p w:rsidR="0067261A" w:rsidRDefault="0067261A" w:rsidP="0067261A">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217.</w:t>
      </w:r>
    </w:p>
  </w:footnote>
  <w:footnote w:id="33">
    <w:p w:rsidR="0067261A" w:rsidRDefault="0067261A" w:rsidP="0067261A">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 224-225.</w:t>
      </w:r>
    </w:p>
  </w:footnote>
  <w:footnote w:id="34">
    <w:p w:rsidR="00596471" w:rsidRDefault="00596471" w:rsidP="00596471">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168.</w:t>
      </w:r>
    </w:p>
  </w:footnote>
  <w:footnote w:id="35">
    <w:p w:rsidR="00596471" w:rsidRDefault="00596471" w:rsidP="00596471">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 240.</w:t>
      </w:r>
    </w:p>
  </w:footnote>
  <w:footnote w:id="36">
    <w:p w:rsidR="00596471" w:rsidRDefault="00596471" w:rsidP="00596471">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 246-247.</w:t>
      </w:r>
    </w:p>
  </w:footnote>
  <w:footnote w:id="37">
    <w:p w:rsidR="00596471" w:rsidRDefault="00596471" w:rsidP="00596471">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 243-245.</w:t>
      </w:r>
    </w:p>
  </w:footnote>
  <w:footnote w:id="38">
    <w:p w:rsidR="00325742" w:rsidRDefault="00325742" w:rsidP="00325742">
      <w:pPr>
        <w:pStyle w:val="FootnoteText"/>
      </w:pPr>
      <w:r>
        <w:rPr>
          <w:rStyle w:val="FootnoteReference"/>
        </w:rPr>
        <w:footnoteRef/>
      </w:r>
      <w:r>
        <w:t xml:space="preserve"> K.O. Morgan, </w:t>
      </w:r>
      <w:r w:rsidRPr="006F51F0">
        <w:rPr>
          <w:i/>
        </w:rPr>
        <w:t>The Age of Lloyd George: the Liberal Party and British Politics, 1890-1929</w:t>
      </w:r>
      <w:r>
        <w:t xml:space="preserve"> (London: Macmillan</w:t>
      </w:r>
      <w:r w:rsidR="00432A86">
        <w:t>,</w:t>
      </w:r>
      <w:r>
        <w:t xml:space="preserve"> 1968), pp.58-76.</w:t>
      </w:r>
    </w:p>
  </w:footnote>
  <w:footnote w:id="39">
    <w:p w:rsidR="00325742" w:rsidRDefault="00325742" w:rsidP="00325742">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pp.107-110.</w:t>
      </w:r>
    </w:p>
  </w:footnote>
  <w:footnote w:id="40">
    <w:p w:rsidR="00325742" w:rsidRPr="00345FBA" w:rsidRDefault="00325742" w:rsidP="00325742">
      <w:pPr>
        <w:pStyle w:val="FootnoteText"/>
      </w:pPr>
      <w:r>
        <w:rPr>
          <w:rStyle w:val="FootnoteReference"/>
        </w:rPr>
        <w:footnoteRef/>
      </w:r>
      <w:r>
        <w:t xml:space="preserve"> P. Clarke, </w:t>
      </w:r>
      <w:r w:rsidRPr="001730EC">
        <w:rPr>
          <w:i/>
        </w:rPr>
        <w:t>Hope and Glory: Britain 1900-2000</w:t>
      </w:r>
      <w:r>
        <w:rPr>
          <w:i/>
        </w:rPr>
        <w:t xml:space="preserve"> </w:t>
      </w:r>
      <w:r w:rsidR="00432A86">
        <w:t>(London: Penguin, 2004), p</w:t>
      </w:r>
      <w:r>
        <w:t>.122.</w:t>
      </w:r>
    </w:p>
  </w:footnote>
  <w:footnote w:id="41">
    <w:p w:rsidR="007C06FB" w:rsidRDefault="007C06FB" w:rsidP="007C06FB">
      <w:pPr>
        <w:pStyle w:val="FootnoteText"/>
      </w:pPr>
      <w:r>
        <w:rPr>
          <w:rStyle w:val="FootnoteReference"/>
        </w:rPr>
        <w:footnoteRef/>
      </w:r>
      <w:r>
        <w:t xml:space="preserve"> S. Constantine, M. W. Kirby and M.B. Rose, </w:t>
      </w:r>
      <w:r w:rsidRPr="007B3DB4">
        <w:rPr>
          <w:i/>
        </w:rPr>
        <w:t>The First World War in British History</w:t>
      </w:r>
      <w:r>
        <w:t xml:space="preserve"> (London: Edward Arnold</w:t>
      </w:r>
      <w:r w:rsidR="00432A86">
        <w:t>,</w:t>
      </w:r>
      <w:r>
        <w:t xml:space="preserve"> 1995), pp.2-4.</w:t>
      </w:r>
    </w:p>
  </w:footnote>
  <w:footnote w:id="42">
    <w:p w:rsidR="00F65567" w:rsidRDefault="00F65567" w:rsidP="00F65567">
      <w:pPr>
        <w:pStyle w:val="FootnoteText"/>
      </w:pPr>
      <w:r>
        <w:rPr>
          <w:rStyle w:val="FootnoteReference"/>
        </w:rPr>
        <w:footnoteRef/>
      </w:r>
      <w:r w:rsidR="006A4507">
        <w:t xml:space="preserve"> A. Marwick, </w:t>
      </w:r>
      <w:proofErr w:type="gramStart"/>
      <w:r w:rsidR="006A4507" w:rsidRPr="006A4507">
        <w:rPr>
          <w:i/>
        </w:rPr>
        <w:t>The</w:t>
      </w:r>
      <w:proofErr w:type="gramEnd"/>
      <w:r w:rsidR="006A4507" w:rsidRPr="006A4507">
        <w:rPr>
          <w:i/>
        </w:rPr>
        <w:t xml:space="preserve"> Deluge</w:t>
      </w:r>
      <w:r w:rsidR="006A4507">
        <w:t xml:space="preserve"> (</w:t>
      </w:r>
      <w:r>
        <w:t>Basingstoke: Palgrave Macmillan</w:t>
      </w:r>
      <w:r w:rsidR="00F75310">
        <w:t>,</w:t>
      </w:r>
      <w:r>
        <w:t xml:space="preserve"> 2006), pp. 21-24.</w:t>
      </w:r>
    </w:p>
  </w:footnote>
  <w:footnote w:id="43">
    <w:p w:rsidR="00D07AE6" w:rsidRDefault="00D07AE6">
      <w:pPr>
        <w:pStyle w:val="FootnoteText"/>
      </w:pPr>
      <w:r>
        <w:rPr>
          <w:rStyle w:val="FootnoteReference"/>
        </w:rPr>
        <w:footnoteRef/>
      </w:r>
      <w:r w:rsidR="006A4507">
        <w:t xml:space="preserve"> </w:t>
      </w:r>
      <w:proofErr w:type="gramStart"/>
      <w:r w:rsidR="00432A86" w:rsidRPr="00BE1049">
        <w:rPr>
          <w:i/>
        </w:rPr>
        <w:t>ibid</w:t>
      </w:r>
      <w:r w:rsidR="00432A86">
        <w:t>.</w:t>
      </w:r>
      <w:r>
        <w:t>,</w:t>
      </w:r>
      <w:proofErr w:type="gramEnd"/>
      <w:r>
        <w:t xml:space="preserve"> pp. 280-281.</w:t>
      </w:r>
    </w:p>
  </w:footnote>
  <w:footnote w:id="44">
    <w:p w:rsidR="007770C3" w:rsidRDefault="007770C3" w:rsidP="007770C3">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 280 -282.</w:t>
      </w:r>
    </w:p>
  </w:footnote>
  <w:footnote w:id="45">
    <w:p w:rsidR="007770C3" w:rsidRDefault="007770C3" w:rsidP="007770C3">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 283-284.</w:t>
      </w:r>
    </w:p>
  </w:footnote>
  <w:footnote w:id="46">
    <w:p w:rsidR="00285759" w:rsidRDefault="00285759" w:rsidP="00285759">
      <w:pPr>
        <w:pStyle w:val="FootnoteText"/>
      </w:pPr>
      <w:r>
        <w:rPr>
          <w:rStyle w:val="FootnoteReference"/>
        </w:rPr>
        <w:footnoteRef/>
      </w:r>
      <w:r w:rsidR="00432A86">
        <w:t xml:space="preserve"> </w:t>
      </w:r>
      <w:proofErr w:type="gramStart"/>
      <w:r w:rsidR="00432A86" w:rsidRPr="00BE1049">
        <w:rPr>
          <w:i/>
        </w:rPr>
        <w:t>ibid</w:t>
      </w:r>
      <w:r w:rsidR="00432A86">
        <w:t>.</w:t>
      </w:r>
      <w:r>
        <w:t>,</w:t>
      </w:r>
      <w:proofErr w:type="gramEnd"/>
      <w:r>
        <w:t xml:space="preserve"> pp. 315-316.</w:t>
      </w:r>
    </w:p>
  </w:footnote>
  <w:footnote w:id="47">
    <w:p w:rsidR="006951A1" w:rsidRDefault="006951A1" w:rsidP="006951A1">
      <w:pPr>
        <w:pStyle w:val="FootnoteText"/>
      </w:pPr>
      <w:r>
        <w:rPr>
          <w:rStyle w:val="FootnoteReference"/>
        </w:rPr>
        <w:footnoteRef/>
      </w:r>
      <w:r w:rsidR="00432A86">
        <w:t xml:space="preserve"> </w:t>
      </w:r>
      <w:proofErr w:type="gramStart"/>
      <w:r w:rsidR="00432A86" w:rsidRPr="00BE1049">
        <w:rPr>
          <w:i/>
        </w:rPr>
        <w:t>ibid</w:t>
      </w:r>
      <w:r w:rsidR="00432A86">
        <w:t>.</w:t>
      </w:r>
      <w:r w:rsidR="006A4507">
        <w:t>,</w:t>
      </w:r>
      <w:proofErr w:type="gramEnd"/>
      <w:r w:rsidR="006A4507">
        <w:t xml:space="preserve"> p</w:t>
      </w:r>
      <w:r>
        <w:t>. 294.</w:t>
      </w:r>
    </w:p>
  </w:footnote>
  <w:footnote w:id="48">
    <w:p w:rsidR="00BC27BF" w:rsidRDefault="00BC27BF" w:rsidP="00BC27BF">
      <w:pPr>
        <w:pStyle w:val="FootnoteText"/>
      </w:pPr>
      <w:r>
        <w:rPr>
          <w:rStyle w:val="FootnoteReference"/>
        </w:rPr>
        <w:footnoteRef/>
      </w:r>
      <w:r>
        <w:t xml:space="preserve"> S. </w:t>
      </w:r>
      <w:proofErr w:type="spellStart"/>
      <w:r>
        <w:t>Grayzel</w:t>
      </w:r>
      <w:proofErr w:type="spellEnd"/>
      <w:r>
        <w:t>,</w:t>
      </w:r>
      <w:r w:rsidRPr="000F6BB9">
        <w:rPr>
          <w:i/>
        </w:rPr>
        <w:t xml:space="preserve"> </w:t>
      </w:r>
      <w:r w:rsidR="00432A86">
        <w:t>“</w:t>
      </w:r>
      <w:r w:rsidRPr="00432A86">
        <w:t>Liberating Women: Examining Gender, Morality and Sexuality in First World War Britain and France</w:t>
      </w:r>
      <w:r w:rsidR="00432A86">
        <w:t>”</w:t>
      </w:r>
      <w:r w:rsidR="005A5673">
        <w:t>,</w:t>
      </w:r>
      <w:r w:rsidRPr="00432A86">
        <w:t xml:space="preserve"> </w:t>
      </w:r>
      <w:r w:rsidRPr="005A5673">
        <w:rPr>
          <w:i/>
        </w:rPr>
        <w:t>Evidence History and the Great War: Historians and the Impact of 1914-18</w:t>
      </w:r>
      <w:r w:rsidR="00AB301F">
        <w:rPr>
          <w:i/>
        </w:rPr>
        <w:t>,</w:t>
      </w:r>
      <w:r>
        <w:t xml:space="preserve"> ed. G. </w:t>
      </w:r>
      <w:proofErr w:type="spellStart"/>
      <w:r>
        <w:t>Braybon</w:t>
      </w:r>
      <w:proofErr w:type="spellEnd"/>
      <w:r>
        <w:t xml:space="preserve"> (New York and </w:t>
      </w:r>
      <w:proofErr w:type="spellStart"/>
      <w:r>
        <w:t>Qxford</w:t>
      </w:r>
      <w:proofErr w:type="spellEnd"/>
      <w:r>
        <w:t xml:space="preserve">: </w:t>
      </w:r>
      <w:proofErr w:type="spellStart"/>
      <w:r>
        <w:t>Berghahn</w:t>
      </w:r>
      <w:proofErr w:type="spellEnd"/>
      <w:r>
        <w:t xml:space="preserve"> Books</w:t>
      </w:r>
      <w:r w:rsidR="005A5673">
        <w:t>,</w:t>
      </w:r>
      <w:r>
        <w:t xml:space="preserve"> 2005), p.113.</w:t>
      </w:r>
    </w:p>
  </w:footnote>
  <w:footnote w:id="49">
    <w:p w:rsidR="00BC27BF" w:rsidRDefault="00BC27BF" w:rsidP="00BC27BF">
      <w:pPr>
        <w:pStyle w:val="FootnoteText"/>
      </w:pPr>
      <w:r>
        <w:rPr>
          <w:rStyle w:val="FootnoteReference"/>
        </w:rPr>
        <w:footnoteRef/>
      </w:r>
      <w:r>
        <w:t xml:space="preserve"> G. </w:t>
      </w:r>
      <w:proofErr w:type="spellStart"/>
      <w:r>
        <w:t>Braybon</w:t>
      </w:r>
      <w:proofErr w:type="spellEnd"/>
      <w:r>
        <w:t xml:space="preserve">, </w:t>
      </w:r>
      <w:r w:rsidR="005A5673">
        <w:t>“</w:t>
      </w:r>
      <w:r w:rsidRPr="005A5673">
        <w:t>Women at War</w:t>
      </w:r>
      <w:r w:rsidR="005A5673" w:rsidRPr="005A5673">
        <w:rPr>
          <w:i/>
        </w:rPr>
        <w:t>”,</w:t>
      </w:r>
      <w:r w:rsidRPr="005A5673">
        <w:rPr>
          <w:i/>
        </w:rPr>
        <w:t xml:space="preserve"> The First World War in British Society</w:t>
      </w:r>
      <w:r w:rsidR="00AB301F">
        <w:rPr>
          <w:i/>
        </w:rPr>
        <w:t>,</w:t>
      </w:r>
      <w:r>
        <w:t xml:space="preserve"> e</w:t>
      </w:r>
      <w:r w:rsidR="00AB301F">
        <w:t xml:space="preserve">d. S. Constantine, M. W. Kirby and </w:t>
      </w:r>
      <w:r>
        <w:t>M. B. Rose (London: Edward Arnold</w:t>
      </w:r>
      <w:r w:rsidR="005A5673">
        <w:t>,</w:t>
      </w:r>
      <w:r>
        <w:t xml:space="preserve"> 1995), p.143.  </w:t>
      </w:r>
    </w:p>
  </w:footnote>
  <w:footnote w:id="50">
    <w:p w:rsidR="00BC27BF" w:rsidRDefault="00BC27BF" w:rsidP="00BC27BF">
      <w:pPr>
        <w:pStyle w:val="FootnoteText"/>
      </w:pPr>
      <w:r>
        <w:rPr>
          <w:rStyle w:val="FootnoteReference"/>
        </w:rPr>
        <w:footnoteRef/>
      </w:r>
      <w:r w:rsidR="00AB301F">
        <w:t xml:space="preserve"> A. Marwick, B. Purdue and</w:t>
      </w:r>
      <w:r>
        <w:t xml:space="preserve"> J. Chapman, </w:t>
      </w:r>
      <w:r w:rsidR="005A5673">
        <w:t>“</w:t>
      </w:r>
      <w:r w:rsidRPr="005A5673">
        <w:t>The Geopolitical and Social Effects of the War</w:t>
      </w:r>
      <w:r w:rsidR="005A5673">
        <w:t xml:space="preserve">”, </w:t>
      </w:r>
      <w:r>
        <w:t xml:space="preserve"> </w:t>
      </w:r>
      <w:r w:rsidRPr="005A5673">
        <w:rPr>
          <w:i/>
        </w:rPr>
        <w:t>The Impact of World War 1</w:t>
      </w:r>
      <w:r w:rsidR="00AB301F">
        <w:rPr>
          <w:i/>
        </w:rPr>
        <w:t>,</w:t>
      </w:r>
      <w:r w:rsidR="006A4507" w:rsidRPr="005A5673">
        <w:rPr>
          <w:i/>
        </w:rPr>
        <w:t xml:space="preserve"> </w:t>
      </w:r>
      <w:r w:rsidR="005A5673">
        <w:t>ed.</w:t>
      </w:r>
      <w:r>
        <w:t xml:space="preserve"> B. Waites, A. Marwick, B. Purdue, J. C</w:t>
      </w:r>
      <w:r w:rsidR="00AB301F">
        <w:t>hapman, C. Emsley, D. Englander and</w:t>
      </w:r>
      <w:r>
        <w:t xml:space="preserve"> M. </w:t>
      </w:r>
      <w:proofErr w:type="spellStart"/>
      <w:r>
        <w:t>Pittaway</w:t>
      </w:r>
      <w:proofErr w:type="spellEnd"/>
      <w:r w:rsidR="005A5673">
        <w:t xml:space="preserve"> </w:t>
      </w:r>
      <w:r>
        <w:t xml:space="preserve"> (Milton Keynes: The Open University</w:t>
      </w:r>
      <w:r w:rsidR="005A5673">
        <w:t>,</w:t>
      </w:r>
      <w:r>
        <w:t xml:space="preserve"> 2006), p.145.</w:t>
      </w:r>
    </w:p>
  </w:footnote>
  <w:footnote w:id="51">
    <w:p w:rsidR="00B3794A" w:rsidRDefault="00B3794A">
      <w:pPr>
        <w:pStyle w:val="FootnoteText"/>
      </w:pPr>
      <w:r>
        <w:rPr>
          <w:rStyle w:val="FootnoteReference"/>
        </w:rPr>
        <w:footnoteRef/>
      </w:r>
      <w:r>
        <w:t xml:space="preserve"> Marie Stopes opened her first family planning clinic targeted at working class women in London in 1921.</w:t>
      </w:r>
    </w:p>
  </w:footnote>
  <w:footnote w:id="52">
    <w:p w:rsidR="00441862" w:rsidRDefault="00441862" w:rsidP="00441862">
      <w:pPr>
        <w:pStyle w:val="FootnoteText"/>
      </w:pPr>
      <w:r>
        <w:rPr>
          <w:rStyle w:val="FootnoteReference"/>
        </w:rPr>
        <w:footnoteRef/>
      </w:r>
      <w:r>
        <w:t xml:space="preserve"> The Defence of the Realm Act 1914 introduced penalties for women, but not men, spreading sexually-transmitted disease</w:t>
      </w:r>
      <w:r w:rsidR="005A5673">
        <w:t>.</w:t>
      </w:r>
      <w:r>
        <w:t xml:space="preserve"> S. </w:t>
      </w:r>
      <w:proofErr w:type="spellStart"/>
      <w:r>
        <w:t>Grayzel</w:t>
      </w:r>
      <w:proofErr w:type="spellEnd"/>
      <w:r>
        <w:t>,</w:t>
      </w:r>
      <w:r w:rsidRPr="000F6BB9">
        <w:rPr>
          <w:i/>
        </w:rPr>
        <w:t xml:space="preserve"> </w:t>
      </w:r>
      <w:r w:rsidR="005A5673">
        <w:rPr>
          <w:i/>
        </w:rPr>
        <w:t>“</w:t>
      </w:r>
      <w:r w:rsidRPr="005A5673">
        <w:t>Liberating Women: Examining Gender, Morality and Sexuality in First World War Britain and France</w:t>
      </w:r>
      <w:r w:rsidR="005A5673">
        <w:t>”,</w:t>
      </w:r>
      <w:r>
        <w:t xml:space="preserve"> </w:t>
      </w:r>
      <w:r w:rsidRPr="005A5673">
        <w:rPr>
          <w:i/>
        </w:rPr>
        <w:t>Evidence History and the Great War: Historians and the Impact of 1914-18</w:t>
      </w:r>
      <w:r w:rsidR="00AB301F">
        <w:rPr>
          <w:i/>
        </w:rPr>
        <w:t>,</w:t>
      </w:r>
      <w:r>
        <w:t xml:space="preserve"> ed. G. </w:t>
      </w:r>
      <w:proofErr w:type="spellStart"/>
      <w:r>
        <w:t>Braybon</w:t>
      </w:r>
      <w:proofErr w:type="spellEnd"/>
      <w:r>
        <w:t xml:space="preserve"> (New York and </w:t>
      </w:r>
      <w:proofErr w:type="spellStart"/>
      <w:r>
        <w:t>Qxford</w:t>
      </w:r>
      <w:proofErr w:type="spellEnd"/>
      <w:r>
        <w:t xml:space="preserve">: </w:t>
      </w:r>
      <w:proofErr w:type="spellStart"/>
      <w:r>
        <w:t>Berghahn</w:t>
      </w:r>
      <w:proofErr w:type="spellEnd"/>
      <w:r>
        <w:t xml:space="preserve"> Books</w:t>
      </w:r>
      <w:r w:rsidR="005A5673">
        <w:t>,</w:t>
      </w:r>
      <w:r>
        <w:t xml:space="preserve"> 2005), pp.124-130.</w:t>
      </w:r>
    </w:p>
  </w:footnote>
  <w:footnote w:id="53">
    <w:p w:rsidR="00441862" w:rsidRDefault="00441862" w:rsidP="00441862">
      <w:pPr>
        <w:pStyle w:val="FootnoteText"/>
      </w:pPr>
      <w:r>
        <w:rPr>
          <w:rStyle w:val="FootnoteReference"/>
        </w:rPr>
        <w:footnoteRef/>
      </w:r>
      <w:r>
        <w:t xml:space="preserve"> G. </w:t>
      </w:r>
      <w:proofErr w:type="spellStart"/>
      <w:r>
        <w:t>Braybon</w:t>
      </w:r>
      <w:proofErr w:type="spellEnd"/>
      <w:r>
        <w:t xml:space="preserve">, </w:t>
      </w:r>
      <w:r w:rsidR="005A5673">
        <w:t>“</w:t>
      </w:r>
      <w:r w:rsidRPr="005A5673">
        <w:t>Women at War</w:t>
      </w:r>
      <w:r w:rsidR="005A5673">
        <w:rPr>
          <w:i/>
        </w:rPr>
        <w:t>”</w:t>
      </w:r>
      <w:r w:rsidR="005A5673">
        <w:t>,</w:t>
      </w:r>
      <w:r>
        <w:t xml:space="preserve"> </w:t>
      </w:r>
      <w:r w:rsidRPr="005A5673">
        <w:rPr>
          <w:i/>
        </w:rPr>
        <w:t xml:space="preserve">The First </w:t>
      </w:r>
      <w:r w:rsidR="006A4507" w:rsidRPr="005A5673">
        <w:rPr>
          <w:i/>
        </w:rPr>
        <w:t>World War in British Society</w:t>
      </w:r>
      <w:r w:rsidR="00F75310">
        <w:rPr>
          <w:i/>
        </w:rPr>
        <w:t xml:space="preserve">, </w:t>
      </w:r>
      <w:r w:rsidR="00F75310" w:rsidRPr="00F75310">
        <w:t>ed.</w:t>
      </w:r>
      <w:r w:rsidR="00AB301F">
        <w:t xml:space="preserve"> S. Constantine, M. W. Kirby and</w:t>
      </w:r>
      <w:r>
        <w:t xml:space="preserve"> M. B. Rose (London: Edward Arnold</w:t>
      </w:r>
      <w:r w:rsidR="005A5673">
        <w:t>,</w:t>
      </w:r>
      <w:r>
        <w:t xml:space="preserve"> 1995), p.144.  </w:t>
      </w:r>
    </w:p>
  </w:footnote>
  <w:footnote w:id="54">
    <w:p w:rsidR="00BC27BF" w:rsidRDefault="00BC27BF" w:rsidP="00BC27BF">
      <w:pPr>
        <w:pStyle w:val="FootnoteText"/>
      </w:pPr>
      <w:r>
        <w:rPr>
          <w:rStyle w:val="FootnoteReference"/>
        </w:rPr>
        <w:footnoteRef/>
      </w:r>
      <w:r w:rsidR="00AB301F">
        <w:t xml:space="preserve"> A. Marwick, B. Purdue and</w:t>
      </w:r>
      <w:r>
        <w:t xml:space="preserve"> J. Chapman, </w:t>
      </w:r>
      <w:r w:rsidR="005A5673">
        <w:t>“</w:t>
      </w:r>
      <w:r w:rsidRPr="005A5673">
        <w:t>The Geopolitical and Social Effects of the War</w:t>
      </w:r>
      <w:r w:rsidR="005A5673">
        <w:t>”,</w:t>
      </w:r>
      <w:r w:rsidR="006A4507">
        <w:t xml:space="preserve"> </w:t>
      </w:r>
      <w:r w:rsidR="006A4507" w:rsidRPr="005A5673">
        <w:rPr>
          <w:i/>
        </w:rPr>
        <w:t>The Impact of World War 1</w:t>
      </w:r>
      <w:r w:rsidR="00F75310">
        <w:rPr>
          <w:i/>
        </w:rPr>
        <w:t>,</w:t>
      </w:r>
      <w:r w:rsidR="006A4507" w:rsidRPr="005A5673">
        <w:rPr>
          <w:i/>
        </w:rPr>
        <w:t xml:space="preserve"> </w:t>
      </w:r>
      <w:r w:rsidR="005A5673">
        <w:t>ed</w:t>
      </w:r>
      <w:r w:rsidR="00AB301F">
        <w:t>.</w:t>
      </w:r>
      <w:r>
        <w:t xml:space="preserve"> B. Waites, A. Marwick, B. Purdue, J. C</w:t>
      </w:r>
      <w:r w:rsidR="00AB301F">
        <w:t>hapman, C. Emsley, D. Englander and</w:t>
      </w:r>
      <w:r>
        <w:t xml:space="preserve"> M. </w:t>
      </w:r>
      <w:proofErr w:type="spellStart"/>
      <w:r>
        <w:t>Pittaway</w:t>
      </w:r>
      <w:proofErr w:type="spellEnd"/>
      <w:r>
        <w:t xml:space="preserve"> (Milton Keynes: The Open University</w:t>
      </w:r>
      <w:r w:rsidR="00AB301F">
        <w:t>,</w:t>
      </w:r>
      <w:r>
        <w:t xml:space="preserve"> 2006), pp.149-151.</w:t>
      </w:r>
    </w:p>
  </w:footnote>
  <w:footnote w:id="55">
    <w:p w:rsidR="00F62AB2" w:rsidRPr="00D360B0" w:rsidRDefault="00F62AB2">
      <w:pPr>
        <w:pStyle w:val="FootnoteText"/>
      </w:pPr>
      <w:r>
        <w:rPr>
          <w:rStyle w:val="FootnoteReference"/>
        </w:rPr>
        <w:footnoteRef/>
      </w:r>
      <w:r>
        <w:t xml:space="preserve"> </w:t>
      </w:r>
      <w:r w:rsidR="00D360B0">
        <w:t xml:space="preserve">M.R. </w:t>
      </w:r>
      <w:proofErr w:type="spellStart"/>
      <w:r w:rsidR="00D360B0">
        <w:t>Higonnet</w:t>
      </w:r>
      <w:proofErr w:type="spellEnd"/>
      <w:r w:rsidR="00D360B0">
        <w:t xml:space="preserve"> and P.L-R, </w:t>
      </w:r>
      <w:proofErr w:type="spellStart"/>
      <w:r w:rsidR="00D360B0">
        <w:t>Higonnet</w:t>
      </w:r>
      <w:proofErr w:type="spellEnd"/>
      <w:r w:rsidR="00D360B0">
        <w:t xml:space="preserve">, ‘The Double Helix’, </w:t>
      </w:r>
      <w:r w:rsidR="00D360B0">
        <w:rPr>
          <w:i/>
        </w:rPr>
        <w:t>Behind the Lines: Gender and the Two World Wars</w:t>
      </w:r>
      <w:r w:rsidR="00AB301F">
        <w:t xml:space="preserve">, ed. M. </w:t>
      </w:r>
      <w:proofErr w:type="spellStart"/>
      <w:r w:rsidR="00AB301F">
        <w:t>Higonnet</w:t>
      </w:r>
      <w:proofErr w:type="spellEnd"/>
      <w:r w:rsidR="00AB301F">
        <w:t xml:space="preserve"> and J.</w:t>
      </w:r>
      <w:r w:rsidR="00D360B0">
        <w:t xml:space="preserve"> Jenson (New Haven: Yale University Press, 1987), pp. 31-47.</w:t>
      </w:r>
    </w:p>
  </w:footnote>
  <w:footnote w:id="56">
    <w:p w:rsidR="0081005C" w:rsidRDefault="0081005C" w:rsidP="0081005C">
      <w:pPr>
        <w:pStyle w:val="FootnoteText"/>
      </w:pPr>
      <w:r>
        <w:rPr>
          <w:rStyle w:val="FootnoteReference"/>
        </w:rPr>
        <w:footnoteRef/>
      </w:r>
      <w:r>
        <w:t xml:space="preserve">S. Constantine, M. W. Kirby and M.B. Rose, </w:t>
      </w:r>
      <w:r w:rsidRPr="007B3DB4">
        <w:rPr>
          <w:i/>
        </w:rPr>
        <w:t>The First World War in British History</w:t>
      </w:r>
      <w:r>
        <w:t xml:space="preserve"> (London: Edward Arnold</w:t>
      </w:r>
      <w:r w:rsidR="00E22028">
        <w:t>,</w:t>
      </w:r>
      <w:r>
        <w:t xml:space="preserve"> 1995), p.1. </w:t>
      </w:r>
    </w:p>
  </w:footnote>
  <w:footnote w:id="57">
    <w:p w:rsidR="00AE39B0" w:rsidRDefault="00AE39B0">
      <w:pPr>
        <w:pStyle w:val="FootnoteText"/>
      </w:pPr>
      <w:r>
        <w:rPr>
          <w:rStyle w:val="FootnoteReference"/>
        </w:rPr>
        <w:footnoteRef/>
      </w:r>
      <w:r>
        <w:t xml:space="preserve"> K. O. Morgan, </w:t>
      </w:r>
      <w:r w:rsidR="00F75310">
        <w:t>“</w:t>
      </w:r>
      <w:r w:rsidRPr="00E22028">
        <w:t>The Twentieth Century: 1914-2000</w:t>
      </w:r>
      <w:r w:rsidR="00F75310">
        <w:t>”</w:t>
      </w:r>
      <w:r w:rsidR="00E22028">
        <w:t xml:space="preserve">, </w:t>
      </w:r>
      <w:proofErr w:type="gramStart"/>
      <w:r w:rsidRPr="00E22028">
        <w:rPr>
          <w:i/>
        </w:rPr>
        <w:t>The</w:t>
      </w:r>
      <w:proofErr w:type="gramEnd"/>
      <w:r w:rsidRPr="00E22028">
        <w:rPr>
          <w:i/>
        </w:rPr>
        <w:t xml:space="preserve"> Oxford History of Britain</w:t>
      </w:r>
      <w:r w:rsidR="00E22028">
        <w:t>,</w:t>
      </w:r>
      <w:r>
        <w:t xml:space="preserve"> ed. K. O. Morgan (Oxford: Oxford University Press</w:t>
      </w:r>
      <w:r w:rsidR="00E22028">
        <w:t>,</w:t>
      </w:r>
      <w:r>
        <w:t xml:space="preserve"> </w:t>
      </w:r>
      <w:r w:rsidR="00ED031F">
        <w:t>2010), pp. 593-594.</w:t>
      </w:r>
      <w:r>
        <w:t xml:space="preserve"> </w:t>
      </w:r>
    </w:p>
  </w:footnote>
  <w:footnote w:id="58">
    <w:p w:rsidR="00603C04" w:rsidRDefault="00603C04" w:rsidP="00603C04">
      <w:pPr>
        <w:pStyle w:val="FootnoteText"/>
      </w:pPr>
      <w:r>
        <w:rPr>
          <w:rStyle w:val="FootnoteReference"/>
        </w:rPr>
        <w:footnoteRef/>
      </w:r>
      <w:r>
        <w:t xml:space="preserve"> A. J. Stockwell, </w:t>
      </w:r>
      <w:r w:rsidRPr="00B92CEF">
        <w:rPr>
          <w:i/>
        </w:rPr>
        <w:t>The War and the British Empire</w:t>
      </w:r>
      <w:r>
        <w:t xml:space="preserve"> in Britain and the First World War ed.</w:t>
      </w:r>
      <w:r w:rsidR="00E22028">
        <w:t xml:space="preserve"> J. Turner (London: Unwin Hyman, </w:t>
      </w:r>
      <w:r>
        <w:t>1988), pp. 48-49.</w:t>
      </w:r>
    </w:p>
  </w:footnote>
  <w:footnote w:id="59">
    <w:p w:rsidR="00603C04" w:rsidRDefault="00603C04" w:rsidP="00603C04">
      <w:pPr>
        <w:pStyle w:val="FootnoteText"/>
      </w:pPr>
      <w:r>
        <w:rPr>
          <w:rStyle w:val="FootnoteReference"/>
        </w:rPr>
        <w:footnoteRef/>
      </w:r>
      <w:r w:rsidR="00E22028">
        <w:t xml:space="preserve"> </w:t>
      </w:r>
      <w:proofErr w:type="gramStart"/>
      <w:r w:rsidR="00E22028" w:rsidRPr="00BE1049">
        <w:rPr>
          <w:i/>
        </w:rPr>
        <w:t>ibid</w:t>
      </w:r>
      <w:r w:rsidR="00E22028">
        <w:t>.</w:t>
      </w:r>
      <w:r>
        <w:t>,</w:t>
      </w:r>
      <w:proofErr w:type="gramEnd"/>
      <w:r>
        <w:t xml:space="preserve"> p. 37.</w:t>
      </w:r>
    </w:p>
  </w:footnote>
  <w:footnote w:id="60">
    <w:p w:rsidR="00603C04" w:rsidRDefault="00603C04" w:rsidP="00603C04">
      <w:pPr>
        <w:pStyle w:val="FootnoteText"/>
      </w:pPr>
      <w:r>
        <w:rPr>
          <w:rStyle w:val="FootnoteReference"/>
        </w:rPr>
        <w:footnoteRef/>
      </w:r>
      <w:r w:rsidR="00E22028">
        <w:t xml:space="preserve"> </w:t>
      </w:r>
      <w:proofErr w:type="gramStart"/>
      <w:r w:rsidR="00E22028" w:rsidRPr="00BE1049">
        <w:rPr>
          <w:i/>
        </w:rPr>
        <w:t>ibid</w:t>
      </w:r>
      <w:r w:rsidR="00E22028">
        <w:t>.</w:t>
      </w:r>
      <w:r>
        <w:t>,</w:t>
      </w:r>
      <w:proofErr w:type="gramEnd"/>
      <w:r>
        <w:t xml:space="preserve"> pp. 44-46.</w:t>
      </w:r>
    </w:p>
  </w:footnote>
  <w:footnote w:id="61">
    <w:p w:rsidR="00603C04" w:rsidRDefault="00603C04" w:rsidP="00603C04">
      <w:pPr>
        <w:pStyle w:val="FootnoteText"/>
      </w:pPr>
      <w:r>
        <w:rPr>
          <w:rStyle w:val="FootnoteReference"/>
        </w:rPr>
        <w:footnoteRef/>
      </w:r>
      <w:r>
        <w:t xml:space="preserve"> N. Davies, </w:t>
      </w:r>
      <w:r w:rsidRPr="00A1072F">
        <w:rPr>
          <w:i/>
        </w:rPr>
        <w:t>Europe a Hist</w:t>
      </w:r>
      <w:r w:rsidR="00A1072F" w:rsidRPr="00A1072F">
        <w:rPr>
          <w:i/>
        </w:rPr>
        <w:t>ory,</w:t>
      </w:r>
      <w:r w:rsidR="00A1072F">
        <w:t xml:space="preserve"> (London: A Bodily Head</w:t>
      </w:r>
      <w:r w:rsidR="00E22028">
        <w:t>,</w:t>
      </w:r>
      <w:r w:rsidR="00A1072F">
        <w:t xml:space="preserve"> 2014</w:t>
      </w:r>
      <w:r>
        <w:t>), p. 927.</w:t>
      </w:r>
    </w:p>
  </w:footnote>
  <w:footnote w:id="62">
    <w:p w:rsidR="009411BD" w:rsidRDefault="009411BD" w:rsidP="009411BD">
      <w:pPr>
        <w:pStyle w:val="FootnoteText"/>
      </w:pPr>
      <w:r>
        <w:rPr>
          <w:rStyle w:val="FootnoteReference"/>
        </w:rPr>
        <w:footnoteRef/>
      </w:r>
      <w:r>
        <w:t xml:space="preserve"> I. Kershaw, </w:t>
      </w:r>
      <w:r w:rsidRPr="00F156C1">
        <w:rPr>
          <w:i/>
        </w:rPr>
        <w:t>To Hell and Back Europe 1914-1949</w:t>
      </w:r>
      <w:r w:rsidR="00E22028">
        <w:t xml:space="preserve"> (London</w:t>
      </w:r>
      <w:r>
        <w:t>: Penguin, 2016), p. 509.</w:t>
      </w:r>
    </w:p>
  </w:footnote>
  <w:footnote w:id="63">
    <w:p w:rsidR="007910D8" w:rsidRDefault="007910D8" w:rsidP="007910D8">
      <w:pPr>
        <w:pStyle w:val="FootnoteText"/>
      </w:pPr>
      <w:r>
        <w:rPr>
          <w:rStyle w:val="FootnoteReference"/>
        </w:rPr>
        <w:footnoteRef/>
      </w:r>
      <w:r w:rsidR="00506CA7">
        <w:t xml:space="preserve"> </w:t>
      </w:r>
      <w:proofErr w:type="gramStart"/>
      <w:r w:rsidR="00506CA7" w:rsidRPr="00BE1049">
        <w:rPr>
          <w:i/>
        </w:rPr>
        <w:t>ibid</w:t>
      </w:r>
      <w:r w:rsidR="00506CA7">
        <w:t>.</w:t>
      </w:r>
      <w:r>
        <w:t>,</w:t>
      </w:r>
      <w:proofErr w:type="gramEnd"/>
      <w:r>
        <w:t xml:space="preserve"> p. 509.</w:t>
      </w:r>
    </w:p>
  </w:footnote>
  <w:footnote w:id="64">
    <w:p w:rsidR="00E62B66" w:rsidRDefault="00E62B66" w:rsidP="00E62B66">
      <w:pPr>
        <w:pStyle w:val="FootnoteText"/>
      </w:pPr>
      <w:r>
        <w:rPr>
          <w:rStyle w:val="FootnoteReference"/>
        </w:rPr>
        <w:footnoteRef/>
      </w:r>
      <w:r>
        <w:t xml:space="preserve"> M. T. Foy and B. Barton, </w:t>
      </w:r>
      <w:r w:rsidRPr="008A0DBF">
        <w:rPr>
          <w:i/>
        </w:rPr>
        <w:t>The Easter Rising</w:t>
      </w:r>
      <w:r>
        <w:t xml:space="preserve"> (Stroud: The H</w:t>
      </w:r>
      <w:r w:rsidR="00E22028">
        <w:t>istory Press, 2011), pp.325-328;</w:t>
      </w:r>
      <w:r>
        <w:t xml:space="preserve"> T.L. Crosby, </w:t>
      </w:r>
      <w:r w:rsidRPr="009F341B">
        <w:rPr>
          <w:i/>
        </w:rPr>
        <w:t>The Unknown Lloyd George: A Statesman in Conflict</w:t>
      </w:r>
      <w:r>
        <w:t xml:space="preserve"> (London and New York: Taurus</w:t>
      </w:r>
      <w:r w:rsidR="00E22028">
        <w:t>,</w:t>
      </w:r>
      <w:r>
        <w:t xml:space="preserve"> 2014), pp.203-206.</w:t>
      </w:r>
    </w:p>
  </w:footnote>
  <w:footnote w:id="65">
    <w:p w:rsidR="00E62B66" w:rsidRDefault="00E62B66" w:rsidP="00E62B66">
      <w:pPr>
        <w:pStyle w:val="FootnoteText"/>
      </w:pPr>
      <w:r>
        <w:rPr>
          <w:rStyle w:val="FootnoteReference"/>
        </w:rPr>
        <w:footnoteRef/>
      </w:r>
      <w:r>
        <w:t xml:space="preserve"> T.L. Crosby, </w:t>
      </w:r>
      <w:proofErr w:type="gramStart"/>
      <w:r w:rsidRPr="009F341B">
        <w:rPr>
          <w:i/>
        </w:rPr>
        <w:t>The</w:t>
      </w:r>
      <w:proofErr w:type="gramEnd"/>
      <w:r w:rsidRPr="009F341B">
        <w:rPr>
          <w:i/>
        </w:rPr>
        <w:t xml:space="preserve"> Unknown Lloyd George: A Statesman in Conflict</w:t>
      </w:r>
      <w:r>
        <w:t xml:space="preserve"> (London and New York: Taurus</w:t>
      </w:r>
      <w:r w:rsidR="00E22028">
        <w:t>,</w:t>
      </w:r>
      <w:r>
        <w:t xml:space="preserve"> 2014), pp. 310-311.</w:t>
      </w:r>
    </w:p>
  </w:footnote>
  <w:footnote w:id="66">
    <w:p w:rsidR="00300227" w:rsidRPr="002F4086" w:rsidRDefault="00300227" w:rsidP="00300227">
      <w:pPr>
        <w:pStyle w:val="FootnoteText"/>
      </w:pPr>
      <w:r>
        <w:rPr>
          <w:rStyle w:val="FootnoteReference"/>
        </w:rPr>
        <w:footnoteRef/>
      </w:r>
      <w:r w:rsidR="00E22028">
        <w:t xml:space="preserve"> S. Constantine, “Britain and the Empire”, </w:t>
      </w:r>
      <w:r>
        <w:rPr>
          <w:i/>
        </w:rPr>
        <w:t>The First World War in British History</w:t>
      </w:r>
      <w:r w:rsidR="00E22028">
        <w:t>, ed. S. Constantine, M. W. Kirby and M.</w:t>
      </w:r>
      <w:r>
        <w:t xml:space="preserve"> B. Rose (London: Edward Arnold, 1995), pp. 252-278.</w:t>
      </w:r>
    </w:p>
  </w:footnote>
  <w:footnote w:id="67">
    <w:p w:rsidR="00117DEA" w:rsidRDefault="00117DEA" w:rsidP="00117DEA">
      <w:pPr>
        <w:pStyle w:val="FootnoteText"/>
      </w:pPr>
      <w:r>
        <w:rPr>
          <w:rStyle w:val="FootnoteReference"/>
        </w:rPr>
        <w:footnoteRef/>
      </w:r>
      <w:r>
        <w:t xml:space="preserve"> J. M. Roberts, </w:t>
      </w:r>
      <w:r w:rsidRPr="00295A37">
        <w:rPr>
          <w:i/>
        </w:rPr>
        <w:t>Europe 1880-1945</w:t>
      </w:r>
      <w:r w:rsidR="00E22028">
        <w:t xml:space="preserve"> (London</w:t>
      </w:r>
      <w:r>
        <w:t>: Longman, 2001), pp. 253-254.</w:t>
      </w:r>
    </w:p>
  </w:footnote>
  <w:footnote w:id="68">
    <w:p w:rsidR="00117DEA" w:rsidRDefault="00117DEA" w:rsidP="00117DEA">
      <w:pPr>
        <w:pStyle w:val="FootnoteText"/>
      </w:pPr>
      <w:r>
        <w:rPr>
          <w:rStyle w:val="FootnoteReference"/>
        </w:rPr>
        <w:footnoteRef/>
      </w:r>
      <w:r w:rsidR="00E22028" w:rsidRPr="00BE1049">
        <w:rPr>
          <w:i/>
        </w:rPr>
        <w:t xml:space="preserve"> </w:t>
      </w:r>
      <w:proofErr w:type="gramStart"/>
      <w:r w:rsidR="00E22028" w:rsidRPr="00BE1049">
        <w:rPr>
          <w:i/>
        </w:rPr>
        <w:t>ibid</w:t>
      </w:r>
      <w:r w:rsidR="00E22028">
        <w:t>.</w:t>
      </w:r>
      <w:r>
        <w:t>,</w:t>
      </w:r>
      <w:proofErr w:type="gramEnd"/>
      <w:r>
        <w:t xml:space="preserve"> p. 229.</w:t>
      </w:r>
    </w:p>
  </w:footnote>
  <w:footnote w:id="69">
    <w:p w:rsidR="00117DEA" w:rsidRDefault="00117DEA" w:rsidP="00117DEA">
      <w:pPr>
        <w:pStyle w:val="FootnoteText"/>
      </w:pPr>
      <w:r>
        <w:rPr>
          <w:rStyle w:val="FootnoteReference"/>
        </w:rPr>
        <w:footnoteRef/>
      </w:r>
      <w:r>
        <w:t xml:space="preserve"> A.J.P. Taylor, </w:t>
      </w:r>
      <w:proofErr w:type="gramStart"/>
      <w:r w:rsidRPr="00295A37">
        <w:rPr>
          <w:i/>
        </w:rPr>
        <w:t>The</w:t>
      </w:r>
      <w:proofErr w:type="gramEnd"/>
      <w:r w:rsidRPr="00295A37">
        <w:rPr>
          <w:i/>
        </w:rPr>
        <w:t xml:space="preserve"> Struggle for </w:t>
      </w:r>
      <w:r w:rsidRPr="00503B58">
        <w:rPr>
          <w:i/>
        </w:rPr>
        <w:t>Mastery in Europe 1848-1918</w:t>
      </w:r>
      <w:r w:rsidR="00E22028">
        <w:t xml:space="preserve"> (Oxford</w:t>
      </w:r>
      <w:r>
        <w:t>: Oxford University Press, 1971), pp. 557-558.</w:t>
      </w:r>
    </w:p>
  </w:footnote>
  <w:footnote w:id="70">
    <w:p w:rsidR="00117DEA" w:rsidRDefault="00117DEA" w:rsidP="00117DEA">
      <w:pPr>
        <w:pStyle w:val="FootnoteText"/>
      </w:pPr>
      <w:r>
        <w:rPr>
          <w:rStyle w:val="FootnoteReference"/>
        </w:rPr>
        <w:footnoteRef/>
      </w:r>
      <w:r>
        <w:t xml:space="preserve"> N. Davies, </w:t>
      </w:r>
      <w:r w:rsidRPr="00E22028">
        <w:rPr>
          <w:i/>
        </w:rPr>
        <w:t>Europe a History</w:t>
      </w:r>
      <w:r>
        <w:t>, (London: A Bodily Head 1997), p. 927.</w:t>
      </w:r>
    </w:p>
  </w:footnote>
  <w:footnote w:id="71">
    <w:p w:rsidR="00117DEA" w:rsidRDefault="00117DEA" w:rsidP="00117DEA">
      <w:pPr>
        <w:pStyle w:val="FootnoteText"/>
      </w:pPr>
      <w:r>
        <w:rPr>
          <w:rStyle w:val="FootnoteReference"/>
        </w:rPr>
        <w:footnoteRef/>
      </w:r>
      <w:r>
        <w:t xml:space="preserve"> I. Kershaw, </w:t>
      </w:r>
      <w:r w:rsidRPr="00E22028">
        <w:rPr>
          <w:i/>
        </w:rPr>
        <w:t>To Hell and Back Europe 1914-1949</w:t>
      </w:r>
      <w:r w:rsidR="00E22028">
        <w:t xml:space="preserve"> (London</w:t>
      </w:r>
      <w:r>
        <w:t>: Penguin, 2016), pp. 114-115.</w:t>
      </w:r>
    </w:p>
  </w:footnote>
  <w:footnote w:id="72">
    <w:p w:rsidR="00687209" w:rsidRDefault="00687209">
      <w:pPr>
        <w:pStyle w:val="FootnoteText"/>
      </w:pPr>
      <w:r>
        <w:rPr>
          <w:rStyle w:val="FootnoteReference"/>
        </w:rPr>
        <w:footnoteRef/>
      </w:r>
      <w:r>
        <w:t xml:space="preserve"> </w:t>
      </w:r>
      <w:r w:rsidRPr="00687209">
        <w:t xml:space="preserve">P. </w:t>
      </w:r>
      <w:proofErr w:type="spellStart"/>
      <w:r w:rsidRPr="00687209">
        <w:t>Fussell</w:t>
      </w:r>
      <w:proofErr w:type="spellEnd"/>
      <w:r w:rsidRPr="00687209">
        <w:t xml:space="preserve"> </w:t>
      </w:r>
      <w:proofErr w:type="gramStart"/>
      <w:r w:rsidRPr="00687209">
        <w:rPr>
          <w:i/>
        </w:rPr>
        <w:t>The</w:t>
      </w:r>
      <w:proofErr w:type="gramEnd"/>
      <w:r w:rsidRPr="00687209">
        <w:rPr>
          <w:i/>
        </w:rPr>
        <w:t xml:space="preserve"> Great War and Modern Memory</w:t>
      </w:r>
      <w:r w:rsidRPr="00687209">
        <w:t xml:space="preserve"> (Oxford: Oxford University Press, 2013), p. 343.</w:t>
      </w:r>
    </w:p>
  </w:footnote>
  <w:footnote w:id="73">
    <w:p w:rsidR="00117DEA" w:rsidRPr="004B2A85" w:rsidRDefault="00117DEA" w:rsidP="00117DEA">
      <w:pPr>
        <w:pStyle w:val="FootnoteText"/>
      </w:pPr>
      <w:r>
        <w:rPr>
          <w:rStyle w:val="FootnoteReference"/>
        </w:rPr>
        <w:footnoteRef/>
      </w:r>
      <w:r>
        <w:t xml:space="preserve"> A. Sharp, </w:t>
      </w:r>
      <w:r w:rsidRPr="004B2A85">
        <w:rPr>
          <w:i/>
        </w:rPr>
        <w:t>Consequences of the Versailles Settlement: Aftermath and Legacy 1919- 2010</w:t>
      </w:r>
      <w:r>
        <w:t xml:space="preserve"> (London: </w:t>
      </w:r>
      <w:proofErr w:type="spellStart"/>
      <w:r>
        <w:t>Haus</w:t>
      </w:r>
      <w:proofErr w:type="spellEnd"/>
      <w:r>
        <w:t xml:space="preserve"> Publishing</w:t>
      </w:r>
      <w:r w:rsidR="004F5106">
        <w:t>,</w:t>
      </w:r>
      <w:r>
        <w:t xml:space="preserve"> 2015), pp.1-3.</w:t>
      </w:r>
    </w:p>
  </w:footnote>
  <w:footnote w:id="74">
    <w:p w:rsidR="00117DEA" w:rsidRDefault="00117DEA" w:rsidP="00117DEA">
      <w:pPr>
        <w:pStyle w:val="FootnoteText"/>
      </w:pPr>
      <w:r>
        <w:rPr>
          <w:rStyle w:val="FootnoteReference"/>
        </w:rPr>
        <w:footnoteRef/>
      </w:r>
      <w:r>
        <w:t xml:space="preserve"> I. Kershaw, </w:t>
      </w:r>
      <w:r w:rsidRPr="004F5106">
        <w:rPr>
          <w:i/>
        </w:rPr>
        <w:t>To H</w:t>
      </w:r>
      <w:r w:rsidR="004F5106" w:rsidRPr="004F5106">
        <w:rPr>
          <w:i/>
        </w:rPr>
        <w:t>ell and Back Europe 1914-1949</w:t>
      </w:r>
      <w:r w:rsidR="004F5106">
        <w:t xml:space="preserve"> (London</w:t>
      </w:r>
      <w:r>
        <w:t>: Penguin, 2016), pp. 120-121.</w:t>
      </w:r>
    </w:p>
  </w:footnote>
  <w:footnote w:id="75">
    <w:p w:rsidR="00117DEA" w:rsidRDefault="00117DEA" w:rsidP="00117DEA">
      <w:pPr>
        <w:pStyle w:val="FootnoteText"/>
      </w:pPr>
      <w:r>
        <w:rPr>
          <w:rStyle w:val="FootnoteReference"/>
        </w:rPr>
        <w:footnoteRef/>
      </w:r>
      <w:r>
        <w:t xml:space="preserve"> J.M. Keynes, </w:t>
      </w:r>
      <w:proofErr w:type="gramStart"/>
      <w:r w:rsidRPr="004F5106">
        <w:rPr>
          <w:i/>
        </w:rPr>
        <w:t>The</w:t>
      </w:r>
      <w:proofErr w:type="gramEnd"/>
      <w:r w:rsidRPr="004F5106">
        <w:rPr>
          <w:i/>
        </w:rPr>
        <w:t xml:space="preserve"> Economic Consequences of the Peace</w:t>
      </w:r>
      <w:r>
        <w:t xml:space="preserve"> (USA: ReadaClassic.com, 2010), pp. 112-113.</w:t>
      </w:r>
    </w:p>
  </w:footnote>
  <w:footnote w:id="76">
    <w:p w:rsidR="00117DEA" w:rsidRDefault="00117DEA" w:rsidP="00117DEA">
      <w:pPr>
        <w:pStyle w:val="FootnoteText"/>
      </w:pPr>
      <w:r>
        <w:rPr>
          <w:rStyle w:val="FootnoteReference"/>
        </w:rPr>
        <w:footnoteRef/>
      </w:r>
      <w:r>
        <w:t xml:space="preserve"> I. Kershaw, </w:t>
      </w:r>
      <w:r w:rsidRPr="004F5106">
        <w:rPr>
          <w:i/>
        </w:rPr>
        <w:t>To H</w:t>
      </w:r>
      <w:r w:rsidR="004F5106" w:rsidRPr="004F5106">
        <w:rPr>
          <w:i/>
        </w:rPr>
        <w:t>ell and Back Europe 1914-1949</w:t>
      </w:r>
      <w:r w:rsidR="004F5106">
        <w:t xml:space="preserve"> (London</w:t>
      </w:r>
      <w:r>
        <w:t>: Penguin, 2016), p. 118.</w:t>
      </w:r>
    </w:p>
  </w:footnote>
  <w:footnote w:id="77">
    <w:p w:rsidR="00117DEA" w:rsidRDefault="00117DEA" w:rsidP="00117DEA">
      <w:pPr>
        <w:pStyle w:val="FootnoteText"/>
      </w:pPr>
      <w:r>
        <w:rPr>
          <w:rStyle w:val="FootnoteReference"/>
        </w:rPr>
        <w:footnoteRef/>
      </w:r>
      <w:r>
        <w:t xml:space="preserve"> A. Sharp, </w:t>
      </w:r>
      <w:r w:rsidRPr="004B2A85">
        <w:rPr>
          <w:i/>
        </w:rPr>
        <w:t>Consequences of the Versailles Settlement: Aftermath and Legacy 1919- 2010</w:t>
      </w:r>
      <w:r>
        <w:t xml:space="preserve"> (London: </w:t>
      </w:r>
      <w:proofErr w:type="spellStart"/>
      <w:r>
        <w:t>Haus</w:t>
      </w:r>
      <w:proofErr w:type="spellEnd"/>
      <w:r>
        <w:t xml:space="preserve"> Publishing</w:t>
      </w:r>
      <w:r w:rsidR="004F5106">
        <w:t>,</w:t>
      </w:r>
      <w:r>
        <w:t xml:space="preserve"> 2015), p. 6.</w:t>
      </w:r>
    </w:p>
  </w:footnote>
  <w:footnote w:id="78">
    <w:p w:rsidR="00117DEA" w:rsidRDefault="00117DEA" w:rsidP="00117DEA">
      <w:pPr>
        <w:pStyle w:val="FootnoteText"/>
      </w:pPr>
      <w:r>
        <w:rPr>
          <w:rStyle w:val="FootnoteReference"/>
        </w:rPr>
        <w:footnoteRef/>
      </w:r>
      <w:r w:rsidR="004F5106">
        <w:t xml:space="preserve"> N. Davies, </w:t>
      </w:r>
      <w:r w:rsidR="004F5106" w:rsidRPr="004F5106">
        <w:rPr>
          <w:i/>
        </w:rPr>
        <w:t>Europe a History</w:t>
      </w:r>
      <w:r>
        <w:t xml:space="preserve"> (London: A Bodily Head</w:t>
      </w:r>
      <w:r w:rsidR="004F5106">
        <w:t>,</w:t>
      </w:r>
      <w:r>
        <w:t xml:space="preserve"> 1997), p. 926.</w:t>
      </w:r>
    </w:p>
  </w:footnote>
  <w:footnote w:id="79">
    <w:p w:rsidR="0037591C" w:rsidRDefault="0037591C" w:rsidP="0037591C">
      <w:pPr>
        <w:pStyle w:val="FootnoteText"/>
      </w:pPr>
      <w:r>
        <w:rPr>
          <w:rStyle w:val="FootnoteReference"/>
        </w:rPr>
        <w:footnoteRef/>
      </w:r>
      <w:r>
        <w:t xml:space="preserve"> M. </w:t>
      </w:r>
      <w:proofErr w:type="spellStart"/>
      <w:r>
        <w:t>Mazower</w:t>
      </w:r>
      <w:proofErr w:type="spellEnd"/>
      <w:r>
        <w:t xml:space="preserve">, </w:t>
      </w:r>
      <w:r w:rsidRPr="000C3C1A">
        <w:rPr>
          <w:i/>
        </w:rPr>
        <w:t>Dark Continent: Europe’s Twentieth Century</w:t>
      </w:r>
      <w:r>
        <w:t xml:space="preserve"> (London: Penguin Books</w:t>
      </w:r>
      <w:r w:rsidR="004F5106">
        <w:t>,</w:t>
      </w:r>
      <w:r>
        <w:t xml:space="preserve"> 1999), pp.63-68.</w:t>
      </w:r>
    </w:p>
  </w:footnote>
  <w:footnote w:id="80">
    <w:p w:rsidR="0037591C" w:rsidRDefault="0037591C" w:rsidP="0037591C">
      <w:pPr>
        <w:pStyle w:val="FootnoteText"/>
      </w:pPr>
      <w:r>
        <w:rPr>
          <w:rStyle w:val="FootnoteReference"/>
        </w:rPr>
        <w:footnoteRef/>
      </w:r>
      <w:r>
        <w:t xml:space="preserve"> A. Sharp, </w:t>
      </w:r>
      <w:r w:rsidRPr="004B2A85">
        <w:rPr>
          <w:i/>
        </w:rPr>
        <w:t>Consequences of the Versailles Settlement: Aftermath and Legacy 1919- 2010</w:t>
      </w:r>
      <w:r>
        <w:t xml:space="preserve"> (London: </w:t>
      </w:r>
      <w:proofErr w:type="spellStart"/>
      <w:r>
        <w:t>Haus</w:t>
      </w:r>
      <w:proofErr w:type="spellEnd"/>
      <w:r>
        <w:t xml:space="preserve"> Publishing</w:t>
      </w:r>
      <w:r w:rsidR="004F5106">
        <w:t>,</w:t>
      </w:r>
      <w:r>
        <w:t xml:space="preserve"> 2015), pp.24-25.</w:t>
      </w:r>
    </w:p>
  </w:footnote>
  <w:footnote w:id="81">
    <w:p w:rsidR="00117DEA" w:rsidRDefault="00117DEA" w:rsidP="00117DEA">
      <w:pPr>
        <w:pStyle w:val="FootnoteText"/>
      </w:pPr>
      <w:r>
        <w:rPr>
          <w:rStyle w:val="FootnoteReference"/>
        </w:rPr>
        <w:footnoteRef/>
      </w:r>
      <w:r w:rsidR="00F75310">
        <w:t xml:space="preserve"> </w:t>
      </w:r>
      <w:proofErr w:type="gramStart"/>
      <w:r w:rsidR="00F75310" w:rsidRPr="00BE1049">
        <w:rPr>
          <w:i/>
        </w:rPr>
        <w:t>ibid</w:t>
      </w:r>
      <w:r w:rsidR="00F75310">
        <w:t>.</w:t>
      </w:r>
      <w:r>
        <w:t>,</w:t>
      </w:r>
      <w:proofErr w:type="gramEnd"/>
      <w:r>
        <w:t xml:space="preserve"> p.14.</w:t>
      </w:r>
    </w:p>
  </w:footnote>
  <w:footnote w:id="82">
    <w:p w:rsidR="002E178F" w:rsidRDefault="002E178F" w:rsidP="002E178F">
      <w:pPr>
        <w:pStyle w:val="FootnoteText"/>
      </w:pPr>
      <w:r>
        <w:rPr>
          <w:rStyle w:val="FootnoteReference"/>
        </w:rPr>
        <w:footnoteRef/>
      </w:r>
      <w:r>
        <w:t xml:space="preserve"> M. Smith, </w:t>
      </w:r>
      <w:r w:rsidR="004F5106">
        <w:t>“</w:t>
      </w:r>
      <w:r w:rsidRPr="004F5106">
        <w:t>The War and British Culture</w:t>
      </w:r>
      <w:r w:rsidR="004F5106">
        <w:t xml:space="preserve">”, </w:t>
      </w:r>
      <w:r w:rsidRPr="004F5106">
        <w:rPr>
          <w:i/>
        </w:rPr>
        <w:t>The First World War in British History</w:t>
      </w:r>
      <w:r w:rsidR="004F5106">
        <w:rPr>
          <w:i/>
        </w:rPr>
        <w:t>,</w:t>
      </w:r>
      <w:r>
        <w:t xml:space="preserve"> </w:t>
      </w:r>
      <w:r w:rsidR="004F5106">
        <w:t>ed. S. Constantine, M. W. Kirby and</w:t>
      </w:r>
      <w:r>
        <w:t xml:space="preserve"> M. B. Rose (London: Edward Arnold</w:t>
      </w:r>
      <w:r w:rsidR="004F5106">
        <w:t>,</w:t>
      </w:r>
      <w:r>
        <w:t xml:space="preserve"> 1995), pp.169.  </w:t>
      </w:r>
    </w:p>
  </w:footnote>
  <w:footnote w:id="83">
    <w:p w:rsidR="002E178F" w:rsidRDefault="002E178F" w:rsidP="002E178F">
      <w:pPr>
        <w:pStyle w:val="FootnoteText"/>
      </w:pPr>
      <w:r>
        <w:rPr>
          <w:rStyle w:val="FootnoteReference"/>
        </w:rPr>
        <w:footnoteRef/>
      </w:r>
      <w:r>
        <w:t xml:space="preserve"> G. L. </w:t>
      </w:r>
      <w:proofErr w:type="spellStart"/>
      <w:r>
        <w:t>Mosse</w:t>
      </w:r>
      <w:proofErr w:type="spellEnd"/>
      <w:r>
        <w:t xml:space="preserve">, </w:t>
      </w:r>
      <w:proofErr w:type="gramStart"/>
      <w:r w:rsidRPr="00C0202B">
        <w:rPr>
          <w:i/>
        </w:rPr>
        <w:t>The</w:t>
      </w:r>
      <w:proofErr w:type="gramEnd"/>
      <w:r w:rsidRPr="00C0202B">
        <w:rPr>
          <w:i/>
        </w:rPr>
        <w:t xml:space="preserve"> Culture of Western Europe: the Nineteenth and Twentieth Centuries</w:t>
      </w:r>
      <w:r>
        <w:t xml:space="preserve"> (Boulder and London: Westview Press</w:t>
      </w:r>
      <w:r w:rsidR="004F5106">
        <w:t>,</w:t>
      </w:r>
      <w:r>
        <w:t xml:space="preserve"> 1988), p</w:t>
      </w:r>
      <w:r w:rsidR="004F5106">
        <w:t xml:space="preserve">. </w:t>
      </w:r>
      <w:r>
        <w:t>2.</w:t>
      </w:r>
    </w:p>
  </w:footnote>
  <w:footnote w:id="84">
    <w:p w:rsidR="009640FF" w:rsidRDefault="009640FF">
      <w:pPr>
        <w:pStyle w:val="FootnoteText"/>
      </w:pPr>
      <w:r>
        <w:rPr>
          <w:rStyle w:val="FootnoteReference"/>
        </w:rPr>
        <w:footnoteRef/>
      </w:r>
      <w:r>
        <w:t xml:space="preserve"> For example Wilfred Owen, Siegfried Sassoon, Rupert Brooks and Robert Graves</w:t>
      </w:r>
    </w:p>
  </w:footnote>
  <w:footnote w:id="85">
    <w:p w:rsidR="009640FF" w:rsidRDefault="009640FF">
      <w:pPr>
        <w:pStyle w:val="FootnoteText"/>
      </w:pPr>
      <w:r>
        <w:rPr>
          <w:rStyle w:val="FootnoteReference"/>
        </w:rPr>
        <w:footnoteRef/>
      </w:r>
      <w:r>
        <w:t xml:space="preserve"> For example, Wyndham Lewis, Paul Nash and C.R.W </w:t>
      </w:r>
      <w:proofErr w:type="spellStart"/>
      <w:r>
        <w:t>Nevinson</w:t>
      </w:r>
      <w:proofErr w:type="spellEnd"/>
    </w:p>
  </w:footnote>
  <w:footnote w:id="86">
    <w:p w:rsidR="002E178F" w:rsidRPr="00EF4BB6" w:rsidRDefault="002E178F" w:rsidP="002E178F">
      <w:pPr>
        <w:pStyle w:val="FootnoteText"/>
      </w:pPr>
      <w:r>
        <w:rPr>
          <w:rStyle w:val="FootnoteReference"/>
        </w:rPr>
        <w:footnoteRef/>
      </w:r>
      <w:r>
        <w:t xml:space="preserve"> J.M. Winter, </w:t>
      </w:r>
      <w:r w:rsidRPr="00EF4BB6">
        <w:rPr>
          <w:i/>
        </w:rPr>
        <w:t>The Great War and the British People</w:t>
      </w:r>
      <w:r>
        <w:t xml:space="preserve"> (Basingstoke: Palgrave Macmillan</w:t>
      </w:r>
      <w:r w:rsidR="004F5106">
        <w:t>,</w:t>
      </w:r>
      <w:r>
        <w:t xml:space="preserve"> 2003), pp.282-284.</w:t>
      </w:r>
    </w:p>
  </w:footnote>
  <w:footnote w:id="87">
    <w:p w:rsidR="002E178F" w:rsidRDefault="002E178F" w:rsidP="002E178F">
      <w:pPr>
        <w:pStyle w:val="FootnoteText"/>
      </w:pPr>
      <w:r>
        <w:rPr>
          <w:rStyle w:val="FootnoteReference"/>
        </w:rPr>
        <w:footnoteRef/>
      </w:r>
      <w:r>
        <w:t xml:space="preserve"> M. Smith, </w:t>
      </w:r>
      <w:r w:rsidR="004F5106">
        <w:t>“</w:t>
      </w:r>
      <w:r w:rsidRPr="004F5106">
        <w:t>The War and British Culture</w:t>
      </w:r>
      <w:r w:rsidR="004F5106">
        <w:t>”,</w:t>
      </w:r>
      <w:r>
        <w:t xml:space="preserve"> The First World War in British History</w:t>
      </w:r>
      <w:r w:rsidR="004F5106">
        <w:t>,</w:t>
      </w:r>
      <w:r>
        <w:t xml:space="preserve"> </w:t>
      </w:r>
      <w:r w:rsidR="00F75310">
        <w:t>ed. S. Constantine, M. W. Kirby and</w:t>
      </w:r>
      <w:r>
        <w:t xml:space="preserve"> M. B. Rose (London: Edward Arnold 1995), pp.170-173.</w:t>
      </w:r>
    </w:p>
  </w:footnote>
  <w:footnote w:id="88">
    <w:p w:rsidR="002E178F" w:rsidRDefault="002E178F" w:rsidP="002E178F">
      <w:pPr>
        <w:pStyle w:val="FootnoteText"/>
      </w:pPr>
      <w:r>
        <w:rPr>
          <w:rStyle w:val="FootnoteReference"/>
        </w:rPr>
        <w:footnoteRef/>
      </w:r>
      <w:r w:rsidR="00F75310">
        <w:t xml:space="preserve"> A. Marwick, </w:t>
      </w:r>
      <w:proofErr w:type="gramStart"/>
      <w:r w:rsidR="00F75310" w:rsidRPr="00F75310">
        <w:rPr>
          <w:i/>
        </w:rPr>
        <w:t>The</w:t>
      </w:r>
      <w:proofErr w:type="gramEnd"/>
      <w:r w:rsidR="00F75310" w:rsidRPr="00F75310">
        <w:rPr>
          <w:i/>
        </w:rPr>
        <w:t xml:space="preserve"> Deluge</w:t>
      </w:r>
      <w:r w:rsidR="00F75310">
        <w:t xml:space="preserve"> (</w:t>
      </w:r>
      <w:r>
        <w:t>Basingstoke: Palgrave Macmillan 2006), p. 259-263.</w:t>
      </w:r>
    </w:p>
  </w:footnote>
  <w:footnote w:id="89">
    <w:p w:rsidR="002E178F" w:rsidRDefault="002E178F" w:rsidP="002E178F">
      <w:pPr>
        <w:pStyle w:val="FootnoteText"/>
      </w:pPr>
      <w:r>
        <w:rPr>
          <w:rStyle w:val="FootnoteReference"/>
        </w:rPr>
        <w:footnoteRef/>
      </w:r>
      <w:r>
        <w:t xml:space="preserve"> M. Smith, </w:t>
      </w:r>
      <w:r w:rsidR="004F5106">
        <w:t>“</w:t>
      </w:r>
      <w:r w:rsidRPr="004F5106">
        <w:t>The War and British Culture</w:t>
      </w:r>
      <w:r w:rsidR="004F5106">
        <w:t>”,</w:t>
      </w:r>
      <w:r>
        <w:t xml:space="preserve"> </w:t>
      </w:r>
      <w:r w:rsidRPr="004F5106">
        <w:rPr>
          <w:i/>
        </w:rPr>
        <w:t>The First World War in British History</w:t>
      </w:r>
      <w:r w:rsidR="004F5106">
        <w:t>,</w:t>
      </w:r>
      <w:r>
        <w:t xml:space="preserve"> </w:t>
      </w:r>
      <w:r w:rsidR="004F5106">
        <w:t>ed. S. Constantine, M. W. Kirby and</w:t>
      </w:r>
      <w:r>
        <w:t xml:space="preserve"> M. B. Rose (London: Edward Arnold</w:t>
      </w:r>
      <w:r w:rsidR="008A4C62">
        <w:t>,</w:t>
      </w:r>
      <w:r>
        <w:t xml:space="preserve"> 1995), pp.174-176.  </w:t>
      </w:r>
    </w:p>
  </w:footnote>
  <w:footnote w:id="90">
    <w:p w:rsidR="00F43E16" w:rsidRDefault="00F43E16">
      <w:pPr>
        <w:pStyle w:val="FootnoteText"/>
      </w:pPr>
      <w:r>
        <w:rPr>
          <w:rStyle w:val="FootnoteReference"/>
        </w:rPr>
        <w:footnoteRef/>
      </w:r>
      <w:r>
        <w:t xml:space="preserve"> </w:t>
      </w:r>
      <w:r w:rsidR="008A4C62">
        <w:t xml:space="preserve">J. </w:t>
      </w:r>
      <w:r>
        <w:t xml:space="preserve">Gardiner, </w:t>
      </w:r>
      <w:proofErr w:type="gramStart"/>
      <w:r w:rsidR="008A4C62" w:rsidRPr="008738AE">
        <w:rPr>
          <w:i/>
        </w:rPr>
        <w:t>The</w:t>
      </w:r>
      <w:proofErr w:type="gramEnd"/>
      <w:r w:rsidR="008A4C62" w:rsidRPr="008738AE">
        <w:rPr>
          <w:i/>
        </w:rPr>
        <w:t xml:space="preserve"> Thirties: an Intimate History</w:t>
      </w:r>
      <w:r w:rsidR="008A4C62">
        <w:t xml:space="preserve"> (London: Harper Press 2011), </w:t>
      </w:r>
      <w:r>
        <w:t>p. 13.</w:t>
      </w:r>
    </w:p>
  </w:footnote>
  <w:footnote w:id="91">
    <w:p w:rsidR="002E178F" w:rsidRDefault="002E178F" w:rsidP="002E178F">
      <w:pPr>
        <w:pStyle w:val="FootnoteText"/>
      </w:pPr>
      <w:r>
        <w:rPr>
          <w:rStyle w:val="FootnoteReference"/>
        </w:rPr>
        <w:footnoteRef/>
      </w:r>
      <w:r>
        <w:t xml:space="preserve"> </w:t>
      </w:r>
      <w:r w:rsidR="008A4C62">
        <w:t>S. Constantine, M. W. Kirby and</w:t>
      </w:r>
      <w:r>
        <w:t xml:space="preserve"> M. B. Rose, </w:t>
      </w:r>
      <w:r w:rsidRPr="008738AE">
        <w:rPr>
          <w:i/>
        </w:rPr>
        <w:t>The First World War in British History</w:t>
      </w:r>
      <w:r>
        <w:t xml:space="preserve"> (London: Edward Arnold</w:t>
      </w:r>
      <w:r w:rsidR="008A4C62">
        <w:t>,</w:t>
      </w:r>
      <w:r>
        <w:t xml:space="preserve"> 1995), p. 7.</w:t>
      </w:r>
    </w:p>
  </w:footnote>
  <w:footnote w:id="92">
    <w:p w:rsidR="002E178F" w:rsidRDefault="002E178F" w:rsidP="002E178F">
      <w:pPr>
        <w:pStyle w:val="FootnoteText"/>
      </w:pPr>
      <w:r>
        <w:rPr>
          <w:rStyle w:val="FootnoteReference"/>
        </w:rPr>
        <w:footnoteRef/>
      </w:r>
      <w:r>
        <w:t xml:space="preserve"> B. Waites, A. Marwick, B. Purdue, J. Chapman, C. Emsley, D. Englander and M. </w:t>
      </w:r>
      <w:proofErr w:type="spellStart"/>
      <w:r>
        <w:t>Pittaw</w:t>
      </w:r>
      <w:r w:rsidR="008A4C62">
        <w:t>ay</w:t>
      </w:r>
      <w:proofErr w:type="spellEnd"/>
      <w:r w:rsidR="008A4C62">
        <w:t xml:space="preserve">, </w:t>
      </w:r>
      <w:r w:rsidR="008A4C62" w:rsidRPr="008738AE">
        <w:rPr>
          <w:i/>
        </w:rPr>
        <w:t xml:space="preserve">The Impact of World War 1 </w:t>
      </w:r>
      <w:r w:rsidR="008A4C62">
        <w:t>(Milton Keynes</w:t>
      </w:r>
      <w:r>
        <w:t>: Open University Press</w:t>
      </w:r>
      <w:r w:rsidR="008A4C62">
        <w:t>,</w:t>
      </w:r>
      <w:r>
        <w:t xml:space="preserve"> 2006), p. 8. </w:t>
      </w:r>
    </w:p>
  </w:footnote>
  <w:footnote w:id="93">
    <w:p w:rsidR="00136BFC" w:rsidRDefault="00136BFC" w:rsidP="008A4C62">
      <w:pPr>
        <w:pStyle w:val="FootnoteText"/>
      </w:pPr>
      <w:r>
        <w:rPr>
          <w:rStyle w:val="FootnoteReference"/>
        </w:rPr>
        <w:footnoteRef/>
      </w:r>
      <w:r>
        <w:t xml:space="preserve"> </w:t>
      </w:r>
      <w:r w:rsidR="008A4C62">
        <w:t xml:space="preserve">P. </w:t>
      </w:r>
      <w:proofErr w:type="spellStart"/>
      <w:r>
        <w:t>Fussell</w:t>
      </w:r>
      <w:proofErr w:type="spellEnd"/>
      <w:r>
        <w:t xml:space="preserve">, </w:t>
      </w:r>
      <w:proofErr w:type="gramStart"/>
      <w:r w:rsidR="008A4C62" w:rsidRPr="008738AE">
        <w:rPr>
          <w:i/>
        </w:rPr>
        <w:t>The</w:t>
      </w:r>
      <w:proofErr w:type="gramEnd"/>
      <w:r w:rsidR="008A4C62" w:rsidRPr="008738AE">
        <w:rPr>
          <w:i/>
        </w:rPr>
        <w:t xml:space="preserve"> Great War and Modern Memory</w:t>
      </w:r>
      <w:r w:rsidR="008A4C62">
        <w:t xml:space="preserve"> (Oxford: Oxford University Press), </w:t>
      </w:r>
      <w:r>
        <w:t>pp. 354-362.</w:t>
      </w:r>
    </w:p>
  </w:footnote>
  <w:footnote w:id="94">
    <w:p w:rsidR="00136BFC" w:rsidRDefault="00136BFC" w:rsidP="00136BFC">
      <w:pPr>
        <w:pStyle w:val="FootnoteText"/>
      </w:pPr>
      <w:r>
        <w:rPr>
          <w:rStyle w:val="FootnoteReference"/>
        </w:rPr>
        <w:footnoteRef/>
      </w:r>
      <w:r w:rsidR="00506CA7">
        <w:t xml:space="preserve"> </w:t>
      </w:r>
      <w:proofErr w:type="gramStart"/>
      <w:r w:rsidR="00506CA7" w:rsidRPr="00BE1049">
        <w:rPr>
          <w:i/>
        </w:rPr>
        <w:t>Ibid</w:t>
      </w:r>
      <w:r w:rsidR="008A4C62">
        <w:t>.</w:t>
      </w:r>
      <w:r>
        <w:t>,</w:t>
      </w:r>
      <w:proofErr w:type="gramEnd"/>
      <w:r>
        <w:t xml:space="preserve"> p. 364.</w:t>
      </w:r>
    </w:p>
  </w:footnote>
  <w:footnote w:id="95">
    <w:p w:rsidR="00D3520F" w:rsidRPr="00D3520F" w:rsidRDefault="00D3520F">
      <w:pPr>
        <w:pStyle w:val="FootnoteText"/>
      </w:pPr>
      <w:r>
        <w:rPr>
          <w:rStyle w:val="FootnoteReference"/>
        </w:rPr>
        <w:footnoteRef/>
      </w:r>
      <w:r>
        <w:t xml:space="preserve"> J. Gardiner, </w:t>
      </w:r>
      <w:proofErr w:type="gramStart"/>
      <w:r>
        <w:rPr>
          <w:i/>
        </w:rPr>
        <w:t>The</w:t>
      </w:r>
      <w:proofErr w:type="gramEnd"/>
      <w:r>
        <w:rPr>
          <w:i/>
        </w:rPr>
        <w:t xml:space="preserve"> Thirties: An Intimate History</w:t>
      </w:r>
      <w:r>
        <w:t xml:space="preserve"> (London: Harper Press, 2011), p. 13.</w:t>
      </w:r>
    </w:p>
  </w:footnote>
  <w:footnote w:id="96">
    <w:p w:rsidR="002E178F" w:rsidRDefault="002E178F" w:rsidP="002E178F">
      <w:pPr>
        <w:pStyle w:val="FootnoteText"/>
      </w:pPr>
      <w:r>
        <w:rPr>
          <w:rStyle w:val="FootnoteReference"/>
        </w:rPr>
        <w:footnoteRef/>
      </w:r>
      <w:r>
        <w:t xml:space="preserve"> B. Waites, A. Marwick, B. Purdue, J. Chapman, C. Emsley, D. Englander and M. </w:t>
      </w:r>
      <w:proofErr w:type="spellStart"/>
      <w:r>
        <w:t>Pittaway</w:t>
      </w:r>
      <w:proofErr w:type="spellEnd"/>
      <w:r>
        <w:t xml:space="preserve">, </w:t>
      </w:r>
      <w:r w:rsidRPr="00506CA7">
        <w:rPr>
          <w:i/>
        </w:rPr>
        <w:t xml:space="preserve">The Impact of World War 1 </w:t>
      </w:r>
      <w:r w:rsidR="00506CA7">
        <w:t>(Milton Keynes</w:t>
      </w:r>
      <w:r>
        <w:t>: Open University Press</w:t>
      </w:r>
      <w:r w:rsidR="00506CA7">
        <w:t>,</w:t>
      </w:r>
      <w:r>
        <w:t xml:space="preserve"> 2006), p. 61</w:t>
      </w:r>
    </w:p>
  </w:footnote>
  <w:footnote w:id="97">
    <w:p w:rsidR="002E178F" w:rsidRDefault="002E178F" w:rsidP="002E178F">
      <w:pPr>
        <w:pStyle w:val="FootnoteText"/>
      </w:pPr>
      <w:r>
        <w:rPr>
          <w:rStyle w:val="FootnoteReference"/>
        </w:rPr>
        <w:footnoteRef/>
      </w:r>
      <w:r>
        <w:t xml:space="preserve"> A. Marwick, </w:t>
      </w:r>
      <w:proofErr w:type="gramStart"/>
      <w:r w:rsidRPr="00506CA7">
        <w:rPr>
          <w:i/>
        </w:rPr>
        <w:t>The</w:t>
      </w:r>
      <w:proofErr w:type="gramEnd"/>
      <w:r w:rsidR="00506CA7" w:rsidRPr="00506CA7">
        <w:rPr>
          <w:i/>
        </w:rPr>
        <w:t xml:space="preserve"> Deluge</w:t>
      </w:r>
      <w:r w:rsidR="00506CA7">
        <w:t xml:space="preserve"> (</w:t>
      </w:r>
      <w:r>
        <w:t>Basingstoke: Palgrave Macmillan</w:t>
      </w:r>
      <w:r w:rsidR="00506CA7">
        <w:t>,</w:t>
      </w:r>
      <w:r>
        <w:t xml:space="preserve"> 2006), p. 186.</w:t>
      </w:r>
    </w:p>
  </w:footnote>
  <w:footnote w:id="98">
    <w:p w:rsidR="002E178F" w:rsidRDefault="002E178F" w:rsidP="002E178F">
      <w:pPr>
        <w:pStyle w:val="FootnoteText"/>
      </w:pPr>
      <w:r>
        <w:rPr>
          <w:rStyle w:val="FootnoteReference"/>
        </w:rPr>
        <w:footnoteRef/>
      </w:r>
      <w:r w:rsidR="00506CA7">
        <w:t xml:space="preserve"> </w:t>
      </w:r>
      <w:proofErr w:type="gramStart"/>
      <w:r w:rsidR="00506CA7" w:rsidRPr="00BE1049">
        <w:rPr>
          <w:i/>
        </w:rPr>
        <w:t>Ibid</w:t>
      </w:r>
      <w:r w:rsidR="00506CA7">
        <w:t>.</w:t>
      </w:r>
      <w:r>
        <w:t>,</w:t>
      </w:r>
      <w:proofErr w:type="gramEnd"/>
      <w:r>
        <w:t xml:space="preserve"> pp. 250-253.</w:t>
      </w:r>
    </w:p>
  </w:footnote>
  <w:footnote w:id="99">
    <w:p w:rsidR="00DC324F" w:rsidRDefault="00DC324F">
      <w:pPr>
        <w:pStyle w:val="FootnoteText"/>
      </w:pPr>
      <w:r>
        <w:rPr>
          <w:rStyle w:val="FootnoteReference"/>
        </w:rPr>
        <w:footnoteRef/>
      </w:r>
      <w:r>
        <w:t xml:space="preserve"> Readership covering both ‘classes and the masses’ both then owned by Lord Northcliffe, published 17 April 1917</w:t>
      </w:r>
    </w:p>
  </w:footnote>
  <w:footnote w:id="100">
    <w:p w:rsidR="00DC324F" w:rsidRDefault="00DC324F" w:rsidP="00DC324F">
      <w:pPr>
        <w:pStyle w:val="FootnoteText"/>
      </w:pPr>
      <w:r>
        <w:rPr>
          <w:rStyle w:val="FootnoteReference"/>
        </w:rPr>
        <w:footnoteRef/>
      </w:r>
      <w:r>
        <w:t xml:space="preserve"> A. </w:t>
      </w:r>
      <w:r w:rsidR="00506CA7">
        <w:t xml:space="preserve">Marwick, </w:t>
      </w:r>
      <w:proofErr w:type="gramStart"/>
      <w:r w:rsidR="00506CA7" w:rsidRPr="00506CA7">
        <w:rPr>
          <w:i/>
        </w:rPr>
        <w:t>The</w:t>
      </w:r>
      <w:proofErr w:type="gramEnd"/>
      <w:r w:rsidR="00506CA7" w:rsidRPr="00506CA7">
        <w:rPr>
          <w:i/>
        </w:rPr>
        <w:t xml:space="preserve"> Deluge</w:t>
      </w:r>
      <w:r w:rsidR="00506CA7">
        <w:t xml:space="preserve"> (</w:t>
      </w:r>
      <w:r>
        <w:t>Basingstoke: Palgrave Macmillan</w:t>
      </w:r>
      <w:r w:rsidR="008738AE">
        <w:t>,</w:t>
      </w:r>
      <w:r>
        <w:t xml:space="preserve"> 2006), p. 253.</w:t>
      </w:r>
    </w:p>
  </w:footnote>
  <w:footnote w:id="101">
    <w:p w:rsidR="00A4635F" w:rsidRPr="00987AA4" w:rsidRDefault="00A4635F" w:rsidP="00A4635F">
      <w:pPr>
        <w:pStyle w:val="FootnoteText"/>
      </w:pPr>
      <w:r>
        <w:rPr>
          <w:rStyle w:val="FootnoteReference"/>
        </w:rPr>
        <w:footnoteRef/>
      </w:r>
      <w:r>
        <w:t xml:space="preserve"> P. </w:t>
      </w:r>
      <w:proofErr w:type="spellStart"/>
      <w:r>
        <w:t>Fussell</w:t>
      </w:r>
      <w:proofErr w:type="spellEnd"/>
      <w:r>
        <w:t xml:space="preserve">, </w:t>
      </w:r>
      <w:proofErr w:type="gramStart"/>
      <w:r>
        <w:rPr>
          <w:i/>
        </w:rPr>
        <w:t>The</w:t>
      </w:r>
      <w:proofErr w:type="gramEnd"/>
      <w:r>
        <w:rPr>
          <w:i/>
        </w:rPr>
        <w:t xml:space="preserve"> Great War and Modern Memory</w:t>
      </w:r>
      <w:r>
        <w:t xml:space="preserve"> (Oxford: Oxford University Press, 2013), p. 343.</w:t>
      </w:r>
    </w:p>
  </w:footnote>
  <w:footnote w:id="102">
    <w:p w:rsidR="00D3520F" w:rsidRDefault="00D3520F" w:rsidP="00D3520F">
      <w:pPr>
        <w:pStyle w:val="FootnoteText"/>
      </w:pPr>
      <w:r>
        <w:rPr>
          <w:rStyle w:val="FootnoteReference"/>
        </w:rPr>
        <w:footnoteRef/>
      </w:r>
      <w:r>
        <w:t xml:space="preserve"> R. </w:t>
      </w:r>
      <w:proofErr w:type="spellStart"/>
      <w:r>
        <w:t>Gerwarth</w:t>
      </w:r>
      <w:proofErr w:type="spellEnd"/>
      <w:r>
        <w:t xml:space="preserve">, </w:t>
      </w:r>
      <w:proofErr w:type="gramStart"/>
      <w:r w:rsidRPr="00A73BEA">
        <w:rPr>
          <w:i/>
        </w:rPr>
        <w:t>The</w:t>
      </w:r>
      <w:proofErr w:type="gramEnd"/>
      <w:r w:rsidRPr="00A73BEA">
        <w:rPr>
          <w:i/>
        </w:rPr>
        <w:t xml:space="preserve"> Vanquished: Why the First World War Failed to End, 1917-1923</w:t>
      </w:r>
      <w:r w:rsidR="00506CA7">
        <w:t xml:space="preserve"> (London</w:t>
      </w:r>
      <w:r>
        <w:t>: Penguin</w:t>
      </w:r>
      <w:r w:rsidR="00506CA7">
        <w:t>,</w:t>
      </w:r>
      <w:r>
        <w:t xml:space="preserve"> 2017), pp.248-249. </w:t>
      </w:r>
    </w:p>
  </w:footnote>
  <w:footnote w:id="103">
    <w:p w:rsidR="00D3520F" w:rsidRPr="00903DA4" w:rsidRDefault="00D3520F" w:rsidP="00D3520F">
      <w:pPr>
        <w:pStyle w:val="FootnoteText"/>
      </w:pPr>
      <w:r>
        <w:rPr>
          <w:rStyle w:val="FootnoteReference"/>
        </w:rPr>
        <w:footnoteRef/>
      </w:r>
      <w:r>
        <w:t xml:space="preserve"> B. B. Gilbert, </w:t>
      </w:r>
      <w:r w:rsidRPr="00903DA4">
        <w:rPr>
          <w:i/>
        </w:rPr>
        <w:t>British Social Policy 1914-1939</w:t>
      </w:r>
      <w:r>
        <w:t xml:space="preserve"> (London: B. T. Basford</w:t>
      </w:r>
      <w:r w:rsidR="00506CA7">
        <w:t>,</w:t>
      </w:r>
      <w:r w:rsidR="005C56F9">
        <w:t xml:space="preserve"> 1973), pp.306-307; D. Fraser, </w:t>
      </w:r>
      <w:r w:rsidR="005C56F9" w:rsidRPr="008516B1">
        <w:rPr>
          <w:i/>
        </w:rPr>
        <w:t xml:space="preserve">The Evolution of the British Welfare State: A History of Social Policy </w:t>
      </w:r>
      <w:proofErr w:type="gramStart"/>
      <w:r w:rsidR="005C56F9" w:rsidRPr="008516B1">
        <w:rPr>
          <w:i/>
        </w:rPr>
        <w:t>Since</w:t>
      </w:r>
      <w:proofErr w:type="gramEnd"/>
      <w:r w:rsidR="005C56F9" w:rsidRPr="008516B1">
        <w:rPr>
          <w:i/>
        </w:rPr>
        <w:t xml:space="preserve"> the Industrial Revolution</w:t>
      </w:r>
      <w:r w:rsidR="005C56F9">
        <w:t xml:space="preserve"> (London: Palgrave, 2009), pp. 265-286.</w:t>
      </w:r>
    </w:p>
  </w:footnote>
  <w:footnote w:id="104">
    <w:p w:rsidR="00D3520F" w:rsidRDefault="00D3520F" w:rsidP="00D3520F">
      <w:pPr>
        <w:pStyle w:val="FootnoteText"/>
      </w:pPr>
      <w:r>
        <w:rPr>
          <w:rStyle w:val="FootnoteReference"/>
        </w:rPr>
        <w:footnoteRef/>
      </w:r>
      <w:r>
        <w:t xml:space="preserve"> K. O. Morgan, </w:t>
      </w:r>
      <w:r w:rsidRPr="008516B1">
        <w:rPr>
          <w:i/>
        </w:rPr>
        <w:t>Britain Since 1945: The People’s Peace</w:t>
      </w:r>
      <w:r>
        <w:t xml:space="preserve"> (Oxford and New York: Oxford University Press 2001), p. 1. Lloyd George’s social reform election pledges of 1918 were not realised.</w:t>
      </w:r>
    </w:p>
  </w:footnote>
  <w:footnote w:id="105">
    <w:p w:rsidR="00D3520F" w:rsidRDefault="00D3520F" w:rsidP="00D3520F">
      <w:pPr>
        <w:pStyle w:val="FootnoteText"/>
      </w:pPr>
      <w:r>
        <w:rPr>
          <w:rStyle w:val="FootnoteReference"/>
        </w:rPr>
        <w:footnoteRef/>
      </w:r>
      <w:r>
        <w:t xml:space="preserve"> E. </w:t>
      </w:r>
      <w:proofErr w:type="spellStart"/>
      <w:r>
        <w:t>Royle</w:t>
      </w:r>
      <w:proofErr w:type="spellEnd"/>
      <w:r>
        <w:t xml:space="preserve">, </w:t>
      </w:r>
      <w:r w:rsidRPr="008516B1">
        <w:rPr>
          <w:i/>
        </w:rPr>
        <w:t>Modern Britain: A Social History 1750-1997</w:t>
      </w:r>
      <w:r>
        <w:t xml:space="preserve"> (London: Arnold 2002), pp. 208-209.</w:t>
      </w:r>
    </w:p>
  </w:footnote>
  <w:footnote w:id="106">
    <w:p w:rsidR="001E3DF3" w:rsidRDefault="001E3DF3">
      <w:pPr>
        <w:pStyle w:val="FootnoteText"/>
      </w:pPr>
      <w:r>
        <w:rPr>
          <w:rStyle w:val="FootnoteReference"/>
        </w:rPr>
        <w:footnoteRef/>
      </w:r>
      <w:r>
        <w:t xml:space="preserve"> D. Fraser, </w:t>
      </w:r>
      <w:proofErr w:type="gramStart"/>
      <w:r w:rsidRPr="008516B1">
        <w:rPr>
          <w:i/>
        </w:rPr>
        <w:t>The</w:t>
      </w:r>
      <w:proofErr w:type="gramEnd"/>
      <w:r w:rsidRPr="008516B1">
        <w:rPr>
          <w:i/>
        </w:rPr>
        <w:t xml:space="preserve"> Evolution of the British Welfare State: A History of Social Policy Since the Industrial Revolution</w:t>
      </w:r>
      <w:r>
        <w:t xml:space="preserve"> (London: Palgrave, 2009), p. 209.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7F1B" w:rsidRPr="00B97EC5" w:rsidRDefault="00F97F1B" w:rsidP="00F97F1B">
    <w:pPr>
      <w:jc w:val="center"/>
      <w:rPr>
        <w:rFonts w:ascii="Tahoma" w:hAnsi="Tahoma" w:cs="Tahoma"/>
        <w:b/>
      </w:rPr>
    </w:pPr>
    <w:r w:rsidRPr="00B97EC5">
      <w:rPr>
        <w:rFonts w:ascii="Tahoma" w:hAnsi="Tahoma" w:cs="Tahoma"/>
        <w:b/>
      </w:rPr>
      <w:t>Why has the First World War cast such a long shadow over the British Isles, even eclipsing the legacy of World War Two?</w:t>
    </w:r>
  </w:p>
  <w:p w:rsidR="00F97F1B" w:rsidRDefault="00F97F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51D"/>
    <w:rsid w:val="00000541"/>
    <w:rsid w:val="00011A9F"/>
    <w:rsid w:val="000133DF"/>
    <w:rsid w:val="0001653E"/>
    <w:rsid w:val="00022902"/>
    <w:rsid w:val="00023630"/>
    <w:rsid w:val="00024F19"/>
    <w:rsid w:val="00026BB6"/>
    <w:rsid w:val="00026C79"/>
    <w:rsid w:val="000275E3"/>
    <w:rsid w:val="00033C34"/>
    <w:rsid w:val="0003794A"/>
    <w:rsid w:val="00041113"/>
    <w:rsid w:val="00042B9B"/>
    <w:rsid w:val="000436BA"/>
    <w:rsid w:val="00044164"/>
    <w:rsid w:val="00044A89"/>
    <w:rsid w:val="00054640"/>
    <w:rsid w:val="00060B1D"/>
    <w:rsid w:val="00063414"/>
    <w:rsid w:val="0006656C"/>
    <w:rsid w:val="000676FA"/>
    <w:rsid w:val="00067D53"/>
    <w:rsid w:val="00070888"/>
    <w:rsid w:val="000721A7"/>
    <w:rsid w:val="0007727A"/>
    <w:rsid w:val="0008177E"/>
    <w:rsid w:val="0009503E"/>
    <w:rsid w:val="000A0F1F"/>
    <w:rsid w:val="000A1D6B"/>
    <w:rsid w:val="000A5B43"/>
    <w:rsid w:val="000A74C8"/>
    <w:rsid w:val="000B271E"/>
    <w:rsid w:val="000B7EBD"/>
    <w:rsid w:val="000C0795"/>
    <w:rsid w:val="000C3C1A"/>
    <w:rsid w:val="000D0B3B"/>
    <w:rsid w:val="000D29BC"/>
    <w:rsid w:val="000D40A4"/>
    <w:rsid w:val="000D7046"/>
    <w:rsid w:val="000D7EC4"/>
    <w:rsid w:val="000E1097"/>
    <w:rsid w:val="000E6F7F"/>
    <w:rsid w:val="000F4EDA"/>
    <w:rsid w:val="00100D1F"/>
    <w:rsid w:val="001072BE"/>
    <w:rsid w:val="0010745B"/>
    <w:rsid w:val="00115996"/>
    <w:rsid w:val="00117DEA"/>
    <w:rsid w:val="001229EA"/>
    <w:rsid w:val="00122FEC"/>
    <w:rsid w:val="0012359C"/>
    <w:rsid w:val="00125352"/>
    <w:rsid w:val="00132A50"/>
    <w:rsid w:val="00136BFC"/>
    <w:rsid w:val="001419DA"/>
    <w:rsid w:val="001514CB"/>
    <w:rsid w:val="0015456E"/>
    <w:rsid w:val="001603D2"/>
    <w:rsid w:val="001640ED"/>
    <w:rsid w:val="00172B5E"/>
    <w:rsid w:val="001730EC"/>
    <w:rsid w:val="00173614"/>
    <w:rsid w:val="00181B65"/>
    <w:rsid w:val="001851E5"/>
    <w:rsid w:val="00187EFE"/>
    <w:rsid w:val="001972AF"/>
    <w:rsid w:val="001A04DF"/>
    <w:rsid w:val="001A1E85"/>
    <w:rsid w:val="001B08D2"/>
    <w:rsid w:val="001B44AA"/>
    <w:rsid w:val="001B6536"/>
    <w:rsid w:val="001C2BE0"/>
    <w:rsid w:val="001C3314"/>
    <w:rsid w:val="001D1F2B"/>
    <w:rsid w:val="001D2B78"/>
    <w:rsid w:val="001D5B46"/>
    <w:rsid w:val="001E3DF3"/>
    <w:rsid w:val="001E417D"/>
    <w:rsid w:val="001E5A6B"/>
    <w:rsid w:val="001F086C"/>
    <w:rsid w:val="001F3F9D"/>
    <w:rsid w:val="001F4CB4"/>
    <w:rsid w:val="002047E5"/>
    <w:rsid w:val="002050DF"/>
    <w:rsid w:val="00206B7D"/>
    <w:rsid w:val="00210B3A"/>
    <w:rsid w:val="00241960"/>
    <w:rsid w:val="0025352C"/>
    <w:rsid w:val="0026162D"/>
    <w:rsid w:val="002617CB"/>
    <w:rsid w:val="00263EA1"/>
    <w:rsid w:val="00270FFF"/>
    <w:rsid w:val="00271B46"/>
    <w:rsid w:val="002726DF"/>
    <w:rsid w:val="00275C7C"/>
    <w:rsid w:val="00277C50"/>
    <w:rsid w:val="002807A4"/>
    <w:rsid w:val="00285541"/>
    <w:rsid w:val="00285759"/>
    <w:rsid w:val="00294A38"/>
    <w:rsid w:val="00295A37"/>
    <w:rsid w:val="00296588"/>
    <w:rsid w:val="00297B7C"/>
    <w:rsid w:val="002A097A"/>
    <w:rsid w:val="002B5461"/>
    <w:rsid w:val="002B6F44"/>
    <w:rsid w:val="002C4063"/>
    <w:rsid w:val="002C4159"/>
    <w:rsid w:val="002C462F"/>
    <w:rsid w:val="002D2786"/>
    <w:rsid w:val="002D4291"/>
    <w:rsid w:val="002D5E65"/>
    <w:rsid w:val="002E178F"/>
    <w:rsid w:val="002E3EFE"/>
    <w:rsid w:val="002E72A4"/>
    <w:rsid w:val="002F10B6"/>
    <w:rsid w:val="002F1489"/>
    <w:rsid w:val="002F4086"/>
    <w:rsid w:val="00300227"/>
    <w:rsid w:val="003030A9"/>
    <w:rsid w:val="00311038"/>
    <w:rsid w:val="0032104D"/>
    <w:rsid w:val="00325742"/>
    <w:rsid w:val="00326CFB"/>
    <w:rsid w:val="00331BB4"/>
    <w:rsid w:val="003322C2"/>
    <w:rsid w:val="003418A7"/>
    <w:rsid w:val="003446D9"/>
    <w:rsid w:val="00345947"/>
    <w:rsid w:val="00345FBA"/>
    <w:rsid w:val="0034697D"/>
    <w:rsid w:val="00352BEA"/>
    <w:rsid w:val="00357B7B"/>
    <w:rsid w:val="00364643"/>
    <w:rsid w:val="003718DC"/>
    <w:rsid w:val="003752B6"/>
    <w:rsid w:val="0037591C"/>
    <w:rsid w:val="003827A3"/>
    <w:rsid w:val="00383095"/>
    <w:rsid w:val="00387590"/>
    <w:rsid w:val="0039251D"/>
    <w:rsid w:val="003A0A38"/>
    <w:rsid w:val="003A43B6"/>
    <w:rsid w:val="003B228A"/>
    <w:rsid w:val="003B3976"/>
    <w:rsid w:val="003B3BDD"/>
    <w:rsid w:val="003C07B9"/>
    <w:rsid w:val="003C2DA0"/>
    <w:rsid w:val="003C45D0"/>
    <w:rsid w:val="003E2B98"/>
    <w:rsid w:val="003E3B7C"/>
    <w:rsid w:val="003F0349"/>
    <w:rsid w:val="00400549"/>
    <w:rsid w:val="00401600"/>
    <w:rsid w:val="004119AB"/>
    <w:rsid w:val="00416C5E"/>
    <w:rsid w:val="00416D63"/>
    <w:rsid w:val="004215C6"/>
    <w:rsid w:val="0042630C"/>
    <w:rsid w:val="00426D5D"/>
    <w:rsid w:val="0042750A"/>
    <w:rsid w:val="004310E2"/>
    <w:rsid w:val="00432A86"/>
    <w:rsid w:val="00441862"/>
    <w:rsid w:val="00443EAD"/>
    <w:rsid w:val="00447DA9"/>
    <w:rsid w:val="00453D43"/>
    <w:rsid w:val="00453E45"/>
    <w:rsid w:val="00456D72"/>
    <w:rsid w:val="0046122F"/>
    <w:rsid w:val="004615E7"/>
    <w:rsid w:val="00462C57"/>
    <w:rsid w:val="00470BC3"/>
    <w:rsid w:val="00474631"/>
    <w:rsid w:val="0048144F"/>
    <w:rsid w:val="004842D0"/>
    <w:rsid w:val="00494CFA"/>
    <w:rsid w:val="004B2A85"/>
    <w:rsid w:val="004B4CC9"/>
    <w:rsid w:val="004B56B5"/>
    <w:rsid w:val="004C28D4"/>
    <w:rsid w:val="004C50C8"/>
    <w:rsid w:val="004D7D43"/>
    <w:rsid w:val="004E5AD5"/>
    <w:rsid w:val="004F043F"/>
    <w:rsid w:val="004F1572"/>
    <w:rsid w:val="004F2AB4"/>
    <w:rsid w:val="004F4D57"/>
    <w:rsid w:val="004F5106"/>
    <w:rsid w:val="004F5AF3"/>
    <w:rsid w:val="004F6862"/>
    <w:rsid w:val="004F7ACA"/>
    <w:rsid w:val="005004F4"/>
    <w:rsid w:val="00503B58"/>
    <w:rsid w:val="00505E81"/>
    <w:rsid w:val="00506CA7"/>
    <w:rsid w:val="00510274"/>
    <w:rsid w:val="005148F4"/>
    <w:rsid w:val="00515F13"/>
    <w:rsid w:val="0052247E"/>
    <w:rsid w:val="00533E52"/>
    <w:rsid w:val="00540A41"/>
    <w:rsid w:val="00544424"/>
    <w:rsid w:val="00560E1F"/>
    <w:rsid w:val="0056111B"/>
    <w:rsid w:val="00561254"/>
    <w:rsid w:val="005628A6"/>
    <w:rsid w:val="005706CC"/>
    <w:rsid w:val="00574AF7"/>
    <w:rsid w:val="005777D0"/>
    <w:rsid w:val="00581940"/>
    <w:rsid w:val="00594827"/>
    <w:rsid w:val="00596471"/>
    <w:rsid w:val="005A3227"/>
    <w:rsid w:val="005A51BF"/>
    <w:rsid w:val="005A5673"/>
    <w:rsid w:val="005B0CDE"/>
    <w:rsid w:val="005C0EDA"/>
    <w:rsid w:val="005C56F9"/>
    <w:rsid w:val="005C6F67"/>
    <w:rsid w:val="005D51AF"/>
    <w:rsid w:val="005D6991"/>
    <w:rsid w:val="005E512B"/>
    <w:rsid w:val="005E55ED"/>
    <w:rsid w:val="005F4F56"/>
    <w:rsid w:val="00601617"/>
    <w:rsid w:val="00603C04"/>
    <w:rsid w:val="006047AC"/>
    <w:rsid w:val="0060513B"/>
    <w:rsid w:val="006141EA"/>
    <w:rsid w:val="00614587"/>
    <w:rsid w:val="006159A8"/>
    <w:rsid w:val="00615E05"/>
    <w:rsid w:val="00615F02"/>
    <w:rsid w:val="006164B0"/>
    <w:rsid w:val="00630B5A"/>
    <w:rsid w:val="00630F31"/>
    <w:rsid w:val="006354A5"/>
    <w:rsid w:val="006419F1"/>
    <w:rsid w:val="006520F1"/>
    <w:rsid w:val="00662D7F"/>
    <w:rsid w:val="00663C7B"/>
    <w:rsid w:val="00667F53"/>
    <w:rsid w:val="006701E9"/>
    <w:rsid w:val="0067261A"/>
    <w:rsid w:val="00675119"/>
    <w:rsid w:val="0067666F"/>
    <w:rsid w:val="00680CB4"/>
    <w:rsid w:val="00681E1B"/>
    <w:rsid w:val="00685D51"/>
    <w:rsid w:val="00686D90"/>
    <w:rsid w:val="00687209"/>
    <w:rsid w:val="006951A1"/>
    <w:rsid w:val="00697FAA"/>
    <w:rsid w:val="006A0B5A"/>
    <w:rsid w:val="006A4507"/>
    <w:rsid w:val="006A5E7D"/>
    <w:rsid w:val="006B2826"/>
    <w:rsid w:val="006B6F14"/>
    <w:rsid w:val="006C3727"/>
    <w:rsid w:val="006C5A52"/>
    <w:rsid w:val="006C7769"/>
    <w:rsid w:val="006D11F2"/>
    <w:rsid w:val="006D1451"/>
    <w:rsid w:val="006D1D21"/>
    <w:rsid w:val="006E221C"/>
    <w:rsid w:val="006E4396"/>
    <w:rsid w:val="006E5D8B"/>
    <w:rsid w:val="006E6169"/>
    <w:rsid w:val="006F0190"/>
    <w:rsid w:val="006F51F0"/>
    <w:rsid w:val="006F55AC"/>
    <w:rsid w:val="00700820"/>
    <w:rsid w:val="00701DA7"/>
    <w:rsid w:val="00703C79"/>
    <w:rsid w:val="00703F9F"/>
    <w:rsid w:val="00705DA9"/>
    <w:rsid w:val="00707865"/>
    <w:rsid w:val="00716597"/>
    <w:rsid w:val="00722C9A"/>
    <w:rsid w:val="00723EEC"/>
    <w:rsid w:val="00730364"/>
    <w:rsid w:val="0073055A"/>
    <w:rsid w:val="007305AE"/>
    <w:rsid w:val="0073133C"/>
    <w:rsid w:val="007371F0"/>
    <w:rsid w:val="00737CDE"/>
    <w:rsid w:val="00741237"/>
    <w:rsid w:val="00746C55"/>
    <w:rsid w:val="0075334F"/>
    <w:rsid w:val="007572F9"/>
    <w:rsid w:val="00757A56"/>
    <w:rsid w:val="0076451A"/>
    <w:rsid w:val="0077139F"/>
    <w:rsid w:val="00776239"/>
    <w:rsid w:val="007770C3"/>
    <w:rsid w:val="00782CE0"/>
    <w:rsid w:val="007841D4"/>
    <w:rsid w:val="00786C53"/>
    <w:rsid w:val="0079050B"/>
    <w:rsid w:val="007910D8"/>
    <w:rsid w:val="007938F8"/>
    <w:rsid w:val="007A41E6"/>
    <w:rsid w:val="007B15F3"/>
    <w:rsid w:val="007B3DB4"/>
    <w:rsid w:val="007C06FB"/>
    <w:rsid w:val="007C6920"/>
    <w:rsid w:val="007D7380"/>
    <w:rsid w:val="007E241C"/>
    <w:rsid w:val="007E2C38"/>
    <w:rsid w:val="007E3AC8"/>
    <w:rsid w:val="007E7505"/>
    <w:rsid w:val="007F0637"/>
    <w:rsid w:val="007F65E1"/>
    <w:rsid w:val="008018C1"/>
    <w:rsid w:val="00804E88"/>
    <w:rsid w:val="0080722C"/>
    <w:rsid w:val="0081005C"/>
    <w:rsid w:val="00811B09"/>
    <w:rsid w:val="008127CF"/>
    <w:rsid w:val="00812B9D"/>
    <w:rsid w:val="00846CE7"/>
    <w:rsid w:val="00846E0F"/>
    <w:rsid w:val="0086135D"/>
    <w:rsid w:val="00862BD1"/>
    <w:rsid w:val="00864F85"/>
    <w:rsid w:val="008738AE"/>
    <w:rsid w:val="00874E0B"/>
    <w:rsid w:val="0088497A"/>
    <w:rsid w:val="00890468"/>
    <w:rsid w:val="00892BFB"/>
    <w:rsid w:val="0089319C"/>
    <w:rsid w:val="00895162"/>
    <w:rsid w:val="00895947"/>
    <w:rsid w:val="008A0DBF"/>
    <w:rsid w:val="008A4C62"/>
    <w:rsid w:val="008B3904"/>
    <w:rsid w:val="008B48F8"/>
    <w:rsid w:val="008B7CD3"/>
    <w:rsid w:val="008C1B29"/>
    <w:rsid w:val="008D5FF7"/>
    <w:rsid w:val="008E61EA"/>
    <w:rsid w:val="008F3FC1"/>
    <w:rsid w:val="00900243"/>
    <w:rsid w:val="00900803"/>
    <w:rsid w:val="009030EA"/>
    <w:rsid w:val="00917CFA"/>
    <w:rsid w:val="00926515"/>
    <w:rsid w:val="0093201C"/>
    <w:rsid w:val="0093409B"/>
    <w:rsid w:val="00936253"/>
    <w:rsid w:val="009411BD"/>
    <w:rsid w:val="00942D38"/>
    <w:rsid w:val="00943900"/>
    <w:rsid w:val="00952BBE"/>
    <w:rsid w:val="009640FF"/>
    <w:rsid w:val="0097405D"/>
    <w:rsid w:val="00974AF2"/>
    <w:rsid w:val="00976281"/>
    <w:rsid w:val="00982E43"/>
    <w:rsid w:val="00983281"/>
    <w:rsid w:val="00984330"/>
    <w:rsid w:val="00984B6E"/>
    <w:rsid w:val="00986006"/>
    <w:rsid w:val="00987AA4"/>
    <w:rsid w:val="00994A67"/>
    <w:rsid w:val="009A1E31"/>
    <w:rsid w:val="009A75D1"/>
    <w:rsid w:val="009A77FD"/>
    <w:rsid w:val="009B02BD"/>
    <w:rsid w:val="009B119E"/>
    <w:rsid w:val="009B2A45"/>
    <w:rsid w:val="009B6DCF"/>
    <w:rsid w:val="009C32FE"/>
    <w:rsid w:val="009D136C"/>
    <w:rsid w:val="009D1B90"/>
    <w:rsid w:val="009D5472"/>
    <w:rsid w:val="009D6D01"/>
    <w:rsid w:val="009E20E4"/>
    <w:rsid w:val="009E2765"/>
    <w:rsid w:val="009F341B"/>
    <w:rsid w:val="009F34C6"/>
    <w:rsid w:val="009F4D8A"/>
    <w:rsid w:val="00A1072F"/>
    <w:rsid w:val="00A1137E"/>
    <w:rsid w:val="00A11A5C"/>
    <w:rsid w:val="00A1298E"/>
    <w:rsid w:val="00A12B78"/>
    <w:rsid w:val="00A24C03"/>
    <w:rsid w:val="00A2504C"/>
    <w:rsid w:val="00A32012"/>
    <w:rsid w:val="00A411A5"/>
    <w:rsid w:val="00A43236"/>
    <w:rsid w:val="00A44E12"/>
    <w:rsid w:val="00A46291"/>
    <w:rsid w:val="00A46297"/>
    <w:rsid w:val="00A4635F"/>
    <w:rsid w:val="00A46CE9"/>
    <w:rsid w:val="00A53C60"/>
    <w:rsid w:val="00A631D5"/>
    <w:rsid w:val="00A638BC"/>
    <w:rsid w:val="00A75FC9"/>
    <w:rsid w:val="00A82173"/>
    <w:rsid w:val="00A85AA3"/>
    <w:rsid w:val="00A86CB8"/>
    <w:rsid w:val="00A9663B"/>
    <w:rsid w:val="00A97FDE"/>
    <w:rsid w:val="00AA2FCE"/>
    <w:rsid w:val="00AA744A"/>
    <w:rsid w:val="00AB03E1"/>
    <w:rsid w:val="00AB105E"/>
    <w:rsid w:val="00AB301F"/>
    <w:rsid w:val="00AB57E9"/>
    <w:rsid w:val="00AC4DA3"/>
    <w:rsid w:val="00AC6648"/>
    <w:rsid w:val="00AD53BA"/>
    <w:rsid w:val="00AD5589"/>
    <w:rsid w:val="00AE221C"/>
    <w:rsid w:val="00AE39B0"/>
    <w:rsid w:val="00AE6BB4"/>
    <w:rsid w:val="00AF2EFB"/>
    <w:rsid w:val="00AF4EE0"/>
    <w:rsid w:val="00AF5D50"/>
    <w:rsid w:val="00AF63F1"/>
    <w:rsid w:val="00AF6D28"/>
    <w:rsid w:val="00AF6D2A"/>
    <w:rsid w:val="00AF7135"/>
    <w:rsid w:val="00B00AD7"/>
    <w:rsid w:val="00B00F86"/>
    <w:rsid w:val="00B02F97"/>
    <w:rsid w:val="00B05EE7"/>
    <w:rsid w:val="00B15781"/>
    <w:rsid w:val="00B259C5"/>
    <w:rsid w:val="00B35F18"/>
    <w:rsid w:val="00B3794A"/>
    <w:rsid w:val="00B43047"/>
    <w:rsid w:val="00B47A96"/>
    <w:rsid w:val="00B50D51"/>
    <w:rsid w:val="00B52222"/>
    <w:rsid w:val="00B574A9"/>
    <w:rsid w:val="00B73356"/>
    <w:rsid w:val="00B7396B"/>
    <w:rsid w:val="00B73F90"/>
    <w:rsid w:val="00B7413A"/>
    <w:rsid w:val="00B741D9"/>
    <w:rsid w:val="00B82E96"/>
    <w:rsid w:val="00B84220"/>
    <w:rsid w:val="00B90D7A"/>
    <w:rsid w:val="00B90D8A"/>
    <w:rsid w:val="00B91E15"/>
    <w:rsid w:val="00B92CEF"/>
    <w:rsid w:val="00B93692"/>
    <w:rsid w:val="00B95070"/>
    <w:rsid w:val="00B97EC5"/>
    <w:rsid w:val="00BA115E"/>
    <w:rsid w:val="00BA2396"/>
    <w:rsid w:val="00BA2B60"/>
    <w:rsid w:val="00BA7C1F"/>
    <w:rsid w:val="00BB3B80"/>
    <w:rsid w:val="00BB5DA8"/>
    <w:rsid w:val="00BC0035"/>
    <w:rsid w:val="00BC125E"/>
    <w:rsid w:val="00BC27BF"/>
    <w:rsid w:val="00BC7F66"/>
    <w:rsid w:val="00BD23F0"/>
    <w:rsid w:val="00BD3DA0"/>
    <w:rsid w:val="00BE1049"/>
    <w:rsid w:val="00BF0B07"/>
    <w:rsid w:val="00BF0BBE"/>
    <w:rsid w:val="00BF0DBD"/>
    <w:rsid w:val="00BF16ED"/>
    <w:rsid w:val="00BF4268"/>
    <w:rsid w:val="00BF473D"/>
    <w:rsid w:val="00BF6F01"/>
    <w:rsid w:val="00BF7DE0"/>
    <w:rsid w:val="00C10447"/>
    <w:rsid w:val="00C210F2"/>
    <w:rsid w:val="00C375D4"/>
    <w:rsid w:val="00C3767C"/>
    <w:rsid w:val="00C5702F"/>
    <w:rsid w:val="00C81428"/>
    <w:rsid w:val="00C86625"/>
    <w:rsid w:val="00C87F94"/>
    <w:rsid w:val="00C92354"/>
    <w:rsid w:val="00CA03B1"/>
    <w:rsid w:val="00CA32E5"/>
    <w:rsid w:val="00CA43E6"/>
    <w:rsid w:val="00CA5811"/>
    <w:rsid w:val="00CA785E"/>
    <w:rsid w:val="00CB0BF3"/>
    <w:rsid w:val="00CB249B"/>
    <w:rsid w:val="00CC3E3B"/>
    <w:rsid w:val="00CC65FD"/>
    <w:rsid w:val="00CD11A0"/>
    <w:rsid w:val="00CD2B2C"/>
    <w:rsid w:val="00CD52F1"/>
    <w:rsid w:val="00CE1FF0"/>
    <w:rsid w:val="00CF0534"/>
    <w:rsid w:val="00CF3CD6"/>
    <w:rsid w:val="00CF7519"/>
    <w:rsid w:val="00D07AE6"/>
    <w:rsid w:val="00D11DFC"/>
    <w:rsid w:val="00D14941"/>
    <w:rsid w:val="00D14DB2"/>
    <w:rsid w:val="00D15DD9"/>
    <w:rsid w:val="00D16323"/>
    <w:rsid w:val="00D17098"/>
    <w:rsid w:val="00D212EC"/>
    <w:rsid w:val="00D223EF"/>
    <w:rsid w:val="00D2746F"/>
    <w:rsid w:val="00D30197"/>
    <w:rsid w:val="00D30FCF"/>
    <w:rsid w:val="00D3520F"/>
    <w:rsid w:val="00D360B0"/>
    <w:rsid w:val="00D422CE"/>
    <w:rsid w:val="00D423CA"/>
    <w:rsid w:val="00D55126"/>
    <w:rsid w:val="00D6733D"/>
    <w:rsid w:val="00D705A6"/>
    <w:rsid w:val="00D71D44"/>
    <w:rsid w:val="00D75E9A"/>
    <w:rsid w:val="00D764C0"/>
    <w:rsid w:val="00D80F05"/>
    <w:rsid w:val="00D83FFA"/>
    <w:rsid w:val="00D8494B"/>
    <w:rsid w:val="00D8573E"/>
    <w:rsid w:val="00D90208"/>
    <w:rsid w:val="00D905EF"/>
    <w:rsid w:val="00D90832"/>
    <w:rsid w:val="00D91876"/>
    <w:rsid w:val="00D975BB"/>
    <w:rsid w:val="00DA2C15"/>
    <w:rsid w:val="00DA5535"/>
    <w:rsid w:val="00DB0F66"/>
    <w:rsid w:val="00DB1067"/>
    <w:rsid w:val="00DB16BC"/>
    <w:rsid w:val="00DB52F3"/>
    <w:rsid w:val="00DC16EA"/>
    <w:rsid w:val="00DC2782"/>
    <w:rsid w:val="00DC2B00"/>
    <w:rsid w:val="00DC324F"/>
    <w:rsid w:val="00DD16AF"/>
    <w:rsid w:val="00DD54C0"/>
    <w:rsid w:val="00DE3FBF"/>
    <w:rsid w:val="00E01FAA"/>
    <w:rsid w:val="00E10558"/>
    <w:rsid w:val="00E2022A"/>
    <w:rsid w:val="00E22028"/>
    <w:rsid w:val="00E36D2C"/>
    <w:rsid w:val="00E37C6F"/>
    <w:rsid w:val="00E46877"/>
    <w:rsid w:val="00E54C92"/>
    <w:rsid w:val="00E561A4"/>
    <w:rsid w:val="00E62B66"/>
    <w:rsid w:val="00E658C0"/>
    <w:rsid w:val="00E66EDC"/>
    <w:rsid w:val="00E67395"/>
    <w:rsid w:val="00E7761F"/>
    <w:rsid w:val="00E84231"/>
    <w:rsid w:val="00E85A7D"/>
    <w:rsid w:val="00E96517"/>
    <w:rsid w:val="00EA0B86"/>
    <w:rsid w:val="00EA4DFF"/>
    <w:rsid w:val="00EA723A"/>
    <w:rsid w:val="00EB303A"/>
    <w:rsid w:val="00EB4FF6"/>
    <w:rsid w:val="00EB7093"/>
    <w:rsid w:val="00EC2A3C"/>
    <w:rsid w:val="00ED031F"/>
    <w:rsid w:val="00ED064F"/>
    <w:rsid w:val="00EE1C39"/>
    <w:rsid w:val="00EE2207"/>
    <w:rsid w:val="00EE2A00"/>
    <w:rsid w:val="00EE4D01"/>
    <w:rsid w:val="00EF6ED9"/>
    <w:rsid w:val="00F0313F"/>
    <w:rsid w:val="00F04B09"/>
    <w:rsid w:val="00F04E1B"/>
    <w:rsid w:val="00F0539B"/>
    <w:rsid w:val="00F1419D"/>
    <w:rsid w:val="00F14352"/>
    <w:rsid w:val="00F156C1"/>
    <w:rsid w:val="00F215C0"/>
    <w:rsid w:val="00F221AF"/>
    <w:rsid w:val="00F3370D"/>
    <w:rsid w:val="00F33884"/>
    <w:rsid w:val="00F33EC1"/>
    <w:rsid w:val="00F3751C"/>
    <w:rsid w:val="00F375E2"/>
    <w:rsid w:val="00F43E16"/>
    <w:rsid w:val="00F456CB"/>
    <w:rsid w:val="00F5385A"/>
    <w:rsid w:val="00F55A51"/>
    <w:rsid w:val="00F57423"/>
    <w:rsid w:val="00F62670"/>
    <w:rsid w:val="00F62AB2"/>
    <w:rsid w:val="00F6389A"/>
    <w:rsid w:val="00F650E4"/>
    <w:rsid w:val="00F65567"/>
    <w:rsid w:val="00F706F7"/>
    <w:rsid w:val="00F718FC"/>
    <w:rsid w:val="00F71DAD"/>
    <w:rsid w:val="00F7342B"/>
    <w:rsid w:val="00F75310"/>
    <w:rsid w:val="00F75814"/>
    <w:rsid w:val="00F85718"/>
    <w:rsid w:val="00F9403B"/>
    <w:rsid w:val="00F94E86"/>
    <w:rsid w:val="00F97F1B"/>
    <w:rsid w:val="00FA436B"/>
    <w:rsid w:val="00FA4BB2"/>
    <w:rsid w:val="00FB2130"/>
    <w:rsid w:val="00FB288B"/>
    <w:rsid w:val="00FC73C7"/>
    <w:rsid w:val="00FD1546"/>
    <w:rsid w:val="00FD167C"/>
    <w:rsid w:val="00FF0101"/>
    <w:rsid w:val="00FF0994"/>
    <w:rsid w:val="00FF69E4"/>
    <w:rsid w:val="00FF7BAB"/>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1AD607-F0D9-4B70-95B2-4D663AB64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51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A5E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5E7D"/>
    <w:rPr>
      <w:sz w:val="20"/>
      <w:szCs w:val="20"/>
    </w:rPr>
  </w:style>
  <w:style w:type="character" w:styleId="FootnoteReference">
    <w:name w:val="footnote reference"/>
    <w:basedOn w:val="DefaultParagraphFont"/>
    <w:uiPriority w:val="99"/>
    <w:semiHidden/>
    <w:unhideWhenUsed/>
    <w:rsid w:val="006A5E7D"/>
    <w:rPr>
      <w:vertAlign w:val="superscript"/>
    </w:rPr>
  </w:style>
  <w:style w:type="character" w:styleId="CommentReference">
    <w:name w:val="annotation reference"/>
    <w:basedOn w:val="DefaultParagraphFont"/>
    <w:uiPriority w:val="99"/>
    <w:semiHidden/>
    <w:unhideWhenUsed/>
    <w:rsid w:val="006A0B5A"/>
    <w:rPr>
      <w:sz w:val="16"/>
      <w:szCs w:val="16"/>
    </w:rPr>
  </w:style>
  <w:style w:type="paragraph" w:styleId="CommentText">
    <w:name w:val="annotation text"/>
    <w:basedOn w:val="Normal"/>
    <w:link w:val="CommentTextChar"/>
    <w:uiPriority w:val="99"/>
    <w:semiHidden/>
    <w:unhideWhenUsed/>
    <w:rsid w:val="006A0B5A"/>
    <w:pPr>
      <w:spacing w:line="240" w:lineRule="auto"/>
    </w:pPr>
    <w:rPr>
      <w:sz w:val="20"/>
      <w:szCs w:val="20"/>
    </w:rPr>
  </w:style>
  <w:style w:type="character" w:customStyle="1" w:styleId="CommentTextChar">
    <w:name w:val="Comment Text Char"/>
    <w:basedOn w:val="DefaultParagraphFont"/>
    <w:link w:val="CommentText"/>
    <w:uiPriority w:val="99"/>
    <w:semiHidden/>
    <w:rsid w:val="006A0B5A"/>
    <w:rPr>
      <w:sz w:val="20"/>
      <w:szCs w:val="20"/>
    </w:rPr>
  </w:style>
  <w:style w:type="paragraph" w:styleId="CommentSubject">
    <w:name w:val="annotation subject"/>
    <w:basedOn w:val="CommentText"/>
    <w:next w:val="CommentText"/>
    <w:link w:val="CommentSubjectChar"/>
    <w:uiPriority w:val="99"/>
    <w:semiHidden/>
    <w:unhideWhenUsed/>
    <w:rsid w:val="006A0B5A"/>
    <w:rPr>
      <w:b/>
      <w:bCs/>
    </w:rPr>
  </w:style>
  <w:style w:type="character" w:customStyle="1" w:styleId="CommentSubjectChar">
    <w:name w:val="Comment Subject Char"/>
    <w:basedOn w:val="CommentTextChar"/>
    <w:link w:val="CommentSubject"/>
    <w:uiPriority w:val="99"/>
    <w:semiHidden/>
    <w:rsid w:val="006A0B5A"/>
    <w:rPr>
      <w:b/>
      <w:bCs/>
      <w:sz w:val="20"/>
      <w:szCs w:val="20"/>
    </w:rPr>
  </w:style>
  <w:style w:type="paragraph" w:styleId="BalloonText">
    <w:name w:val="Balloon Text"/>
    <w:basedOn w:val="Normal"/>
    <w:link w:val="BalloonTextChar"/>
    <w:uiPriority w:val="99"/>
    <w:semiHidden/>
    <w:unhideWhenUsed/>
    <w:rsid w:val="006A0B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B5A"/>
    <w:rPr>
      <w:rFonts w:ascii="Tahoma" w:hAnsi="Tahoma" w:cs="Tahoma"/>
      <w:sz w:val="16"/>
      <w:szCs w:val="16"/>
    </w:rPr>
  </w:style>
  <w:style w:type="paragraph" w:styleId="Header">
    <w:name w:val="header"/>
    <w:basedOn w:val="Normal"/>
    <w:link w:val="HeaderChar"/>
    <w:uiPriority w:val="99"/>
    <w:unhideWhenUsed/>
    <w:rsid w:val="00F97F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F1B"/>
  </w:style>
  <w:style w:type="paragraph" w:styleId="Footer">
    <w:name w:val="footer"/>
    <w:basedOn w:val="Normal"/>
    <w:link w:val="FooterChar"/>
    <w:uiPriority w:val="99"/>
    <w:unhideWhenUsed/>
    <w:rsid w:val="00F97F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F1B"/>
  </w:style>
  <w:style w:type="character" w:customStyle="1" w:styleId="tgc">
    <w:name w:val="_tgc"/>
    <w:basedOn w:val="DefaultParagraphFont"/>
    <w:rsid w:val="00F97F1B"/>
  </w:style>
  <w:style w:type="character" w:styleId="Hyperlink">
    <w:name w:val="Hyperlink"/>
    <w:basedOn w:val="DefaultParagraphFont"/>
    <w:uiPriority w:val="99"/>
    <w:semiHidden/>
    <w:unhideWhenUsed/>
    <w:rsid w:val="00D8573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737642">
      <w:bodyDiv w:val="1"/>
      <w:marLeft w:val="0"/>
      <w:marRight w:val="0"/>
      <w:marTop w:val="0"/>
      <w:marBottom w:val="0"/>
      <w:divBdr>
        <w:top w:val="none" w:sz="0" w:space="0" w:color="auto"/>
        <w:left w:val="none" w:sz="0" w:space="0" w:color="auto"/>
        <w:bottom w:val="none" w:sz="0" w:space="0" w:color="auto"/>
        <w:right w:val="none" w:sz="0" w:space="0" w:color="auto"/>
      </w:divBdr>
    </w:div>
    <w:div w:id="1242835463">
      <w:bodyDiv w:val="1"/>
      <w:marLeft w:val="0"/>
      <w:marRight w:val="0"/>
      <w:marTop w:val="0"/>
      <w:marBottom w:val="0"/>
      <w:divBdr>
        <w:top w:val="none" w:sz="0" w:space="0" w:color="auto"/>
        <w:left w:val="none" w:sz="0" w:space="0" w:color="auto"/>
        <w:bottom w:val="none" w:sz="0" w:space="0" w:color="auto"/>
        <w:right w:val="none" w:sz="0" w:space="0" w:color="auto"/>
      </w:divBdr>
    </w:div>
    <w:div w:id="1324353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27218-0A5C-44E9-A4AE-36486A668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3877</Words>
  <Characters>22105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Jones</dc:creator>
  <cp:lastModifiedBy>User</cp:lastModifiedBy>
  <cp:revision>3</cp:revision>
  <dcterms:created xsi:type="dcterms:W3CDTF">2018-01-12T18:56:00Z</dcterms:created>
  <dcterms:modified xsi:type="dcterms:W3CDTF">2018-01-12T19:02:00Z</dcterms:modified>
</cp:coreProperties>
</file>