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7887" w:rsidRPr="00007887" w:rsidRDefault="00007887" w:rsidP="00007887">
      <w:pPr>
        <w:spacing w:after="0" w:line="320" w:lineRule="atLeast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Investment Appraisal of Projects A, B, and C</w:t>
      </w:r>
    </w:p>
    <w:p w:rsidR="00007887" w:rsidRPr="00007887" w:rsidRDefault="00007887" w:rsidP="00007887">
      <w:pPr>
        <w:spacing w:after="0" w:line="320" w:lineRule="atLeast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>The analysis evaluates three distinct investment projects (A, B, and C) using several financial metrics, with a particular focus on their performance under a capital rationing scenario where each project has an initial investment cost of £50 million.</w:t>
      </w:r>
    </w:p>
    <w:p w:rsidR="00007887" w:rsidRPr="00007887" w:rsidRDefault="00007887" w:rsidP="00007887">
      <w:pPr>
        <w:spacing w:after="0" w:line="320" w:lineRule="atLeast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Individual Project Metrics:</w:t>
      </w:r>
    </w:p>
    <w:p w:rsidR="00007887" w:rsidRPr="00007887" w:rsidRDefault="00007887" w:rsidP="00007887">
      <w:pPr>
        <w:numPr>
          <w:ilvl w:val="0"/>
          <w:numId w:val="1"/>
        </w:numPr>
        <w:spacing w:after="0" w:line="320" w:lineRule="atLeast"/>
        <w:ind w:left="0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Payback Period (PBP):</w:t>
      </w: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 xml:space="preserve"> Project C offers the quickest return on investment at 3.6 years, followed closely by Projects A and B at 4.5 and 4.55 years, respectively. A shorter PBP is generally preferred as it indicates lower risk.</w:t>
      </w:r>
    </w:p>
    <w:p w:rsidR="00007887" w:rsidRPr="00007887" w:rsidRDefault="00007887" w:rsidP="00007887">
      <w:pPr>
        <w:numPr>
          <w:ilvl w:val="0"/>
          <w:numId w:val="1"/>
        </w:numPr>
        <w:spacing w:after="0" w:line="320" w:lineRule="atLeast"/>
        <w:ind w:left="0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Accounting Rate of Return (ARR):</w:t>
      </w: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 xml:space="preserve"> Project C demonstrates the highest ARR at 12.00%, signifying the best accounting profit. Projects B and A follow with 4.00% and 3.20%, respectively.</w:t>
      </w:r>
    </w:p>
    <w:p w:rsidR="00007887" w:rsidRPr="00007887" w:rsidRDefault="00007887" w:rsidP="00007887">
      <w:pPr>
        <w:numPr>
          <w:ilvl w:val="0"/>
          <w:numId w:val="1"/>
        </w:numPr>
        <w:spacing w:after="0" w:line="320" w:lineRule="atLeast"/>
        <w:ind w:left="0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Net Present Value (NPV):</w:t>
      </w: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 xml:space="preserve"> This is a critical metric for value creation. Only Project C yields a positive NPV of £0.86 million. Projects A and B both have negative NPVs (-£6.55m and -£6.08m, respectively), indicating they are expected to destroy shareholder value.</w:t>
      </w:r>
    </w:p>
    <w:p w:rsidR="00007887" w:rsidRPr="00007887" w:rsidRDefault="00007887" w:rsidP="00007887">
      <w:pPr>
        <w:numPr>
          <w:ilvl w:val="0"/>
          <w:numId w:val="1"/>
        </w:numPr>
        <w:spacing w:after="0" w:line="320" w:lineRule="atLeast"/>
        <w:ind w:left="0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Profitability Index (PI):</w:t>
      </w: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 xml:space="preserve"> The PI measures the value created per unit of investment. Project C's PI is 1.02, which is greater than 1, confirming its viability and value-adding potential. Projects A and B have PIs of 0.87 and 0.88, respectively, both below 1, suggesting they are not financially attractive.</w:t>
      </w:r>
    </w:p>
    <w:p w:rsidR="00007887" w:rsidRPr="00007887" w:rsidRDefault="00007887" w:rsidP="00007887">
      <w:pPr>
        <w:numPr>
          <w:ilvl w:val="0"/>
          <w:numId w:val="1"/>
        </w:numPr>
        <w:spacing w:after="0" w:line="320" w:lineRule="atLeast"/>
        <w:ind w:left="0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Internal Rate of Return (IRR):</w:t>
      </w: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 xml:space="preserve"> The IRR represents the project's effective rate of return. Project C's IRR is approximately 8.61%, which exceeds the 8% hurdle rate, making it an acceptable investment. Projects A and B have lower IRRs (~5.27% and ~6.00%), both falling short of the hurdle rate.</w:t>
      </w:r>
    </w:p>
    <w:p w:rsidR="00007887" w:rsidRPr="00007887" w:rsidRDefault="00007887" w:rsidP="00007887">
      <w:pPr>
        <w:spacing w:after="0" w:line="320" w:lineRule="atLeast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Capital Rationing and Project Combinations:</w:t>
      </w:r>
    </w:p>
    <w:p w:rsidR="00007887" w:rsidRPr="00007887" w:rsidRDefault="00007887" w:rsidP="00007887">
      <w:pPr>
        <w:spacing w:after="0" w:line="320" w:lineRule="atLeast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>In a capital rationing environment, where the total available funds are limited, the decision-making process becomes more complex. The analysis examines various combinations of projects, considering the total investment, total NPV, and total PI.</w:t>
      </w:r>
    </w:p>
    <w:p w:rsidR="00007887" w:rsidRPr="00007887" w:rsidRDefault="00007887" w:rsidP="00007887">
      <w:pPr>
        <w:numPr>
          <w:ilvl w:val="0"/>
          <w:numId w:val="2"/>
        </w:numPr>
        <w:spacing w:after="0" w:line="320" w:lineRule="atLeast"/>
        <w:ind w:left="0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Project C Only:</w:t>
      </w: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 xml:space="preserve"> This is identified as the </w:t>
      </w: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best option</w:t>
      </w: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>. It is the sole project that creates value (positive NPV of £0.86m) and has a PI greater than 1. The total investment is £50m.</w:t>
      </w:r>
    </w:p>
    <w:p w:rsidR="00007887" w:rsidRPr="00007887" w:rsidRDefault="00007887" w:rsidP="00007887">
      <w:pPr>
        <w:numPr>
          <w:ilvl w:val="0"/>
          <w:numId w:val="2"/>
        </w:numPr>
        <w:spacing w:after="0" w:line="320" w:lineRule="atLeast"/>
        <w:ind w:left="0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Project B + Project C:</w:t>
      </w: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 xml:space="preserve"> This combination requires a total investment of £100m. However, it results in a significant negative total NPV of -£5.22m and a combined PI less than 1, indicating that this combination destroys overall value.</w:t>
      </w:r>
    </w:p>
    <w:p w:rsidR="00007887" w:rsidRPr="00007887" w:rsidRDefault="00007887" w:rsidP="00007887">
      <w:pPr>
        <w:numPr>
          <w:ilvl w:val="0"/>
          <w:numId w:val="2"/>
        </w:numPr>
        <w:spacing w:after="0" w:line="320" w:lineRule="atLeast"/>
        <w:ind w:left="0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Project A + Project C:</w:t>
      </w: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 xml:space="preserve"> Similar to the combination with Project B, this pairing also requires £100m but leads to a negative total NPV of -£5.69m and a combined PI less than 1, signifying value destruction.</w:t>
      </w:r>
    </w:p>
    <w:p w:rsidR="00007887" w:rsidRPr="00007887" w:rsidRDefault="00007887" w:rsidP="00007887">
      <w:pPr>
        <w:numPr>
          <w:ilvl w:val="0"/>
          <w:numId w:val="2"/>
        </w:numPr>
        <w:spacing w:after="0" w:line="320" w:lineRule="atLeast"/>
        <w:ind w:left="0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Project A + Project B:</w:t>
      </w: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 xml:space="preserve"> This combination represents the </w:t>
      </w: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worst outcome</w:t>
      </w: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>. It requires £100m and yields the most negative total NPV (-£12.63m), along with a combined PI less than 1.</w:t>
      </w:r>
    </w:p>
    <w:p w:rsidR="00007887" w:rsidRPr="00007887" w:rsidRDefault="00007887" w:rsidP="00007887">
      <w:pPr>
        <w:spacing w:after="0" w:line="320" w:lineRule="atLeast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b/>
          <w:bCs/>
          <w:color w:val="000000"/>
          <w:sz w:val="21"/>
          <w:lang w:bidi="gu-IN"/>
        </w:rPr>
        <w:t>Overall Conclusion:</w:t>
      </w:r>
    </w:p>
    <w:p w:rsidR="00007887" w:rsidRPr="00007887" w:rsidRDefault="00007887" w:rsidP="00007887">
      <w:pPr>
        <w:spacing w:after="0" w:line="320" w:lineRule="atLeast"/>
        <w:rPr>
          <w:rFonts w:ascii="Segoe UI" w:eastAsia="Times New Roman" w:hAnsi="Segoe UI" w:cs="Segoe UI"/>
          <w:color w:val="000000"/>
          <w:sz w:val="21"/>
          <w:szCs w:val="21"/>
          <w:lang w:bidi="gu-IN"/>
        </w:rPr>
      </w:pPr>
      <w:r w:rsidRPr="00007887">
        <w:rPr>
          <w:rFonts w:ascii="Segoe UI" w:eastAsia="Times New Roman" w:hAnsi="Segoe UI" w:cs="Segoe UI"/>
          <w:color w:val="000000"/>
          <w:sz w:val="21"/>
          <w:szCs w:val="21"/>
          <w:lang w:bidi="gu-IN"/>
        </w:rPr>
        <w:t>Under the given conditions, particularly with capital rationing, Project C is the only financially sound investment. It is the only project that meets the criteria for value creation (positive NPV, PI &gt; 1, IRR &gt; hurdle rate). Any attempt to combine Project C with either Project A or Project B, or to invest in Projects A and B together, results in a destruction of overall value. Therefore, the recommended course of action is to invest solely in Project C.</w:t>
      </w:r>
    </w:p>
    <w:p w:rsidR="00BE7D16" w:rsidRDefault="00BE7D16"/>
    <w:sectPr w:rsidR="00BE7D16" w:rsidSect="00BE7D1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hruti">
    <w:panose1 w:val="020B0502040204020203"/>
    <w:charset w:val="00"/>
    <w:family w:val="swiss"/>
    <w:pitch w:val="variable"/>
    <w:sig w:usb0="0004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5473159"/>
    <w:multiLevelType w:val="multilevel"/>
    <w:tmpl w:val="35CAF0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5B0340D7"/>
    <w:multiLevelType w:val="multilevel"/>
    <w:tmpl w:val="76B455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007887"/>
    <w:rsid w:val="00007887"/>
    <w:rsid w:val="00BE7D1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E7D1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007887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8563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2305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8273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388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7031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8171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8942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68176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49415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353822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352915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248012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600642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04503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877824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112469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73453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057637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184452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655285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471</Words>
  <Characters>2689</Characters>
  <Application>Microsoft Office Word</Application>
  <DocSecurity>0</DocSecurity>
  <Lines>22</Lines>
  <Paragraphs>6</Paragraphs>
  <ScaleCrop>false</ScaleCrop>
  <Company/>
  <LinksUpToDate>false</LinksUpToDate>
  <CharactersWithSpaces>3154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Admin</cp:lastModifiedBy>
  <cp:revision>1</cp:revision>
  <dcterms:created xsi:type="dcterms:W3CDTF">2026-08-12T13:21:00Z</dcterms:created>
  <dcterms:modified xsi:type="dcterms:W3CDTF">2026-08-12T13:21:00Z</dcterms:modified>
</cp:coreProperties>
</file>