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5DCF2" w14:textId="77777777" w:rsidR="00FC66DF" w:rsidRDefault="00FC66DF" w:rsidP="00FC66DF">
      <w:pPr>
        <w:spacing w:after="80"/>
        <w:jc w:val="center"/>
      </w:pPr>
      <w:r>
        <w:rPr>
          <w:b/>
          <w:bCs/>
          <w:sz w:val="28"/>
          <w:szCs w:val="28"/>
        </w:rPr>
        <w:t>Environmental Impact Assessment Review</w:t>
      </w:r>
    </w:p>
    <w:p w14:paraId="2C69E39E" w14:textId="77777777" w:rsidR="00FC66DF" w:rsidRDefault="00FC66DF" w:rsidP="00FC66DF">
      <w:pPr>
        <w:spacing w:after="160"/>
      </w:pPr>
      <w:r>
        <w:rPr>
          <w:b/>
          <w:bCs/>
          <w:sz w:val="28"/>
          <w:szCs w:val="28"/>
        </w:rPr>
        <w:t xml:space="preserve">A Critical Review of the Environmental Impact Assessment Process: Bryn </w:t>
      </w:r>
      <w:proofErr w:type="spellStart"/>
      <w:r>
        <w:rPr>
          <w:b/>
          <w:bCs/>
          <w:sz w:val="28"/>
          <w:szCs w:val="28"/>
        </w:rPr>
        <w:t>Henllys</w:t>
      </w:r>
      <w:proofErr w:type="spellEnd"/>
      <w:r>
        <w:rPr>
          <w:b/>
          <w:bCs/>
          <w:sz w:val="28"/>
          <w:szCs w:val="28"/>
        </w:rPr>
        <w:t xml:space="preserve"> Extension Solar Farm, Powys, Wales</w:t>
      </w:r>
    </w:p>
    <w:p w14:paraId="754DE49C" w14:textId="77777777" w:rsidR="00FC66DF" w:rsidRDefault="00FC66DF" w:rsidP="00FC66DF">
      <w:pPr>
        <w:spacing w:after="60"/>
      </w:pPr>
      <w:r>
        <w:rPr>
          <w:b/>
          <w:bCs/>
        </w:rPr>
        <w:t xml:space="preserve">N. </w:t>
      </w:r>
      <w:proofErr w:type="spellStart"/>
      <w:r>
        <w:rPr>
          <w:b/>
          <w:bCs/>
        </w:rPr>
        <w:t>rAI</w:t>
      </w:r>
      <w:proofErr w:type="spellEnd"/>
    </w:p>
    <w:p w14:paraId="48482810" w14:textId="77777777" w:rsidR="00FC66DF" w:rsidRDefault="00FC66DF" w:rsidP="00FC66DF">
      <w:pPr>
        <w:spacing w:after="320"/>
      </w:pPr>
      <w:r>
        <w:rPr>
          <w:i/>
          <w:iCs/>
          <w:sz w:val="22"/>
          <w:szCs w:val="22"/>
        </w:rPr>
        <w:t>University of Wales Trinity Saint David, Department of Environmental Planning, Lampeter, Wales</w:t>
      </w:r>
    </w:p>
    <w:p w14:paraId="1335BD2A" w14:textId="77777777" w:rsidR="00FC66DF" w:rsidRDefault="00FC66DF" w:rsidP="00FC66DF">
      <w:pPr>
        <w:spacing w:after="60"/>
      </w:pPr>
      <w:r>
        <w:rPr>
          <w:b/>
          <w:bCs/>
          <w:sz w:val="22"/>
          <w:szCs w:val="22"/>
        </w:rPr>
        <w:t>ARTICLE INFO</w:t>
      </w:r>
    </w:p>
    <w:p w14:paraId="0FA6B573" w14:textId="77777777" w:rsidR="00FC66DF" w:rsidRDefault="00FC66DF" w:rsidP="00FC66DF">
      <w:pPr>
        <w:spacing w:after="60"/>
      </w:pPr>
      <w:r>
        <w:t>Article history: Received | Received in revised form | Accepted | Available online</w:t>
      </w:r>
    </w:p>
    <w:p w14:paraId="098BB14E" w14:textId="77777777" w:rsidR="00FC66DF" w:rsidRDefault="00FC66DF" w:rsidP="00FC66DF">
      <w:pPr>
        <w:spacing w:after="320"/>
      </w:pPr>
      <w:r>
        <w:t>Keywords: Environmental Impact Assessment; Lee and Colley Review Package; Environmental Statement quality; Renewable energy; Land contamination; Wales</w:t>
      </w:r>
    </w:p>
    <w:p w14:paraId="4F1DBD79" w14:textId="77777777" w:rsidR="00FC66DF" w:rsidRDefault="00FC66DF" w:rsidP="00FC66DF">
      <w:pPr>
        <w:spacing w:after="80"/>
      </w:pPr>
      <w:r>
        <w:rPr>
          <w:b/>
          <w:bCs/>
          <w:sz w:val="22"/>
          <w:szCs w:val="22"/>
        </w:rPr>
        <w:t>ABSTRACT</w:t>
      </w:r>
    </w:p>
    <w:p w14:paraId="42FAB761" w14:textId="77777777" w:rsidR="00FC66DF" w:rsidRDefault="00FC66DF" w:rsidP="00FC66DF">
      <w:pPr>
        <w:spacing w:after="160"/>
      </w:pPr>
      <w:r>
        <w:t xml:space="preserve">This paper presents a systematic quality review of the Environmental Statement (ES) prepared by Wardell Armstrong on behalf of </w:t>
      </w:r>
      <w:proofErr w:type="spellStart"/>
      <w:r>
        <w:t>Lightsource</w:t>
      </w:r>
      <w:proofErr w:type="spellEnd"/>
      <w:r>
        <w:t xml:space="preserve"> BP for the Bryn </w:t>
      </w:r>
      <w:proofErr w:type="spellStart"/>
      <w:r>
        <w:t>Henllys</w:t>
      </w:r>
      <w:proofErr w:type="spellEnd"/>
      <w:r>
        <w:t xml:space="preserve"> Extension Solar Farm (9.9 MW), a proposed photovoltaic development at Waun Llwyd Farm, Upper </w:t>
      </w:r>
      <w:proofErr w:type="spellStart"/>
      <w:r>
        <w:t>Cwmtwrch</w:t>
      </w:r>
      <w:proofErr w:type="spellEnd"/>
      <w:r>
        <w:t>, Powys, Wales. The Lee and Colley (1992) Environmental Statement Review Package is applied as the principal critique framework, assessing the ES against four Review Areas comprising seventeen review categories and multiple sub-criteria, each graded on an A–F scale.</w:t>
      </w:r>
    </w:p>
    <w:p w14:paraId="2759D7B6" w14:textId="77777777" w:rsidR="00FC66DF" w:rsidRDefault="00FC66DF" w:rsidP="00FC66DF">
      <w:pPr>
        <w:spacing w:after="160"/>
      </w:pPr>
      <w:r>
        <w:t>The review finds that the ES is Just satisfactory (overall grade C). The strongest performance is in the description of the development, local environment and baseline (grade B), where the Phase 1 desk study draws comprehensively on British Geological Survey, Coal Authority and Natural Resources Wales data, and the Conceptual Site Model is systematically structured. The weakest area is alternatives and mitigation (grade D): the ES presents co-location with a consented but unbuilt 20 MW scheme as the only viable option, without a site-selection matrix, and includes no standalone Environmental Monitoring and Management Plan. Identification and assessment of impacts (grade C) is weakened by uniform 'Low' contamination risk ratings across all pollutant linkages — including human health, groundwater and ground gas — without any Phase 2 intrusive ground investigation, despite the site's documented history of opencast mining, refuse tipping and backfilled ponds. Consultation timing also raises concerns: Freedom of Information correspondence with Powys County Council was still being exchanged in the month of ES publication.</w:t>
      </w:r>
    </w:p>
    <w:p w14:paraId="3CB521EE" w14:textId="77777777" w:rsidR="00FC66DF" w:rsidRDefault="00FC66DF" w:rsidP="00FC66DF">
      <w:pPr>
        <w:spacing w:after="160"/>
      </w:pPr>
      <w:r>
        <w:lastRenderedPageBreak/>
        <w:t>These findings are consistent with international evidence that alternatives analysis and monitoring represent structural weak points in EIA practice. Three recommendations are advanced: (</w:t>
      </w:r>
      <w:proofErr w:type="spellStart"/>
      <w:r>
        <w:t>i</w:t>
      </w:r>
      <w:proofErr w:type="spellEnd"/>
      <w:r>
        <w:t>) explicit site-selection matrices for future solar farm EIAs; (ii) transparent 'you said / we did' consultation records; and (iii) standalone Environmental Monitoring and Management Plans with performance indicators and responsible parties.</w:t>
      </w:r>
    </w:p>
    <w:p w14:paraId="0BE385E0" w14:textId="77777777" w:rsidR="00FC66DF" w:rsidRDefault="00FC66DF" w:rsidP="00FC66DF">
      <w:pPr>
        <w:pStyle w:val="Heading1"/>
        <w:spacing w:before="240" w:after="120"/>
      </w:pPr>
      <w:r>
        <w:rPr>
          <w:b/>
          <w:bCs/>
          <w:sz w:val="24"/>
          <w:szCs w:val="24"/>
        </w:rPr>
        <w:t>1.  Introduction</w:t>
      </w:r>
    </w:p>
    <w:p w14:paraId="329390C2" w14:textId="77777777" w:rsidR="00FC66DF" w:rsidRDefault="00FC66DF" w:rsidP="00FC66DF">
      <w:pPr>
        <w:spacing w:after="160"/>
      </w:pPr>
      <w:r>
        <w:t>Environmental Impact Assessment (EIA) is the principal decision-support tool used to identify, predict, evaluate and, where necessary, mitigate the likely significant environmental effects of a proposed development before consent is granted (Glasson et al., 2012; Wood, 2003). In Wales it is a statutory requirement under the Town and Country Planning (Environmental Impact Assessment) (Wales) Regulations 2017, and it sits within the broader framework of the Well-being of Future Generations (Wales) Act 2015, which requires all public decisions to balance social, economic, environmental and cultural well-being for both current and future generations.</w:t>
      </w:r>
    </w:p>
    <w:p w14:paraId="622526A9" w14:textId="77777777" w:rsidR="00FC66DF" w:rsidRDefault="00FC66DF" w:rsidP="00FC66DF">
      <w:pPr>
        <w:spacing w:after="160"/>
      </w:pPr>
      <w:r>
        <w:t>Because the Environmental Statement (ES) is the primary channel through which the EIA reaches the competent authority, consultees and the public, its quality is decisive: a poor ES enables poor decisions (Lee and Colley, 1992; IEMA, 2016). Sandham and Pretorius (2008) reviewed 28 South African Environmental Impact Reports and found descriptive elements consistently stronger than analytical ones. Anifowose et al. (2016) reviewed 19 EISs in the Nigerian oil and gas sector and found impact prediction and decommissioning consistently the weakest components. Peterson (2010) demonstrated that reviewer scrutiny of EIS quality varies significantly, raising concerns about systemic under-performance rather than isolated weaknesses.</w:t>
      </w:r>
    </w:p>
    <w:p w14:paraId="46490679" w14:textId="77777777" w:rsidR="00FC66DF" w:rsidRDefault="00FC66DF" w:rsidP="00FC66DF">
      <w:pPr>
        <w:spacing w:after="160"/>
      </w:pPr>
      <w:r>
        <w:t xml:space="preserve">The present paper applies the Lee and Colley (1992) Environmental Statement Review Package to the ES prepared by Wardell Armstrong for the Bryn </w:t>
      </w:r>
      <w:proofErr w:type="spellStart"/>
      <w:r>
        <w:t>Henllys</w:t>
      </w:r>
      <w:proofErr w:type="spellEnd"/>
      <w:r>
        <w:t xml:space="preserve"> Extension Solar Farm — a 9.9 MW photovoltaic extension to an approved but unbuilt 20 MW scheme on a former opencast coal mine, creating a distinctive site history and a complex cumulative assessment context. The paper proceeds in four parts: (</w:t>
      </w:r>
      <w:proofErr w:type="spellStart"/>
      <w:r>
        <w:t>i</w:t>
      </w:r>
      <w:proofErr w:type="spellEnd"/>
      <w:r>
        <w:t>) project and planning-policy context; (ii) critique methodology; (iii) application of the Lee and Colley sub-criteria; and (iv) synthesis and recommendations.</w:t>
      </w:r>
    </w:p>
    <w:p w14:paraId="7A8A2B11" w14:textId="77777777" w:rsidR="00FC66DF" w:rsidRDefault="00FC66DF" w:rsidP="00FC66DF">
      <w:pPr>
        <w:pStyle w:val="Heading1"/>
        <w:spacing w:before="240" w:after="120"/>
      </w:pPr>
      <w:r>
        <w:rPr>
          <w:b/>
          <w:bCs/>
          <w:sz w:val="24"/>
          <w:szCs w:val="24"/>
        </w:rPr>
        <w:lastRenderedPageBreak/>
        <w:t>2.  Project and Planning Policy Context</w:t>
      </w:r>
    </w:p>
    <w:p w14:paraId="21A32696" w14:textId="77777777" w:rsidR="00FC66DF" w:rsidRDefault="00FC66DF" w:rsidP="00FC66DF">
      <w:pPr>
        <w:pStyle w:val="Heading2"/>
        <w:spacing w:before="240" w:after="120"/>
      </w:pPr>
      <w:proofErr w:type="gramStart"/>
      <w:r>
        <w:rPr>
          <w:b/>
          <w:bCs/>
          <w:sz w:val="24"/>
          <w:szCs w:val="24"/>
        </w:rPr>
        <w:t>2.1  The</w:t>
      </w:r>
      <w:proofErr w:type="gramEnd"/>
      <w:r>
        <w:rPr>
          <w:b/>
          <w:bCs/>
          <w:sz w:val="24"/>
          <w:szCs w:val="24"/>
        </w:rPr>
        <w:t xml:space="preserve"> Proposed Development</w:t>
      </w:r>
    </w:p>
    <w:p w14:paraId="0B0C0244" w14:textId="77777777" w:rsidR="00FC66DF" w:rsidRDefault="00FC66DF" w:rsidP="00FC66DF">
      <w:pPr>
        <w:spacing w:after="160"/>
      </w:pPr>
      <w:r>
        <w:t xml:space="preserve">The Bryn </w:t>
      </w:r>
      <w:proofErr w:type="spellStart"/>
      <w:r>
        <w:t>Henllys</w:t>
      </w:r>
      <w:proofErr w:type="spellEnd"/>
      <w:r>
        <w:t xml:space="preserve"> Extension is a 9.9 MW solar photovoltaic farm proposed at Waun Llwyd Farm, Upper </w:t>
      </w:r>
      <w:proofErr w:type="spellStart"/>
      <w:r>
        <w:t>Cwmtwrch</w:t>
      </w:r>
      <w:proofErr w:type="spellEnd"/>
      <w:r>
        <w:t xml:space="preserve">, Powys (NGR: SN 275917/212511). The ES was prepared by Wardell Armstrong on behalf of </w:t>
      </w:r>
      <w:proofErr w:type="spellStart"/>
      <w:r>
        <w:t>Lightsource</w:t>
      </w:r>
      <w:proofErr w:type="spellEnd"/>
      <w:r>
        <w:t xml:space="preserve"> BP and published in June 2019 as part of pre-application consultation (</w:t>
      </w:r>
      <w:proofErr w:type="spellStart"/>
      <w:r>
        <w:t>Lightsource</w:t>
      </w:r>
      <w:proofErr w:type="spellEnd"/>
      <w:r>
        <w:t xml:space="preserve"> BP, 2019). The project is not a standalone scheme; it is designed as an extension to a larger 20 MW solar farm that Powys County Council approved in June 2018 (application P/2015/0176), which was never constructed.</w:t>
      </w:r>
    </w:p>
    <w:p w14:paraId="66BF9FE6" w14:textId="77777777" w:rsidR="00FC66DF" w:rsidRDefault="00FC66DF" w:rsidP="00FC66DF">
      <w:pPr>
        <w:spacing w:after="160"/>
      </w:pPr>
      <w:r>
        <w:t>The site has a complex contamination history. Historical records identify previous uses including colliery workings, brickworks, coal levels, refuse tips, a railway line and infilled ponds. This industrial legacy means residual ground contamination may be present, which explains why Chapter 10 and the Conceptual Site Model (Appendix 10.3) are among the most detailed components of the ES.</w:t>
      </w:r>
    </w:p>
    <w:p w14:paraId="60663968" w14:textId="77777777" w:rsidR="00FC66DF" w:rsidRDefault="00FC66DF" w:rsidP="00FC66DF">
      <w:pPr>
        <w:pStyle w:val="Heading2"/>
        <w:spacing w:before="240" w:after="120"/>
      </w:pPr>
      <w:proofErr w:type="gramStart"/>
      <w:r>
        <w:rPr>
          <w:b/>
          <w:bCs/>
          <w:sz w:val="24"/>
          <w:szCs w:val="24"/>
        </w:rPr>
        <w:t>2.2  How</w:t>
      </w:r>
      <w:proofErr w:type="gramEnd"/>
      <w:r>
        <w:rPr>
          <w:b/>
          <w:bCs/>
          <w:sz w:val="24"/>
          <w:szCs w:val="24"/>
        </w:rPr>
        <w:t xml:space="preserve"> Planning Policy Shaped the EIA</w:t>
      </w:r>
    </w:p>
    <w:p w14:paraId="4CB5387A" w14:textId="77777777" w:rsidR="00FC66DF" w:rsidRDefault="00FC66DF" w:rsidP="00FC66DF">
      <w:pPr>
        <w:spacing w:after="160"/>
      </w:pPr>
      <w:r>
        <w:t>The Powys Local Development Plan 2011–2026, adopted on 17 April 2018 (Powys County Council, 2018), identifies Local Search Areas within which solar farms of 5–50 MW are acceptable in principle. Because the site falls within such an area, the ES demonstrates compliance with LDP criteria on landscape, biodiversity, residential amenity and cumulative impact rather than arguing the principle of solar development. This keeps the ES focused, but means the document gives little attention to whether an alternative site might be more appropriate — a weakness discussed in Section 4.3.</w:t>
      </w:r>
    </w:p>
    <w:p w14:paraId="5F447729" w14:textId="77777777" w:rsidR="00FC66DF" w:rsidRDefault="00FC66DF" w:rsidP="00FC66DF">
      <w:pPr>
        <w:spacing w:after="160"/>
      </w:pPr>
      <w:r>
        <w:t>Planning Policy Wales Edition 10 (Welsh Government, 2018), the Climate Change Act 2008 (as amended to establish net-zero by 2050) and the Well-being of Future Generations (Wales) Act 2015 together create a strongly pro-renewable policy environment. The ES consistently weighs climate benefits against adverse local effects — a legitimate framing, but one that means some negative impacts are presented as less significant than they may be.</w:t>
      </w:r>
    </w:p>
    <w:p w14:paraId="609C4DBD" w14:textId="77777777" w:rsidR="00FC66DF" w:rsidRDefault="00FC66DF" w:rsidP="00FC66DF">
      <w:pPr>
        <w:spacing w:after="160"/>
      </w:pPr>
      <w:r>
        <w:t xml:space="preserve">For ground conditions, the ES follows CLR11 (Environment Agency, 2004). Wardell Armstrong completed the desk study and conceptual site model but did not proceed to Phase 2 intrusive investigation despite the site's heavy industrial history. Welsh planning law required pre-application consultation; however, Freedom of Information correspondence with Powys </w:t>
      </w:r>
      <w:r>
        <w:lastRenderedPageBreak/>
        <w:t>Council was still being exchanged in the month the ES was published, raising questions about whether feedback had time to influence the assessment.</w:t>
      </w:r>
    </w:p>
    <w:p w14:paraId="675F3070" w14:textId="77777777" w:rsidR="00FC66DF" w:rsidRDefault="00FC66DF" w:rsidP="00FC66DF">
      <w:pPr>
        <w:pStyle w:val="Heading1"/>
        <w:spacing w:before="240" w:after="120"/>
      </w:pPr>
      <w:r>
        <w:rPr>
          <w:b/>
          <w:bCs/>
          <w:sz w:val="24"/>
          <w:szCs w:val="24"/>
        </w:rPr>
        <w:t>3.  Methodology</w:t>
      </w:r>
    </w:p>
    <w:p w14:paraId="49D21E4A" w14:textId="77777777" w:rsidR="00FC66DF" w:rsidRDefault="00FC66DF" w:rsidP="00FC66DF">
      <w:pPr>
        <w:spacing w:after="160"/>
      </w:pPr>
      <w:r>
        <w:t>The Lee and Colley (1992) Environmental Statement Review Package was selected as the principal critique framework because it is transparent, hierarchical and widely applied in the UK and internationally (Momtaz and Kabir, 2013; Sandham et al., 2013). The Package divides an ES into four Review Areas, seventeen review categories and multiple sub-criteria, each rated on an A–F scale (Table 1). Higher-level grades are derived through professional judgement about the relative importance of sub-criteria, not arithmetic averaging (Lee and Colley, 1992, p. 14).</w:t>
      </w:r>
    </w:p>
    <w:p w14:paraId="1CE0E26A" w14:textId="77777777" w:rsidR="00FC66DF" w:rsidRDefault="00FC66DF" w:rsidP="00FC66DF">
      <w:pPr>
        <w:spacing w:after="160"/>
      </w:pPr>
      <w:r>
        <w:t xml:space="preserve">Evidence is drawn from the Bryn </w:t>
      </w:r>
      <w:proofErr w:type="spellStart"/>
      <w:r>
        <w:t>Henllys</w:t>
      </w:r>
      <w:proofErr w:type="spellEnd"/>
      <w:r>
        <w:t xml:space="preserve"> Extension ES — its main chapters, appendices (10.1 Legislation and Policy; 10.2 Phase 1 Desk Study; 10.3 Conceptual Site Model) and Non-Technical Summary. Findings are compared with published reviews of other renewable energy EIAs (Sandham and Pretorius, 2008; Anifowose et al., 2016; Y Bryn Wind Farm, 2023) to judge whether weaknesses are project-specific or reflect wider structural problems.</w:t>
      </w:r>
    </w:p>
    <w:p w14:paraId="7A5AB4B3" w14:textId="77777777" w:rsidR="00FC66DF" w:rsidRDefault="00FC66DF" w:rsidP="00FC66DF">
      <w:pPr>
        <w:spacing w:before="160" w:after="80"/>
      </w:pPr>
      <w:r>
        <w:rPr>
          <w:b/>
          <w:bCs/>
          <w:sz w:val="22"/>
          <w:szCs w:val="22"/>
        </w:rPr>
        <w:t>Table 1.  Lee and Colley (1992) grading symbols.</w:t>
      </w:r>
    </w:p>
    <w:tbl>
      <w:tblPr>
        <w:tblStyle w:val="PlainTable2"/>
        <w:tblW w:w="0" w:type="auto"/>
        <w:tblLook w:val="0620" w:firstRow="1" w:lastRow="0" w:firstColumn="0" w:lastColumn="0" w:noHBand="1" w:noVBand="1"/>
      </w:tblPr>
      <w:tblGrid>
        <w:gridCol w:w="9026"/>
      </w:tblGrid>
      <w:tr w:rsidR="00FC66DF" w:rsidRPr="003416BD" w14:paraId="374DD4EC" w14:textId="77777777" w:rsidTr="00290623">
        <w:trPr>
          <w:cnfStyle w:val="100000000000" w:firstRow="1" w:lastRow="0" w:firstColumn="0" w:lastColumn="0" w:oddVBand="0" w:evenVBand="0" w:oddHBand="0" w:evenHBand="0" w:firstRowFirstColumn="0" w:firstRowLastColumn="0" w:lastRowFirstColumn="0" w:lastRowLastColumn="0"/>
        </w:trPr>
        <w:tc>
          <w:tcPr>
            <w:tcW w:w="9350" w:type="dxa"/>
          </w:tcPr>
          <w:p w14:paraId="04D34013" w14:textId="77777777" w:rsidR="00FC66DF" w:rsidRPr="003416BD" w:rsidRDefault="00FC66DF" w:rsidP="00290623">
            <w:pPr>
              <w:spacing w:after="40"/>
            </w:pPr>
            <w:r w:rsidRPr="003416BD">
              <w:rPr>
                <w:rFonts w:ascii="Courier New" w:eastAsia="Courier New" w:hAnsi="Courier New" w:cs="Courier New"/>
              </w:rPr>
              <w:t>A      Well performed             No important omissions.</w:t>
            </w:r>
          </w:p>
        </w:tc>
      </w:tr>
      <w:tr w:rsidR="00FC66DF" w:rsidRPr="003416BD" w14:paraId="2E87C992" w14:textId="77777777" w:rsidTr="00290623">
        <w:tc>
          <w:tcPr>
            <w:tcW w:w="9350" w:type="dxa"/>
          </w:tcPr>
          <w:p w14:paraId="3FEE282B" w14:textId="77777777" w:rsidR="00FC66DF" w:rsidRPr="003416BD" w:rsidRDefault="00FC66DF" w:rsidP="00290623">
            <w:pPr>
              <w:spacing w:after="40"/>
            </w:pPr>
            <w:r w:rsidRPr="003416BD">
              <w:rPr>
                <w:rFonts w:ascii="Courier New" w:eastAsia="Courier New" w:hAnsi="Courier New" w:cs="Courier New"/>
              </w:rPr>
              <w:t>B      Generally satisfactory     Minor omissions or inadequacies only.</w:t>
            </w:r>
          </w:p>
        </w:tc>
      </w:tr>
      <w:tr w:rsidR="00FC66DF" w:rsidRPr="003416BD" w14:paraId="5C5318F4" w14:textId="77777777" w:rsidTr="00290623">
        <w:tc>
          <w:tcPr>
            <w:tcW w:w="9350" w:type="dxa"/>
          </w:tcPr>
          <w:p w14:paraId="2A4CB89D" w14:textId="77777777" w:rsidR="00FC66DF" w:rsidRPr="003416BD" w:rsidRDefault="00FC66DF" w:rsidP="00290623">
            <w:pPr>
              <w:spacing w:after="40"/>
            </w:pPr>
            <w:r w:rsidRPr="003416BD">
              <w:rPr>
                <w:rFonts w:ascii="Courier New" w:eastAsia="Courier New" w:hAnsi="Courier New" w:cs="Courier New"/>
              </w:rPr>
              <w:t>C      Just satisfactory          Just satisfactory despite omissions.</w:t>
            </w:r>
          </w:p>
        </w:tc>
      </w:tr>
      <w:tr w:rsidR="00FC66DF" w:rsidRPr="003416BD" w14:paraId="121D5F54" w14:textId="77777777" w:rsidTr="00290623">
        <w:tc>
          <w:tcPr>
            <w:tcW w:w="9350" w:type="dxa"/>
          </w:tcPr>
          <w:p w14:paraId="7AF13223" w14:textId="77777777" w:rsidR="00FC66DF" w:rsidRPr="003416BD" w:rsidRDefault="00FC66DF" w:rsidP="00290623">
            <w:pPr>
              <w:spacing w:after="40"/>
            </w:pPr>
            <w:r w:rsidRPr="003416BD">
              <w:rPr>
                <w:rFonts w:ascii="Courier New" w:eastAsia="Courier New" w:hAnsi="Courier New" w:cs="Courier New"/>
              </w:rPr>
              <w:t>D      Just unsatisfactory        Overall just unsatisfactory; parts well attempted.</w:t>
            </w:r>
          </w:p>
        </w:tc>
      </w:tr>
      <w:tr w:rsidR="00FC66DF" w:rsidRPr="003416BD" w14:paraId="00845A41" w14:textId="77777777" w:rsidTr="00290623">
        <w:tc>
          <w:tcPr>
            <w:tcW w:w="9350" w:type="dxa"/>
          </w:tcPr>
          <w:p w14:paraId="0BDEE1AD" w14:textId="77777777" w:rsidR="00FC66DF" w:rsidRPr="003416BD" w:rsidRDefault="00FC66DF" w:rsidP="00290623">
            <w:pPr>
              <w:spacing w:after="40"/>
            </w:pPr>
            <w:r w:rsidRPr="003416BD">
              <w:rPr>
                <w:rFonts w:ascii="Courier New" w:eastAsia="Courier New" w:hAnsi="Courier New" w:cs="Courier New"/>
              </w:rPr>
              <w:t>E      Unsatisfactory             Significant omissions or inadequacies.</w:t>
            </w:r>
          </w:p>
        </w:tc>
      </w:tr>
      <w:tr w:rsidR="00FC66DF" w:rsidRPr="003416BD" w14:paraId="0D4E2487" w14:textId="77777777" w:rsidTr="00290623">
        <w:tc>
          <w:tcPr>
            <w:tcW w:w="9350" w:type="dxa"/>
          </w:tcPr>
          <w:p w14:paraId="70873020" w14:textId="77777777" w:rsidR="00FC66DF" w:rsidRPr="003416BD" w:rsidRDefault="00FC66DF" w:rsidP="00290623">
            <w:pPr>
              <w:spacing w:after="40"/>
            </w:pPr>
            <w:r w:rsidRPr="003416BD">
              <w:rPr>
                <w:rFonts w:ascii="Courier New" w:eastAsia="Courier New" w:hAnsi="Courier New" w:cs="Courier New"/>
              </w:rPr>
              <w:t>F      Very unsatisfactory        Important tasks poorly done or not attempted.</w:t>
            </w:r>
          </w:p>
        </w:tc>
      </w:tr>
      <w:tr w:rsidR="00FC66DF" w:rsidRPr="003416BD" w14:paraId="5BC9126A" w14:textId="77777777" w:rsidTr="00290623">
        <w:tc>
          <w:tcPr>
            <w:tcW w:w="9350" w:type="dxa"/>
          </w:tcPr>
          <w:p w14:paraId="09DC1973" w14:textId="77777777" w:rsidR="00FC66DF" w:rsidRPr="003416BD" w:rsidRDefault="00FC66DF" w:rsidP="00290623">
            <w:pPr>
              <w:spacing w:after="40"/>
            </w:pPr>
            <w:r w:rsidRPr="003416BD">
              <w:rPr>
                <w:rFonts w:ascii="Courier New" w:eastAsia="Courier New" w:hAnsi="Courier New" w:cs="Courier New"/>
              </w:rPr>
              <w:t>N/A    Not applicable             Topic not applicable in this ES.</w:t>
            </w:r>
          </w:p>
        </w:tc>
      </w:tr>
    </w:tbl>
    <w:p w14:paraId="4BD44AD8" w14:textId="77777777" w:rsidR="00FC66DF" w:rsidRDefault="00FC66DF" w:rsidP="00FC66DF">
      <w:pPr>
        <w:pStyle w:val="Heading1"/>
        <w:spacing w:before="240" w:after="120"/>
      </w:pPr>
      <w:r>
        <w:rPr>
          <w:b/>
          <w:bCs/>
          <w:sz w:val="24"/>
          <w:szCs w:val="24"/>
        </w:rPr>
        <w:t>4.  Results: Application of the Lee and Colley Review Package</w:t>
      </w:r>
    </w:p>
    <w:p w14:paraId="2A480E3F" w14:textId="77777777" w:rsidR="00FC66DF" w:rsidRDefault="00FC66DF" w:rsidP="00FC66DF">
      <w:pPr>
        <w:pStyle w:val="Heading2"/>
        <w:spacing w:before="240" w:after="120"/>
      </w:pPr>
      <w:proofErr w:type="gramStart"/>
      <w:r>
        <w:rPr>
          <w:b/>
          <w:bCs/>
          <w:sz w:val="24"/>
          <w:szCs w:val="24"/>
        </w:rPr>
        <w:t>4.1  Review</w:t>
      </w:r>
      <w:proofErr w:type="gramEnd"/>
      <w:r>
        <w:rPr>
          <w:b/>
          <w:bCs/>
          <w:sz w:val="24"/>
          <w:szCs w:val="24"/>
        </w:rPr>
        <w:t xml:space="preserve"> Area 1: Description of Development, Local Environment and Baseline</w:t>
      </w:r>
    </w:p>
    <w:p w14:paraId="29574F32" w14:textId="77777777" w:rsidR="00FC66DF" w:rsidRDefault="00FC66DF" w:rsidP="00FC66DF">
      <w:pPr>
        <w:spacing w:after="160"/>
      </w:pPr>
      <w:proofErr w:type="gramStart"/>
      <w:r>
        <w:t>The description</w:t>
      </w:r>
      <w:proofErr w:type="gramEnd"/>
      <w:r>
        <w:t xml:space="preserve"> of the development and baseline environment is a relative strength. The Phase 1 Desk Study (Appendix 10.2) draws comprehensively on data from the British Geological Survey, </w:t>
      </w:r>
      <w:proofErr w:type="spellStart"/>
      <w:r>
        <w:t>Groundsure</w:t>
      </w:r>
      <w:proofErr w:type="spellEnd"/>
      <w:r>
        <w:t xml:space="preserve"> Enviro Insight, the Coal Authority, Natural Resources Wales, </w:t>
      </w:r>
      <w:proofErr w:type="spellStart"/>
      <w:r>
        <w:t>Cadw</w:t>
      </w:r>
      <w:proofErr w:type="spellEnd"/>
      <w:r>
        <w:t xml:space="preserve"> and the Clwyd-Powys Archaeological Trust. The Conceptual Site Model (Appendix 10.3) </w:t>
      </w:r>
      <w:r>
        <w:lastRenderedPageBreak/>
        <w:t>systematically maps how contamination could reach people or water through defined pollutant linkages.</w:t>
      </w:r>
    </w:p>
    <w:p w14:paraId="1585EF82" w14:textId="77777777" w:rsidR="00FC66DF" w:rsidRDefault="00FC66DF" w:rsidP="00FC66DF">
      <w:pPr>
        <w:spacing w:after="160"/>
      </w:pPr>
      <w:r>
        <w:t>The inclusion of an Unexploded Ordnance (UXO) risk screening is noteworthy. CIRIA C552 recommends that site-specific hazards, including potential ordnance from historical blasting, should be addressed during the desk study stage; many solar farm EIAs omit this step.</w:t>
      </w:r>
    </w:p>
    <w:p w14:paraId="4E42067F" w14:textId="77777777" w:rsidR="00FC66DF" w:rsidRDefault="00FC66DF" w:rsidP="00FC66DF">
      <w:pPr>
        <w:spacing w:after="160"/>
      </w:pPr>
      <w:r>
        <w:t>Two weaknesses are identified. First, the ES does not quantify workforce numbers, construction materials or end-of-life waste volumes; IEMA (2016) states that an ES should contain sufficient information for readers to independently verify its conclusions. Second, the cumulative assessment with the adjacent consented 20 MW scheme is thin: IEMA (2016) recommends that related developments sharing the same environment be assessed together. The strength of the baseline means the competent authority had reliable environmental context, but the weak cumulative framing means the full 29.9 MW footprint was not placed before it.</w:t>
      </w:r>
    </w:p>
    <w:p w14:paraId="56001FC9" w14:textId="77777777" w:rsidR="00FC66DF" w:rsidRDefault="00FC66DF" w:rsidP="00FC66DF">
      <w:pPr>
        <w:spacing w:after="200"/>
      </w:pPr>
      <w:r>
        <w:rPr>
          <w:b/>
          <w:bCs/>
        </w:rPr>
        <w:t>Overall Review Area 1 grade: B (Generally satisfactory).</w:t>
      </w:r>
    </w:p>
    <w:p w14:paraId="5DD04034" w14:textId="77777777" w:rsidR="00FC66DF" w:rsidRDefault="00FC66DF" w:rsidP="00FC66DF">
      <w:pPr>
        <w:pStyle w:val="Heading2"/>
        <w:spacing w:before="240" w:after="120"/>
      </w:pPr>
      <w:proofErr w:type="gramStart"/>
      <w:r>
        <w:rPr>
          <w:b/>
          <w:bCs/>
          <w:sz w:val="24"/>
          <w:szCs w:val="24"/>
        </w:rPr>
        <w:t>4.2  Review</w:t>
      </w:r>
      <w:proofErr w:type="gramEnd"/>
      <w:r>
        <w:rPr>
          <w:b/>
          <w:bCs/>
          <w:sz w:val="24"/>
          <w:szCs w:val="24"/>
        </w:rPr>
        <w:t xml:space="preserve"> Area 2: Identification, Analysis and Assessment of Impacts</w:t>
      </w:r>
    </w:p>
    <w:p w14:paraId="193BF118" w14:textId="77777777" w:rsidR="00FC66DF" w:rsidRDefault="00FC66DF" w:rsidP="00FC66DF">
      <w:pPr>
        <w:spacing w:after="160"/>
      </w:pPr>
      <w:r>
        <w:t>The ES uses a structured risk matrix (Tables 10.1–10.6, Chapter 10) combining receptor sensitivity with the magnitude and probability of each effect. Each pollutant linkage — that is, each connection between a contamination source, pathway and receptor — is scored within this framework. Three concerns weaken this Review Area.</w:t>
      </w:r>
    </w:p>
    <w:p w14:paraId="2B9CF645" w14:textId="77777777" w:rsidR="00FC66DF" w:rsidRDefault="00FC66DF" w:rsidP="00FC66DF">
      <w:pPr>
        <w:spacing w:after="160"/>
      </w:pPr>
      <w:r>
        <w:t xml:space="preserve">First, every pollutant linkage in the Conceptual Site Model (Appendix 10.3; </w:t>
      </w:r>
      <w:proofErr w:type="spellStart"/>
      <w:r>
        <w:t>Lightsource</w:t>
      </w:r>
      <w:proofErr w:type="spellEnd"/>
      <w:r>
        <w:t xml:space="preserve"> BP, 2019) is rated '</w:t>
      </w:r>
      <w:proofErr w:type="gramStart"/>
      <w:r>
        <w:t>Low' —</w:t>
      </w:r>
      <w:proofErr w:type="gramEnd"/>
      <w:r>
        <w:t xml:space="preserve"> human health, groundwater, surface water and ground gas, all 'Low.' CLR11 (Environment Agency, 2004) sets out a tiered approach in which the Phase 1 desk study identifies potential risks rather than confirming them; where plausible linkages exist, CLR11 recommends Phase 2 intrusive investigation. On a site with documented mining, refuse tips and backfilled ponds, rating all risks 'Low' without field data goes beyond what the desk study stage alone can support.</w:t>
      </w:r>
    </w:p>
    <w:p w14:paraId="3FA072A8" w14:textId="77777777" w:rsidR="00FC66DF" w:rsidRDefault="00FC66DF" w:rsidP="00FC66DF">
      <w:pPr>
        <w:spacing w:after="160"/>
      </w:pPr>
      <w:r>
        <w:t>Second, no Phase 2 ground investigation was conducted, meaning the planning authority approved development on former mining land without a single measured soil or water quality result. Third, the air quality assessment was excluded without any published justification — a significant omission for a construction project on potentially contaminated soils where dust and particulate matter represent foreseeable risks.</w:t>
      </w:r>
    </w:p>
    <w:p w14:paraId="095B7CB6" w14:textId="77777777" w:rsidR="00FC66DF" w:rsidRDefault="00FC66DF" w:rsidP="00FC66DF">
      <w:pPr>
        <w:spacing w:after="160"/>
      </w:pPr>
      <w:r>
        <w:lastRenderedPageBreak/>
        <w:t>Data adequacy and cumulative assessment are consistently identified as weak points in ES quality internationally (Sandham and Pretorius, 2008; Peterson, 2010), suggesting that developers continue to repeat historic failings rather than learn from them.</w:t>
      </w:r>
    </w:p>
    <w:p w14:paraId="15CC1841" w14:textId="77777777" w:rsidR="00FC66DF" w:rsidRDefault="00FC66DF" w:rsidP="00FC66DF">
      <w:pPr>
        <w:spacing w:after="200"/>
      </w:pPr>
      <w:r>
        <w:rPr>
          <w:b/>
          <w:bCs/>
        </w:rPr>
        <w:t>Overall Review Area 2 grade: C (Just satisfactory).</w:t>
      </w:r>
    </w:p>
    <w:p w14:paraId="51CB29B0" w14:textId="77777777" w:rsidR="00FC66DF" w:rsidRDefault="00FC66DF" w:rsidP="00FC66DF">
      <w:pPr>
        <w:pStyle w:val="Heading2"/>
        <w:spacing w:before="240" w:after="120"/>
      </w:pPr>
      <w:proofErr w:type="gramStart"/>
      <w:r>
        <w:rPr>
          <w:b/>
          <w:bCs/>
          <w:sz w:val="24"/>
          <w:szCs w:val="24"/>
        </w:rPr>
        <w:t>4.3  Review</w:t>
      </w:r>
      <w:proofErr w:type="gramEnd"/>
      <w:r>
        <w:rPr>
          <w:b/>
          <w:bCs/>
          <w:sz w:val="24"/>
          <w:szCs w:val="24"/>
        </w:rPr>
        <w:t xml:space="preserve"> Area 3: Alternatives and Mitigation</w:t>
      </w:r>
    </w:p>
    <w:p w14:paraId="7A0B27FD" w14:textId="77777777" w:rsidR="00FC66DF" w:rsidRDefault="00FC66DF" w:rsidP="00FC66DF">
      <w:pPr>
        <w:spacing w:after="160"/>
      </w:pPr>
      <w:r>
        <w:t>Alternatives and mitigation represent the weakest component of the ES, consistent with international studies identifying analytical EIA elements as the most poorly handled (Steinemann, 2001; Sandham et al., 2013). The ES presents co-location with the consented scheme as the only viable option, without a systematic site-selection matrix; the do-nothing scenario occupies a single paragraph.</w:t>
      </w:r>
    </w:p>
    <w:p w14:paraId="190A1A0F" w14:textId="77777777" w:rsidR="00FC66DF" w:rsidRDefault="00FC66DF" w:rsidP="00FC66DF">
      <w:pPr>
        <w:spacing w:after="160"/>
      </w:pPr>
      <w:r>
        <w:t>Steinemann (2001, p. 6) argues that alternatives provide 'the greatest opportunities to eliminate adverse environmental impacts</w:t>
      </w:r>
      <w:proofErr w:type="gramStart"/>
      <w:r>
        <w:t>' —</w:t>
      </w:r>
      <w:proofErr w:type="gramEnd"/>
      <w:r>
        <w:t xml:space="preserve"> </w:t>
      </w:r>
      <w:proofErr w:type="gramStart"/>
      <w:r>
        <w:t>they</w:t>
      </w:r>
      <w:proofErr w:type="gramEnd"/>
      <w:r>
        <w:t xml:space="preserve"> are the one stage where harm can be avoided altogether rather than merely reduced. Without proper alternatives testing, mitigation becomes the only available tool, and mitigation can only lessen harm, not eliminate it. The Well-being of Future Generations (Wales) Act 2015 requires decisions to balance long-term competing needs: a balancing exercise that is impossible if only one option is presented.</w:t>
      </w:r>
    </w:p>
    <w:p w14:paraId="339682BF" w14:textId="77777777" w:rsidR="00FC66DF" w:rsidRDefault="00FC66DF" w:rsidP="00FC66DF">
      <w:pPr>
        <w:spacing w:after="160"/>
      </w:pPr>
      <w:r>
        <w:t>The mitigation measures identified are themselves reasonable — a Construction Environmental Management Plan (CEMP), breeding-bird timing restrictions, grassland seeding and sensitive lighting for bats. However, IEMA (2016) requires that mitigation be accompanied by a monitoring and management plan with performance indicators, thresholds and responsible parties. No such Environmental Monitoring and Management Plan (EMMP) exists in the ES, leaving no mechanism to verify whether mitigation is implemented or effective after consent. Comparable weaknesses have been identified in Welsh renewable energy EIAs, including the Y Bryn Wind Farm ES (Y Bryn Wind Farm, 2023), which similarly lacks a systematic site-selection matrix.</w:t>
      </w:r>
    </w:p>
    <w:p w14:paraId="3022B64D" w14:textId="77777777" w:rsidR="00FC66DF" w:rsidRDefault="00FC66DF" w:rsidP="00FC66DF">
      <w:pPr>
        <w:spacing w:after="200"/>
      </w:pPr>
      <w:r>
        <w:rPr>
          <w:b/>
          <w:bCs/>
        </w:rPr>
        <w:t>Overall Review Area 3 grade: D (Just unsatisfactory).</w:t>
      </w:r>
    </w:p>
    <w:p w14:paraId="3EB86471" w14:textId="77777777" w:rsidR="00FC66DF" w:rsidRDefault="00FC66DF" w:rsidP="00FC66DF">
      <w:pPr>
        <w:pStyle w:val="Heading2"/>
        <w:spacing w:before="240" w:after="120"/>
      </w:pPr>
      <w:proofErr w:type="gramStart"/>
      <w:r>
        <w:rPr>
          <w:b/>
          <w:bCs/>
          <w:sz w:val="24"/>
          <w:szCs w:val="24"/>
        </w:rPr>
        <w:t>4.4  Review</w:t>
      </w:r>
      <w:proofErr w:type="gramEnd"/>
      <w:r>
        <w:rPr>
          <w:b/>
          <w:bCs/>
          <w:sz w:val="24"/>
          <w:szCs w:val="24"/>
        </w:rPr>
        <w:t xml:space="preserve"> Area 4: Communication of Results</w:t>
      </w:r>
    </w:p>
    <w:p w14:paraId="42F20CEE" w14:textId="77777777" w:rsidR="00FC66DF" w:rsidRDefault="00FC66DF" w:rsidP="00FC66DF">
      <w:pPr>
        <w:spacing w:after="160"/>
      </w:pPr>
      <w:r>
        <w:t xml:space="preserve">The ES is clearly </w:t>
      </w:r>
      <w:proofErr w:type="spellStart"/>
      <w:r>
        <w:t>organised</w:t>
      </w:r>
      <w:proofErr w:type="spellEnd"/>
      <w:r>
        <w:t xml:space="preserve"> around Schedule 4 of the Town and Country Planning (EIA) (Wales) Regulations 2017; the table of contents is </w:t>
      </w:r>
      <w:proofErr w:type="gramStart"/>
      <w:r>
        <w:t>comprehensive</w:t>
      </w:r>
      <w:proofErr w:type="gramEnd"/>
      <w:r>
        <w:t xml:space="preserve"> and the Non-Technical Summary is accessible and free of technical jargon.</w:t>
      </w:r>
    </w:p>
    <w:p w14:paraId="5AE6E40C" w14:textId="77777777" w:rsidR="00FC66DF" w:rsidRDefault="00FC66DF" w:rsidP="00FC66DF">
      <w:pPr>
        <w:spacing w:after="160"/>
      </w:pPr>
      <w:r>
        <w:lastRenderedPageBreak/>
        <w:t xml:space="preserve">The main concern is the consultation process. Although </w:t>
      </w:r>
      <w:proofErr w:type="spellStart"/>
      <w:r>
        <w:t>Lightsource</w:t>
      </w:r>
      <w:proofErr w:type="spellEnd"/>
      <w:r>
        <w:t xml:space="preserve"> BP set up a consultation webpage (</w:t>
      </w:r>
      <w:proofErr w:type="spellStart"/>
      <w:r>
        <w:t>Lightsource</w:t>
      </w:r>
      <w:proofErr w:type="spellEnd"/>
      <w:r>
        <w:t xml:space="preserve"> BP, 2019), Freedom of Information correspondence with Powys County Council was still being exchanged in the month the ES was published, raising a question about whether feedback had sufficient time to materially influence the assessment. IEMA (2016) recommends consultation as a genuine EIA input, with a record of what changed as a result. No 'you said / we did' record is included. This matters because communities often hold local knowledge that surveys may miss, and consultation serves a democratic function: where people have no meaningful opportunity to shape a development, the legitimacy of the decision is weakened regardless of the technical quality of the ES (Glasson et al., 2012).</w:t>
      </w:r>
    </w:p>
    <w:p w14:paraId="66C7752D" w14:textId="77777777" w:rsidR="00FC66DF" w:rsidRDefault="00FC66DF" w:rsidP="00FC66DF">
      <w:pPr>
        <w:spacing w:after="160"/>
      </w:pPr>
      <w:r>
        <w:t>Some parts of the ES present beneficial effects prominently while adverse effects are consistently framed as 'Low' — typical of applicant-commissioned assessments (Glasson et al., 2012) but creating an imbalance in emphasis.</w:t>
      </w:r>
    </w:p>
    <w:p w14:paraId="0CE730DE" w14:textId="77777777" w:rsidR="00FC66DF" w:rsidRDefault="00FC66DF" w:rsidP="00FC66DF">
      <w:pPr>
        <w:spacing w:after="200"/>
      </w:pPr>
      <w:r>
        <w:rPr>
          <w:b/>
          <w:bCs/>
        </w:rPr>
        <w:t>Overall Review Area 4 grade: B (Generally satisfactory).</w:t>
      </w:r>
    </w:p>
    <w:p w14:paraId="1C4A6F3F" w14:textId="77777777" w:rsidR="00FC66DF" w:rsidRDefault="00FC66DF" w:rsidP="00FC66DF">
      <w:pPr>
        <w:pStyle w:val="Heading1"/>
        <w:spacing w:before="240" w:after="120"/>
      </w:pPr>
      <w:r>
        <w:rPr>
          <w:b/>
          <w:bCs/>
          <w:sz w:val="24"/>
          <w:szCs w:val="24"/>
        </w:rPr>
        <w:t>5.  Overall Findings</w:t>
      </w:r>
    </w:p>
    <w:p w14:paraId="6E9A7902" w14:textId="77777777" w:rsidR="00FC66DF" w:rsidRDefault="00FC66DF" w:rsidP="00FC66DF">
      <w:pPr>
        <w:spacing w:before="160" w:after="80"/>
      </w:pPr>
      <w:r>
        <w:rPr>
          <w:b/>
          <w:bCs/>
          <w:sz w:val="22"/>
          <w:szCs w:val="22"/>
        </w:rPr>
        <w:t xml:space="preserve">Table 2.  </w:t>
      </w:r>
      <w:proofErr w:type="gramStart"/>
      <w:r>
        <w:rPr>
          <w:b/>
          <w:bCs/>
          <w:sz w:val="22"/>
          <w:szCs w:val="22"/>
        </w:rPr>
        <w:t>Overall</w:t>
      </w:r>
      <w:proofErr w:type="gramEnd"/>
      <w:r>
        <w:rPr>
          <w:b/>
          <w:bCs/>
          <w:sz w:val="22"/>
          <w:szCs w:val="22"/>
        </w:rPr>
        <w:t xml:space="preserve"> Lee and Colley assessment of the Bryn </w:t>
      </w:r>
      <w:proofErr w:type="spellStart"/>
      <w:r>
        <w:rPr>
          <w:b/>
          <w:bCs/>
          <w:sz w:val="22"/>
          <w:szCs w:val="22"/>
        </w:rPr>
        <w:t>Henllys</w:t>
      </w:r>
      <w:proofErr w:type="spellEnd"/>
      <w:r>
        <w:rPr>
          <w:b/>
          <w:bCs/>
          <w:sz w:val="22"/>
          <w:szCs w:val="22"/>
        </w:rPr>
        <w:t xml:space="preserve"> Extension ES.</w:t>
      </w:r>
    </w:p>
    <w:tbl>
      <w:tblPr>
        <w:tblStyle w:val="PlainTable2"/>
        <w:tblW w:w="0" w:type="auto"/>
        <w:tblLook w:val="06A0" w:firstRow="1" w:lastRow="0" w:firstColumn="1" w:lastColumn="0" w:noHBand="1" w:noVBand="1"/>
      </w:tblPr>
      <w:tblGrid>
        <w:gridCol w:w="9026"/>
      </w:tblGrid>
      <w:tr w:rsidR="00FC66DF" w:rsidRPr="003416BD" w14:paraId="10AC077E" w14:textId="77777777" w:rsidTr="002906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721399D" w14:textId="77777777" w:rsidR="00FC66DF" w:rsidRPr="003416BD" w:rsidRDefault="00FC66DF" w:rsidP="00290623">
            <w:pPr>
              <w:spacing w:after="60"/>
              <w:rPr>
                <w:b w:val="0"/>
                <w:bCs w:val="0"/>
              </w:rPr>
            </w:pPr>
            <w:r>
              <w:rPr>
                <w:b w:val="0"/>
                <w:bCs w:val="0"/>
              </w:rPr>
              <w:t>Review                  Grade            Reason</w:t>
            </w:r>
          </w:p>
        </w:tc>
      </w:tr>
      <w:tr w:rsidR="00FC66DF" w:rsidRPr="003416BD" w14:paraId="7668AEBD" w14:textId="77777777" w:rsidTr="00290623">
        <w:tc>
          <w:tcPr>
            <w:cnfStyle w:val="001000000000" w:firstRow="0" w:lastRow="0" w:firstColumn="1" w:lastColumn="0" w:oddVBand="0" w:evenVBand="0" w:oddHBand="0" w:evenHBand="0" w:firstRowFirstColumn="0" w:firstRowLastColumn="0" w:lastRowFirstColumn="0" w:lastRowLastColumn="0"/>
            <w:tcW w:w="9350" w:type="dxa"/>
          </w:tcPr>
          <w:p w14:paraId="32A81CE1" w14:textId="77777777" w:rsidR="00FC66DF" w:rsidRPr="003416BD" w:rsidRDefault="00FC66DF" w:rsidP="00290623">
            <w:pPr>
              <w:spacing w:after="60"/>
            </w:pPr>
            <w:r w:rsidRPr="003416BD">
              <w:rPr>
                <w:b w:val="0"/>
                <w:bCs w:val="0"/>
              </w:rPr>
              <w:t xml:space="preserve">Review Area 1    Grade: </w:t>
            </w:r>
            <w:proofErr w:type="gramStart"/>
            <w:r w:rsidRPr="003416BD">
              <w:rPr>
                <w:b w:val="0"/>
                <w:bCs w:val="0"/>
              </w:rPr>
              <w:t>B  —</w:t>
            </w:r>
            <w:proofErr w:type="gramEnd"/>
            <w:r w:rsidRPr="003416BD">
              <w:rPr>
                <w:b w:val="0"/>
                <w:bCs w:val="0"/>
              </w:rPr>
              <w:t xml:space="preserve">  Strong baseline and CSM; cumulative framing weak.</w:t>
            </w:r>
          </w:p>
        </w:tc>
      </w:tr>
      <w:tr w:rsidR="00FC66DF" w:rsidRPr="003416BD" w14:paraId="2CFDC3BA" w14:textId="77777777" w:rsidTr="00290623">
        <w:tc>
          <w:tcPr>
            <w:cnfStyle w:val="001000000000" w:firstRow="0" w:lastRow="0" w:firstColumn="1" w:lastColumn="0" w:oddVBand="0" w:evenVBand="0" w:oddHBand="0" w:evenHBand="0" w:firstRowFirstColumn="0" w:firstRowLastColumn="0" w:lastRowFirstColumn="0" w:lastRowLastColumn="0"/>
            <w:tcW w:w="9350" w:type="dxa"/>
          </w:tcPr>
          <w:p w14:paraId="2904820C" w14:textId="77777777" w:rsidR="00FC66DF" w:rsidRPr="003416BD" w:rsidRDefault="00FC66DF" w:rsidP="00290623">
            <w:pPr>
              <w:spacing w:after="60"/>
              <w:rPr>
                <w:b w:val="0"/>
                <w:bCs w:val="0"/>
              </w:rPr>
            </w:pPr>
            <w:r w:rsidRPr="003416BD">
              <w:rPr>
                <w:b w:val="0"/>
                <w:bCs w:val="0"/>
              </w:rPr>
              <w:t xml:space="preserve">Review Area 2    Grade: </w:t>
            </w:r>
            <w:proofErr w:type="gramStart"/>
            <w:r w:rsidRPr="003416BD">
              <w:rPr>
                <w:b w:val="0"/>
                <w:bCs w:val="0"/>
              </w:rPr>
              <w:t>C  —</w:t>
            </w:r>
            <w:proofErr w:type="gramEnd"/>
            <w:r w:rsidRPr="003416BD">
              <w:rPr>
                <w:b w:val="0"/>
                <w:bCs w:val="0"/>
              </w:rPr>
              <w:t xml:space="preserve">  Uniform 'Low' ratings; no Phase 2 GI; air quality excluded.</w:t>
            </w:r>
          </w:p>
        </w:tc>
      </w:tr>
      <w:tr w:rsidR="00FC66DF" w:rsidRPr="003416BD" w14:paraId="2C370D77" w14:textId="77777777" w:rsidTr="00290623">
        <w:tc>
          <w:tcPr>
            <w:cnfStyle w:val="001000000000" w:firstRow="0" w:lastRow="0" w:firstColumn="1" w:lastColumn="0" w:oddVBand="0" w:evenVBand="0" w:oddHBand="0" w:evenHBand="0" w:firstRowFirstColumn="0" w:firstRowLastColumn="0" w:lastRowFirstColumn="0" w:lastRowLastColumn="0"/>
            <w:tcW w:w="9350" w:type="dxa"/>
          </w:tcPr>
          <w:p w14:paraId="1E4A8758" w14:textId="77777777" w:rsidR="00FC66DF" w:rsidRPr="003416BD" w:rsidRDefault="00FC66DF" w:rsidP="00290623">
            <w:pPr>
              <w:spacing w:after="60"/>
              <w:rPr>
                <w:b w:val="0"/>
                <w:bCs w:val="0"/>
              </w:rPr>
            </w:pPr>
            <w:r w:rsidRPr="003416BD">
              <w:rPr>
                <w:b w:val="0"/>
                <w:bCs w:val="0"/>
              </w:rPr>
              <w:t xml:space="preserve">Review Area 3    Grade: </w:t>
            </w:r>
            <w:proofErr w:type="gramStart"/>
            <w:r w:rsidRPr="003416BD">
              <w:rPr>
                <w:b w:val="0"/>
                <w:bCs w:val="0"/>
              </w:rPr>
              <w:t>D  —</w:t>
            </w:r>
            <w:proofErr w:type="gramEnd"/>
            <w:r w:rsidRPr="003416BD">
              <w:rPr>
                <w:b w:val="0"/>
                <w:bCs w:val="0"/>
              </w:rPr>
              <w:t xml:space="preserve">  Weakest area; no site-selection matrix; no EMMP.</w:t>
            </w:r>
          </w:p>
        </w:tc>
      </w:tr>
      <w:tr w:rsidR="00FC66DF" w:rsidRPr="003416BD" w14:paraId="11ED2D1F" w14:textId="77777777" w:rsidTr="00290623">
        <w:tc>
          <w:tcPr>
            <w:cnfStyle w:val="001000000000" w:firstRow="0" w:lastRow="0" w:firstColumn="1" w:lastColumn="0" w:oddVBand="0" w:evenVBand="0" w:oddHBand="0" w:evenHBand="0" w:firstRowFirstColumn="0" w:firstRowLastColumn="0" w:lastRowFirstColumn="0" w:lastRowLastColumn="0"/>
            <w:tcW w:w="9350" w:type="dxa"/>
          </w:tcPr>
          <w:p w14:paraId="570C678B" w14:textId="77777777" w:rsidR="00FC66DF" w:rsidRPr="003416BD" w:rsidRDefault="00FC66DF" w:rsidP="00290623">
            <w:pPr>
              <w:spacing w:after="60"/>
              <w:rPr>
                <w:b w:val="0"/>
                <w:bCs w:val="0"/>
              </w:rPr>
            </w:pPr>
            <w:r w:rsidRPr="003416BD">
              <w:rPr>
                <w:b w:val="0"/>
                <w:bCs w:val="0"/>
              </w:rPr>
              <w:t xml:space="preserve">Review Area 4    Grade: </w:t>
            </w:r>
            <w:proofErr w:type="gramStart"/>
            <w:r w:rsidRPr="003416BD">
              <w:rPr>
                <w:b w:val="0"/>
                <w:bCs w:val="0"/>
              </w:rPr>
              <w:t>B  —</w:t>
            </w:r>
            <w:proofErr w:type="gramEnd"/>
            <w:r w:rsidRPr="003416BD">
              <w:rPr>
                <w:b w:val="0"/>
                <w:bCs w:val="0"/>
              </w:rPr>
              <w:t xml:space="preserve">  Good layout; consultation timing concerns.</w:t>
            </w:r>
          </w:p>
        </w:tc>
      </w:tr>
      <w:tr w:rsidR="00FC66DF" w:rsidRPr="003416BD" w14:paraId="42792288" w14:textId="77777777" w:rsidTr="00290623">
        <w:tc>
          <w:tcPr>
            <w:cnfStyle w:val="001000000000" w:firstRow="0" w:lastRow="0" w:firstColumn="1" w:lastColumn="0" w:oddVBand="0" w:evenVBand="0" w:oddHBand="0" w:evenHBand="0" w:firstRowFirstColumn="0" w:firstRowLastColumn="0" w:lastRowFirstColumn="0" w:lastRowLastColumn="0"/>
            <w:tcW w:w="9350" w:type="dxa"/>
          </w:tcPr>
          <w:p w14:paraId="52E8A7C5" w14:textId="77777777" w:rsidR="00FC66DF" w:rsidRPr="003416BD" w:rsidRDefault="00FC66DF" w:rsidP="00290623">
            <w:pPr>
              <w:spacing w:after="60"/>
              <w:rPr>
                <w:b w:val="0"/>
                <w:bCs w:val="0"/>
              </w:rPr>
            </w:pPr>
            <w:r w:rsidRPr="003416BD">
              <w:rPr>
                <w:b w:val="0"/>
                <w:bCs w:val="0"/>
              </w:rPr>
              <w:t xml:space="preserve">OVERALL          Grade: </w:t>
            </w:r>
            <w:proofErr w:type="gramStart"/>
            <w:r w:rsidRPr="003416BD">
              <w:rPr>
                <w:b w:val="0"/>
                <w:bCs w:val="0"/>
              </w:rPr>
              <w:t>C  —</w:t>
            </w:r>
            <w:proofErr w:type="gramEnd"/>
            <w:r w:rsidRPr="003416BD">
              <w:rPr>
                <w:b w:val="0"/>
                <w:bCs w:val="0"/>
              </w:rPr>
              <w:t xml:space="preserve">  Just satisfactory; fit for decision-making with qualifications.</w:t>
            </w:r>
          </w:p>
        </w:tc>
      </w:tr>
    </w:tbl>
    <w:p w14:paraId="3C2E9FD0" w14:textId="77777777" w:rsidR="00FC66DF" w:rsidRDefault="00FC66DF" w:rsidP="00FC66DF">
      <w:pPr>
        <w:spacing w:after="160"/>
      </w:pPr>
      <w:r>
        <w:t>Drawing together the findings from all four Review Areas, consultation timing limits evidence of material public influence; alternatives and a meaningful do-nothing comparison received the least attention; and air quality was scoped out without published justification. Despite these weaknesses, the documentation is sufficient for the competent authority to reach a reasoned decision — consistent with the subsequent grant of planning permission.</w:t>
      </w:r>
    </w:p>
    <w:p w14:paraId="63B5B152" w14:textId="77777777" w:rsidR="00FC66DF" w:rsidRDefault="00FC66DF" w:rsidP="00FC66DF">
      <w:pPr>
        <w:spacing w:after="160"/>
      </w:pPr>
      <w:r>
        <w:t xml:space="preserve">The significance of these findings extends beyond this single case study. Anifowose et al. (2016) and Sandham and Pretorius (2008) independently identify analytical EIA components as consistently weaker than descriptive ones across sectors and countries. The Bryn </w:t>
      </w:r>
      <w:proofErr w:type="spellStart"/>
      <w:r>
        <w:t>Henllys</w:t>
      </w:r>
      <w:proofErr w:type="spellEnd"/>
      <w:r>
        <w:t xml:space="preserve"> Extension ES fits squarely within this pattern, suggesting the weaknesses reflect structural problems in EIA practice. If developers continue to meet only minimum procedural requirements while consistently under-performing on alternatives, cumulative effects and </w:t>
      </w:r>
      <w:r>
        <w:lastRenderedPageBreak/>
        <w:t>monitoring, the EIA system risks becoming a paperwork exercise rather than a genuine mechanism for protecting the environment and delivering sustainable development.</w:t>
      </w:r>
    </w:p>
    <w:p w14:paraId="4C6090EC" w14:textId="77777777" w:rsidR="00FC66DF" w:rsidRDefault="00FC66DF" w:rsidP="00FC66DF">
      <w:pPr>
        <w:pStyle w:val="Heading1"/>
        <w:spacing w:before="240" w:after="120"/>
      </w:pPr>
      <w:r>
        <w:rPr>
          <w:b/>
          <w:bCs/>
          <w:sz w:val="24"/>
          <w:szCs w:val="24"/>
        </w:rPr>
        <w:t>6.  Conclusions and Recommendations</w:t>
      </w:r>
    </w:p>
    <w:p w14:paraId="2FA48A6C" w14:textId="77777777" w:rsidR="00FC66DF" w:rsidRDefault="00FC66DF" w:rsidP="00FC66DF">
      <w:pPr>
        <w:spacing w:after="160"/>
      </w:pPr>
      <w:r>
        <w:t xml:space="preserve">Applied on a sub-criterion-by-sub-criterion basis, the Bryn </w:t>
      </w:r>
      <w:proofErr w:type="spellStart"/>
      <w:r>
        <w:t>Henllys</w:t>
      </w:r>
      <w:proofErr w:type="spellEnd"/>
      <w:r>
        <w:t xml:space="preserve"> Extension ES is assessed as 'Just satisfactory' (overall grade C). It performs best on baseline description and communication (both grade B), and worst on alternatives and mitigation (grade D). Strengths include exemplary use of existing data sources, a structured Conceptual Site Model consistent with CLR11, and UXO risk screening appropriate for a former opencast site. Weaknesses cluster around uniform 'Low' contamination risk ratings without Phase 2 intrusive investigation, the unexplained exclusion of air quality assessment, cursory alternatives analysis, the absence of a standalone EMMP, and a consultation schedule whose timing limits its influence on the ES.</w:t>
      </w:r>
    </w:p>
    <w:p w14:paraId="565F1F29" w14:textId="77777777" w:rsidR="00FC66DF" w:rsidRDefault="00FC66DF" w:rsidP="00FC66DF">
      <w:pPr>
        <w:spacing w:after="160"/>
      </w:pPr>
      <w:r>
        <w:t xml:space="preserve">Three </w:t>
      </w:r>
      <w:proofErr w:type="gramStart"/>
      <w:r>
        <w:t>recommendations follow</w:t>
      </w:r>
      <w:proofErr w:type="gramEnd"/>
      <w:r>
        <w:t xml:space="preserve"> for future EIA practice:</w:t>
      </w:r>
    </w:p>
    <w:p w14:paraId="1A3B3E24" w14:textId="77777777" w:rsidR="00FC66DF" w:rsidRDefault="00FC66DF" w:rsidP="00FC66DF">
      <w:pPr>
        <w:spacing w:after="100"/>
        <w:ind w:left="720"/>
      </w:pPr>
      <w:r>
        <w:t>•  Future solar farm EIAs should present an explicit, criteria-based site-selection matrix and a substantive do-nothing comparison, even for extension schemes where the principle of development may appear settled, as Steinemann (2001, p. 6) argues is essential for effective EIA.</w:t>
      </w:r>
    </w:p>
    <w:p w14:paraId="6DCBA12D" w14:textId="77777777" w:rsidR="00FC66DF" w:rsidRDefault="00FC66DF" w:rsidP="00FC66DF">
      <w:pPr>
        <w:spacing w:after="100"/>
        <w:ind w:left="720"/>
      </w:pPr>
      <w:r>
        <w:t>•  Consultation should be recorded and reported through a transparent 'you said / we did' matrix, demonstrating how community feedback flowed through to ES content and decision-making.</w:t>
      </w:r>
    </w:p>
    <w:p w14:paraId="37F31ABB" w14:textId="77777777" w:rsidR="00FC66DF" w:rsidRDefault="00FC66DF" w:rsidP="00FC66DF">
      <w:pPr>
        <w:spacing w:after="100"/>
        <w:ind w:left="720"/>
      </w:pPr>
      <w:r>
        <w:t>•  Every ES of this scale should include a standalone Environmental Monitoring and Management Plan with performance indicators, thresholds and responsible parties, so that mitigation commitments are enforceable through planning conditions, consistent with IEMA (2016) guidance.</w:t>
      </w:r>
    </w:p>
    <w:p w14:paraId="04555A9E" w14:textId="77777777" w:rsidR="00FC66DF" w:rsidRDefault="00FC66DF" w:rsidP="00FC66DF">
      <w:pPr>
        <w:spacing w:after="160"/>
      </w:pPr>
      <w:r>
        <w:t xml:space="preserve">More broadly, this case study illustrates a tension at the heart of EIA practice. The Bryn </w:t>
      </w:r>
      <w:proofErr w:type="spellStart"/>
      <w:r>
        <w:t>Henllys</w:t>
      </w:r>
      <w:proofErr w:type="spellEnd"/>
      <w:r>
        <w:t xml:space="preserve"> Extension ES meets the procedural requirements of the EIA Regulations and provides enough information for the competent authority to reach a decision: in that sense, it works. But if the purpose of EIA is to genuinely protect the environment and contribute to sustainable development, procedural compliance alone is not sufficient. An EIA system that consistently </w:t>
      </w:r>
      <w:proofErr w:type="gramStart"/>
      <w:r>
        <w:t>under-performs</w:t>
      </w:r>
      <w:proofErr w:type="gramEnd"/>
      <w:r>
        <w:t xml:space="preserve"> on alternatives, cumulative effects and monitoring </w:t>
      </w:r>
      <w:proofErr w:type="gramStart"/>
      <w:r>
        <w:t>risks</w:t>
      </w:r>
      <w:proofErr w:type="gramEnd"/>
      <w:r>
        <w:t xml:space="preserve"> </w:t>
      </w:r>
      <w:proofErr w:type="spellStart"/>
      <w:r>
        <w:t>legitimising</w:t>
      </w:r>
      <w:proofErr w:type="spellEnd"/>
      <w:r>
        <w:t xml:space="preserve"> decisions rather than improving them. Strengthening these areas would bring EIA closer to the role </w:t>
      </w:r>
      <w:r>
        <w:lastRenderedPageBreak/>
        <w:t>envisaged by the Well-being of Future Generations (Wales) Act 2015 — ensuring decisions today do not compromise the well-being of future generations.</w:t>
      </w:r>
    </w:p>
    <w:p w14:paraId="59821B57" w14:textId="77777777" w:rsidR="00FC66DF" w:rsidRDefault="00FC66DF" w:rsidP="00FC66DF">
      <w:pPr>
        <w:pStyle w:val="Heading2"/>
        <w:spacing w:before="240" w:after="120"/>
      </w:pPr>
      <w:r>
        <w:rPr>
          <w:b/>
          <w:bCs/>
          <w:sz w:val="24"/>
          <w:szCs w:val="24"/>
        </w:rPr>
        <w:t>Acknowledgements</w:t>
      </w:r>
    </w:p>
    <w:p w14:paraId="6F5FBE6E" w14:textId="77777777" w:rsidR="00FC66DF" w:rsidRDefault="00FC66DF" w:rsidP="00FC66DF">
      <w:pPr>
        <w:spacing w:after="160"/>
      </w:pPr>
      <w:r>
        <w:t>The author thanks the module team at the University of Wales Trinity Saint David for guidance on the Lee and Colley review methodology. Supervised by Alisdair Cunningham. All errors remain the author's own.</w:t>
      </w:r>
    </w:p>
    <w:p w14:paraId="47197C65" w14:textId="77777777" w:rsidR="00FC66DF" w:rsidRDefault="00FC66DF" w:rsidP="00FC66DF">
      <w:pPr>
        <w:pStyle w:val="Heading1"/>
        <w:spacing w:before="240" w:after="120"/>
      </w:pPr>
      <w:r>
        <w:rPr>
          <w:b/>
          <w:bCs/>
          <w:sz w:val="24"/>
          <w:szCs w:val="24"/>
        </w:rPr>
        <w:t>References</w:t>
      </w:r>
    </w:p>
    <w:p w14:paraId="37C6010A" w14:textId="77777777" w:rsidR="00FC66DF" w:rsidRDefault="00FC66DF" w:rsidP="00FC66DF">
      <w:pPr>
        <w:spacing w:after="120"/>
        <w:ind w:left="720" w:hanging="720"/>
      </w:pPr>
      <w:r>
        <w:rPr>
          <w:sz w:val="22"/>
          <w:szCs w:val="22"/>
        </w:rPr>
        <w:t>Anifowose, B., Lawler, D.M., van der Horst, D. and Chapman, L. (2016) 'A systematic quality assessment of Environmental Impact Statements in the oil and gas industry', Science of the Total Environment, 572, pp. 570–585. https://doi.org/10.1016/j.scitotenv.2016.07.083</w:t>
      </w:r>
    </w:p>
    <w:p w14:paraId="4222A803" w14:textId="77777777" w:rsidR="00FC66DF" w:rsidRDefault="00FC66DF" w:rsidP="00FC66DF">
      <w:pPr>
        <w:spacing w:after="120"/>
        <w:ind w:left="720" w:hanging="720"/>
      </w:pPr>
      <w:r>
        <w:rPr>
          <w:sz w:val="22"/>
          <w:szCs w:val="22"/>
        </w:rPr>
        <w:t>Environment Agency (2004) Model Procedures for the Management of Land Contamination (CLR11). Bristol: Environment Agency. Available at: https://www.gov.uk/government/publications/withdrawn-model-procedures-for-the-management-of-land-contamination-clr11</w:t>
      </w:r>
    </w:p>
    <w:p w14:paraId="46944A97" w14:textId="77777777" w:rsidR="00FC66DF" w:rsidRDefault="00FC66DF" w:rsidP="00FC66DF">
      <w:pPr>
        <w:spacing w:after="120"/>
        <w:ind w:left="720" w:hanging="720"/>
      </w:pPr>
      <w:r>
        <w:rPr>
          <w:sz w:val="22"/>
          <w:szCs w:val="22"/>
        </w:rPr>
        <w:t xml:space="preserve">Glasson, J., </w:t>
      </w:r>
      <w:proofErr w:type="spellStart"/>
      <w:r>
        <w:rPr>
          <w:sz w:val="22"/>
          <w:szCs w:val="22"/>
        </w:rPr>
        <w:t>Therivel</w:t>
      </w:r>
      <w:proofErr w:type="spellEnd"/>
      <w:r>
        <w:rPr>
          <w:sz w:val="22"/>
          <w:szCs w:val="22"/>
        </w:rPr>
        <w:t xml:space="preserve">, R. and Chadwick, A. (2012) Introduction to Environmental Impact Assessment. 4th </w:t>
      </w:r>
      <w:proofErr w:type="spellStart"/>
      <w:proofErr w:type="gramStart"/>
      <w:r>
        <w:rPr>
          <w:sz w:val="22"/>
          <w:szCs w:val="22"/>
        </w:rPr>
        <w:t>edn</w:t>
      </w:r>
      <w:proofErr w:type="spellEnd"/>
      <w:proofErr w:type="gramEnd"/>
      <w:r>
        <w:rPr>
          <w:sz w:val="22"/>
          <w:szCs w:val="22"/>
        </w:rPr>
        <w:t>. London: Routledge.</w:t>
      </w:r>
    </w:p>
    <w:p w14:paraId="41FE51FB" w14:textId="77777777" w:rsidR="00FC66DF" w:rsidRDefault="00FC66DF" w:rsidP="00FC66DF">
      <w:pPr>
        <w:spacing w:after="120"/>
        <w:ind w:left="720" w:hanging="720"/>
      </w:pPr>
      <w:r>
        <w:rPr>
          <w:sz w:val="22"/>
          <w:szCs w:val="22"/>
        </w:rPr>
        <w:t>Institute of Environmental Management and Assessment (IEMA) (2016) Delivering Proportionate EIA. Lincoln: IEMA.</w:t>
      </w:r>
    </w:p>
    <w:p w14:paraId="549BDCD4" w14:textId="77777777" w:rsidR="00FC66DF" w:rsidRDefault="00FC66DF" w:rsidP="00FC66DF">
      <w:pPr>
        <w:spacing w:after="120"/>
        <w:ind w:left="720" w:hanging="720"/>
      </w:pPr>
      <w:r>
        <w:rPr>
          <w:sz w:val="22"/>
          <w:szCs w:val="22"/>
        </w:rPr>
        <w:t xml:space="preserve">Lee, N. and Colley, R. (1992) Reviewing the Quality of Environmental Statements. Occasional Paper No. 24. 2nd </w:t>
      </w:r>
      <w:proofErr w:type="spellStart"/>
      <w:proofErr w:type="gramStart"/>
      <w:r>
        <w:rPr>
          <w:sz w:val="22"/>
          <w:szCs w:val="22"/>
        </w:rPr>
        <w:t>edn</w:t>
      </w:r>
      <w:proofErr w:type="spellEnd"/>
      <w:proofErr w:type="gramEnd"/>
      <w:r>
        <w:rPr>
          <w:sz w:val="22"/>
          <w:szCs w:val="22"/>
        </w:rPr>
        <w:t>. Manchester: EIA Centre, University of Manchester.</w:t>
      </w:r>
    </w:p>
    <w:p w14:paraId="7A739843" w14:textId="77777777" w:rsidR="00FC66DF" w:rsidRDefault="00FC66DF" w:rsidP="00FC66DF">
      <w:pPr>
        <w:spacing w:after="120"/>
        <w:ind w:left="720" w:hanging="720"/>
      </w:pPr>
      <w:proofErr w:type="spellStart"/>
      <w:r>
        <w:rPr>
          <w:sz w:val="22"/>
          <w:szCs w:val="22"/>
        </w:rPr>
        <w:t>Lightsource</w:t>
      </w:r>
      <w:proofErr w:type="spellEnd"/>
      <w:r>
        <w:rPr>
          <w:sz w:val="22"/>
          <w:szCs w:val="22"/>
        </w:rPr>
        <w:t xml:space="preserve"> BP (2019) Bryn </w:t>
      </w:r>
      <w:proofErr w:type="spellStart"/>
      <w:r>
        <w:rPr>
          <w:sz w:val="22"/>
          <w:szCs w:val="22"/>
        </w:rPr>
        <w:t>Henllys</w:t>
      </w:r>
      <w:proofErr w:type="spellEnd"/>
      <w:r>
        <w:rPr>
          <w:sz w:val="22"/>
          <w:szCs w:val="22"/>
        </w:rPr>
        <w:t xml:space="preserve"> Extension Environmental Statement (prepared by Wardell Armstrong, Ref. CA11620/001, June 2019). Available at: https://lightsourcebp.com/project/bryn-henllys-extension-solar/</w:t>
      </w:r>
    </w:p>
    <w:p w14:paraId="3FA54E15" w14:textId="77777777" w:rsidR="00FC66DF" w:rsidRDefault="00FC66DF" w:rsidP="00FC66DF">
      <w:pPr>
        <w:spacing w:after="120"/>
        <w:ind w:left="720" w:hanging="720"/>
      </w:pPr>
      <w:r>
        <w:rPr>
          <w:sz w:val="22"/>
          <w:szCs w:val="22"/>
        </w:rPr>
        <w:t>Momtaz, S. and Kabir, S.M.Z. (2013) Evaluating Environmental and Social Impact Assessment in Developing Countries. Amsterdam: Elsevier.</w:t>
      </w:r>
    </w:p>
    <w:p w14:paraId="43B14C54" w14:textId="77777777" w:rsidR="00FC66DF" w:rsidRDefault="00FC66DF" w:rsidP="00FC66DF">
      <w:pPr>
        <w:spacing w:after="120"/>
        <w:ind w:left="720" w:hanging="720"/>
      </w:pPr>
      <w:r>
        <w:rPr>
          <w:sz w:val="22"/>
          <w:szCs w:val="22"/>
        </w:rPr>
        <w:t>Peterson, K. (2010) 'Quality of environmental impact statements and variability of scrutiny by reviewers', Environmental Impact Assessment Review, 30(3), pp. 169–176. https://doi.org/10.1016/j.eiar.2009.08.009</w:t>
      </w:r>
    </w:p>
    <w:p w14:paraId="03C9FE0C" w14:textId="77777777" w:rsidR="00FC66DF" w:rsidRDefault="00FC66DF" w:rsidP="00FC66DF">
      <w:pPr>
        <w:spacing w:after="120"/>
        <w:ind w:left="720" w:hanging="720"/>
      </w:pPr>
      <w:r>
        <w:rPr>
          <w:sz w:val="22"/>
          <w:szCs w:val="22"/>
        </w:rPr>
        <w:t>Powys County Council (2018) Powys Local Development Plan 2011–2026 (adopted 17 April 2018). Llandrindod Wells: Powys County Council.</w:t>
      </w:r>
    </w:p>
    <w:p w14:paraId="7723C96E" w14:textId="77777777" w:rsidR="00FC66DF" w:rsidRDefault="00FC66DF" w:rsidP="00FC66DF">
      <w:pPr>
        <w:spacing w:after="120"/>
        <w:ind w:left="720" w:hanging="720"/>
      </w:pPr>
      <w:r>
        <w:rPr>
          <w:sz w:val="22"/>
          <w:szCs w:val="22"/>
        </w:rPr>
        <w:lastRenderedPageBreak/>
        <w:t xml:space="preserve">Sandham, L.A. and Pretorius, H.M. (2008) 'A review of EIA report quality in the </w:t>
      </w:r>
      <w:proofErr w:type="gramStart"/>
      <w:r>
        <w:rPr>
          <w:sz w:val="22"/>
          <w:szCs w:val="22"/>
        </w:rPr>
        <w:t>North West</w:t>
      </w:r>
      <w:proofErr w:type="gramEnd"/>
      <w:r>
        <w:rPr>
          <w:sz w:val="22"/>
          <w:szCs w:val="22"/>
        </w:rPr>
        <w:t xml:space="preserve"> province of South Africa', Environmental Impact Assessment Review, 28(4–5), pp. 229–240. https://doi.org/10.1016/j.eiar.2007.07.002</w:t>
      </w:r>
    </w:p>
    <w:p w14:paraId="32F36E35" w14:textId="77777777" w:rsidR="00FC66DF" w:rsidRDefault="00FC66DF" w:rsidP="00FC66DF">
      <w:pPr>
        <w:spacing w:after="120"/>
        <w:ind w:left="720" w:hanging="720"/>
      </w:pPr>
      <w:r>
        <w:rPr>
          <w:sz w:val="22"/>
          <w:szCs w:val="22"/>
        </w:rPr>
        <w:t>Sandham, L.A., Van Heerden, A.J., Jones, C.E., Retief, F.P. and Morrison-Saunders, A.N. (2013) 'Does enhanced regulation improve EIA report quality? Lessons from South Africa', Environmental Impact Assessment Review, 38, pp. 155–162. https://doi.org/10.1016/j.eiar.2012.08.001</w:t>
      </w:r>
    </w:p>
    <w:p w14:paraId="3FD7BACD" w14:textId="77777777" w:rsidR="00FC66DF" w:rsidRDefault="00FC66DF" w:rsidP="00FC66DF">
      <w:pPr>
        <w:spacing w:after="120"/>
        <w:ind w:left="720" w:hanging="720"/>
      </w:pPr>
      <w:r>
        <w:rPr>
          <w:sz w:val="22"/>
          <w:szCs w:val="22"/>
        </w:rPr>
        <w:t>Steinemann, A. (2001) 'Improving alternatives for environmental impact assessment', Environmental Impact Assessment Review, 21(1), pp. 3–21. https://doi.org/10.1016/S0195-9255(00)00075-5</w:t>
      </w:r>
    </w:p>
    <w:p w14:paraId="52261241" w14:textId="77777777" w:rsidR="00FC66DF" w:rsidRDefault="00FC66DF" w:rsidP="00FC66DF">
      <w:pPr>
        <w:spacing w:after="120"/>
        <w:ind w:left="720" w:hanging="720"/>
      </w:pPr>
      <w:r>
        <w:rPr>
          <w:sz w:val="22"/>
          <w:szCs w:val="22"/>
        </w:rPr>
        <w:t>UK Parliament (1990) Town and Country Planning Act 1990, c.8. London: HMSO.</w:t>
      </w:r>
    </w:p>
    <w:p w14:paraId="199721E8" w14:textId="77777777" w:rsidR="00FC66DF" w:rsidRDefault="00FC66DF" w:rsidP="00FC66DF">
      <w:pPr>
        <w:spacing w:after="120"/>
        <w:ind w:left="720" w:hanging="720"/>
      </w:pPr>
      <w:r>
        <w:rPr>
          <w:sz w:val="22"/>
          <w:szCs w:val="22"/>
        </w:rPr>
        <w:t>UK Parliament (2008) Climate Change Act 2008, c.27. London: The Stationery Office.</w:t>
      </w:r>
    </w:p>
    <w:p w14:paraId="55FC7009" w14:textId="77777777" w:rsidR="00FC66DF" w:rsidRDefault="00FC66DF" w:rsidP="00FC66DF">
      <w:pPr>
        <w:spacing w:after="120"/>
        <w:ind w:left="720" w:hanging="720"/>
      </w:pPr>
      <w:r>
        <w:rPr>
          <w:sz w:val="22"/>
          <w:szCs w:val="22"/>
        </w:rPr>
        <w:t>UK Parliament (2019) The Climate Change Act 2008 (2050 Target Amendment) Order 2019, SI 2019/1056. London: The Stationery Office.</w:t>
      </w:r>
    </w:p>
    <w:p w14:paraId="5062F04C" w14:textId="77777777" w:rsidR="00FC66DF" w:rsidRDefault="00FC66DF" w:rsidP="00FC66DF">
      <w:pPr>
        <w:spacing w:after="120"/>
        <w:ind w:left="720" w:hanging="720"/>
      </w:pPr>
      <w:r>
        <w:rPr>
          <w:sz w:val="22"/>
          <w:szCs w:val="22"/>
        </w:rPr>
        <w:t xml:space="preserve">Welsh Government (2015) Planning (Wales) Act 2015, </w:t>
      </w:r>
      <w:proofErr w:type="spellStart"/>
      <w:r>
        <w:rPr>
          <w:sz w:val="22"/>
          <w:szCs w:val="22"/>
        </w:rPr>
        <w:t>anaw</w:t>
      </w:r>
      <w:proofErr w:type="spellEnd"/>
      <w:r>
        <w:rPr>
          <w:sz w:val="22"/>
          <w:szCs w:val="22"/>
        </w:rPr>
        <w:t xml:space="preserve"> 4. Cardiff: Welsh Government.</w:t>
      </w:r>
    </w:p>
    <w:p w14:paraId="7EA96414" w14:textId="77777777" w:rsidR="00FC66DF" w:rsidRDefault="00FC66DF" w:rsidP="00FC66DF">
      <w:pPr>
        <w:spacing w:after="120"/>
        <w:ind w:left="720" w:hanging="720"/>
      </w:pPr>
      <w:r>
        <w:rPr>
          <w:sz w:val="22"/>
          <w:szCs w:val="22"/>
        </w:rPr>
        <w:t xml:space="preserve">Welsh Government (2015) Well-being of Future Generations (Wales) Act 2015, </w:t>
      </w:r>
      <w:proofErr w:type="spellStart"/>
      <w:r>
        <w:rPr>
          <w:sz w:val="22"/>
          <w:szCs w:val="22"/>
        </w:rPr>
        <w:t>anaw</w:t>
      </w:r>
      <w:proofErr w:type="spellEnd"/>
      <w:r>
        <w:rPr>
          <w:sz w:val="22"/>
          <w:szCs w:val="22"/>
        </w:rPr>
        <w:t xml:space="preserve"> 2. Cardiff: Welsh Government.</w:t>
      </w:r>
    </w:p>
    <w:p w14:paraId="4371569D" w14:textId="77777777" w:rsidR="00FC66DF" w:rsidRDefault="00FC66DF" w:rsidP="00FC66DF">
      <w:pPr>
        <w:spacing w:after="120"/>
        <w:ind w:left="720" w:hanging="720"/>
      </w:pPr>
      <w:r>
        <w:rPr>
          <w:sz w:val="22"/>
          <w:szCs w:val="22"/>
        </w:rPr>
        <w:t>Welsh Government (2017) The Town and Country Planning (Environmental Impact Assessment) (Wales) Regulations 2017, SI 2017/567 (W.136). Cardiff: Welsh Government.</w:t>
      </w:r>
    </w:p>
    <w:p w14:paraId="6E14AEE8" w14:textId="77777777" w:rsidR="00FC66DF" w:rsidRDefault="00FC66DF" w:rsidP="00FC66DF">
      <w:pPr>
        <w:spacing w:after="120"/>
        <w:ind w:left="720" w:hanging="720"/>
      </w:pPr>
      <w:r>
        <w:rPr>
          <w:sz w:val="22"/>
          <w:szCs w:val="22"/>
        </w:rPr>
        <w:t>Welsh Government (2018) Planning Policy Wales (Edition 10). Cardiff: Welsh Government.</w:t>
      </w:r>
    </w:p>
    <w:p w14:paraId="2A86ED5F" w14:textId="77777777" w:rsidR="00FC66DF" w:rsidRDefault="00FC66DF" w:rsidP="00FC66DF">
      <w:pPr>
        <w:spacing w:after="120"/>
        <w:ind w:left="720" w:hanging="720"/>
      </w:pPr>
      <w:r>
        <w:rPr>
          <w:sz w:val="22"/>
          <w:szCs w:val="22"/>
        </w:rPr>
        <w:t xml:space="preserve">Wood, C. (2003) Environmental Impact Assessment: A Comparative Review. 2nd </w:t>
      </w:r>
      <w:proofErr w:type="spellStart"/>
      <w:proofErr w:type="gramStart"/>
      <w:r>
        <w:rPr>
          <w:sz w:val="22"/>
          <w:szCs w:val="22"/>
        </w:rPr>
        <w:t>edn</w:t>
      </w:r>
      <w:proofErr w:type="spellEnd"/>
      <w:proofErr w:type="gramEnd"/>
      <w:r>
        <w:rPr>
          <w:sz w:val="22"/>
          <w:szCs w:val="22"/>
        </w:rPr>
        <w:t>. Harlow: Pearson Education.</w:t>
      </w:r>
    </w:p>
    <w:p w14:paraId="154D2F5B" w14:textId="77777777" w:rsidR="00FC66DF" w:rsidRDefault="00FC66DF" w:rsidP="00FC66DF">
      <w:pPr>
        <w:spacing w:after="120"/>
        <w:ind w:left="720" w:hanging="720"/>
      </w:pPr>
      <w:r>
        <w:rPr>
          <w:sz w:val="22"/>
          <w:szCs w:val="22"/>
        </w:rPr>
        <w:t>Y Bryn Wind Farm (2023) Y Bryn Wind Farm Chapter 3: Approach to EIA. Available at: https://www.ybryn-windfarm.cymru</w:t>
      </w:r>
    </w:p>
    <w:p w14:paraId="642334BB" w14:textId="77777777" w:rsidR="00122DDF" w:rsidRPr="00FC66DF" w:rsidRDefault="00122DDF" w:rsidP="00FC66DF"/>
    <w:sectPr w:rsidR="00122DDF" w:rsidRPr="00FC66DF" w:rsidSect="0081011F">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5B6FF" w14:textId="77777777" w:rsidR="00586AC2" w:rsidRDefault="00586AC2">
      <w:pPr>
        <w:spacing w:line="240" w:lineRule="auto"/>
      </w:pPr>
      <w:r>
        <w:separator/>
      </w:r>
    </w:p>
  </w:endnote>
  <w:endnote w:type="continuationSeparator" w:id="0">
    <w:p w14:paraId="3B762543" w14:textId="77777777" w:rsidR="00586AC2" w:rsidRDefault="00586A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33D63" w14:textId="77777777" w:rsidR="0081011F" w:rsidRDefault="0081011F" w:rsidP="00EB25E1">
    <w:pPr>
      <w:pBdr>
        <w:top w:val="single" w:sz="1" w:space="1" w:color="CCCCCC"/>
      </w:pBdr>
      <w:jc w:val="center"/>
    </w:pPr>
    <w:r>
      <w:rPr>
        <w:color w:val="999999"/>
        <w:sz w:val="16"/>
        <w:szCs w:val="16"/>
      </w:rPr>
      <w:t xml:space="preserve"> </w:t>
    </w:r>
    <w:r>
      <w:rPr>
        <w:color w:val="999999"/>
        <w:sz w:val="16"/>
        <w:szCs w:val="16"/>
      </w:rPr>
      <w:fldChar w:fldCharType="begin"/>
    </w:r>
    <w:r>
      <w:rPr>
        <w:color w:val="999999"/>
        <w:sz w:val="16"/>
        <w:szCs w:val="16"/>
      </w:rPr>
      <w:instrText>PAGE</w:instrText>
    </w:r>
    <w:r>
      <w:rPr>
        <w:color w:val="999999"/>
        <w:sz w:val="16"/>
        <w:szCs w:val="16"/>
      </w:rPr>
      <w:fldChar w:fldCharType="separate"/>
    </w:r>
    <w:r>
      <w:rPr>
        <w:noProof/>
        <w:color w:val="999999"/>
        <w:sz w:val="16"/>
        <w:szCs w:val="16"/>
      </w:rPr>
      <w:t>2</w:t>
    </w:r>
    <w:r>
      <w:rPr>
        <w:color w:val="99999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F5B3" w14:textId="77777777" w:rsidR="00586AC2" w:rsidRDefault="00586AC2">
      <w:pPr>
        <w:spacing w:line="240" w:lineRule="auto"/>
      </w:pPr>
      <w:r>
        <w:separator/>
      </w:r>
    </w:p>
  </w:footnote>
  <w:footnote w:type="continuationSeparator" w:id="0">
    <w:p w14:paraId="62B715A8" w14:textId="77777777" w:rsidR="00586AC2" w:rsidRDefault="00586AC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1F8D3" w14:textId="6409E0D7" w:rsidR="0081011F" w:rsidRPr="00BB1FEF" w:rsidRDefault="00BB1FEF">
    <w:pPr>
      <w:jc w:val="right"/>
      <w:rPr>
        <w:lang w:val="en-GB"/>
      </w:rPr>
    </w:pPr>
    <w:r>
      <w:rPr>
        <w:i/>
        <w:iCs/>
        <w:color w:val="999999"/>
        <w:sz w:val="16"/>
        <w:szCs w:val="16"/>
        <w:lang w:val="en-GB"/>
      </w:rPr>
      <w:t>2511003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355221"/>
    <w:multiLevelType w:val="hybridMultilevel"/>
    <w:tmpl w:val="1118133E"/>
    <w:lvl w:ilvl="0" w:tplc="0809000F">
      <w:start w:val="1"/>
      <w:numFmt w:val="decimal"/>
      <w:lvlText w:val="%1."/>
      <w:lvlJc w:val="left"/>
      <w:pPr>
        <w:ind w:left="720" w:hanging="360"/>
      </w:p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5373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DB8"/>
    <w:rsid w:val="00084E07"/>
    <w:rsid w:val="000A4FAA"/>
    <w:rsid w:val="000B2F50"/>
    <w:rsid w:val="0010731A"/>
    <w:rsid w:val="00122DDF"/>
    <w:rsid w:val="002E2A5E"/>
    <w:rsid w:val="00301503"/>
    <w:rsid w:val="003D3349"/>
    <w:rsid w:val="00423F64"/>
    <w:rsid w:val="004C06F4"/>
    <w:rsid w:val="004C120D"/>
    <w:rsid w:val="004C227F"/>
    <w:rsid w:val="00586AC2"/>
    <w:rsid w:val="006F4722"/>
    <w:rsid w:val="00737F80"/>
    <w:rsid w:val="007D7B40"/>
    <w:rsid w:val="007E1911"/>
    <w:rsid w:val="0081011F"/>
    <w:rsid w:val="00852D19"/>
    <w:rsid w:val="008973EB"/>
    <w:rsid w:val="008A3AB6"/>
    <w:rsid w:val="008E4FB2"/>
    <w:rsid w:val="009E22B3"/>
    <w:rsid w:val="009E26A4"/>
    <w:rsid w:val="00A41DB8"/>
    <w:rsid w:val="00A5251F"/>
    <w:rsid w:val="00A955B7"/>
    <w:rsid w:val="00AD4543"/>
    <w:rsid w:val="00B24B60"/>
    <w:rsid w:val="00B35B0F"/>
    <w:rsid w:val="00B7266E"/>
    <w:rsid w:val="00BB1FEF"/>
    <w:rsid w:val="00C33637"/>
    <w:rsid w:val="00CB2251"/>
    <w:rsid w:val="00D15B11"/>
    <w:rsid w:val="00D20892"/>
    <w:rsid w:val="00DE0365"/>
    <w:rsid w:val="00DF1B61"/>
    <w:rsid w:val="00DF72D4"/>
    <w:rsid w:val="00E7032C"/>
    <w:rsid w:val="00EE5146"/>
    <w:rsid w:val="00F8543E"/>
    <w:rsid w:val="00FC66D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459E1"/>
  <w15:chartTrackingRefBased/>
  <w15:docId w15:val="{4696E797-4859-45D2-A41F-246DFF707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2DDF"/>
    <w:pPr>
      <w:spacing w:after="0" w:line="360" w:lineRule="auto"/>
      <w:jc w:val="both"/>
    </w:pPr>
    <w:rPr>
      <w:rFonts w:ascii="Times New Roman" w:eastAsia="Times New Roman" w:hAnsi="Times New Roman" w:cs="Times New Roman"/>
      <w:kern w:val="0"/>
      <w:lang w:val="en-US"/>
      <w14:ligatures w14:val="none"/>
    </w:rPr>
  </w:style>
  <w:style w:type="paragraph" w:styleId="Heading1">
    <w:name w:val="heading 1"/>
    <w:basedOn w:val="Normal"/>
    <w:next w:val="Normal"/>
    <w:link w:val="Heading1Char"/>
    <w:uiPriority w:val="9"/>
    <w:qFormat/>
    <w:rsid w:val="00A41DB8"/>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en-IN"/>
      <w14:ligatures w14:val="standardContextual"/>
    </w:rPr>
  </w:style>
  <w:style w:type="paragraph" w:styleId="Heading2">
    <w:name w:val="heading 2"/>
    <w:basedOn w:val="Normal"/>
    <w:next w:val="Normal"/>
    <w:link w:val="Heading2Char"/>
    <w:uiPriority w:val="9"/>
    <w:unhideWhenUsed/>
    <w:qFormat/>
    <w:rsid w:val="00A41DB8"/>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en-IN"/>
      <w14:ligatures w14:val="standardContextual"/>
    </w:rPr>
  </w:style>
  <w:style w:type="paragraph" w:styleId="Heading3">
    <w:name w:val="heading 3"/>
    <w:basedOn w:val="Normal"/>
    <w:next w:val="Normal"/>
    <w:link w:val="Heading3Char"/>
    <w:uiPriority w:val="9"/>
    <w:semiHidden/>
    <w:unhideWhenUsed/>
    <w:qFormat/>
    <w:rsid w:val="00A41DB8"/>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en-IN"/>
      <w14:ligatures w14:val="standardContextual"/>
    </w:rPr>
  </w:style>
  <w:style w:type="paragraph" w:styleId="Heading4">
    <w:name w:val="heading 4"/>
    <w:basedOn w:val="Normal"/>
    <w:next w:val="Normal"/>
    <w:link w:val="Heading4Char"/>
    <w:uiPriority w:val="9"/>
    <w:unhideWhenUsed/>
    <w:qFormat/>
    <w:rsid w:val="00A41DB8"/>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lang w:val="en-IN"/>
      <w14:ligatures w14:val="standardContextual"/>
    </w:rPr>
  </w:style>
  <w:style w:type="paragraph" w:styleId="Heading5">
    <w:name w:val="heading 5"/>
    <w:basedOn w:val="Normal"/>
    <w:next w:val="Normal"/>
    <w:link w:val="Heading5Char"/>
    <w:uiPriority w:val="9"/>
    <w:semiHidden/>
    <w:unhideWhenUsed/>
    <w:qFormat/>
    <w:rsid w:val="00A41DB8"/>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lang w:val="en-IN"/>
      <w14:ligatures w14:val="standardContextual"/>
    </w:rPr>
  </w:style>
  <w:style w:type="paragraph" w:styleId="Heading6">
    <w:name w:val="heading 6"/>
    <w:basedOn w:val="Normal"/>
    <w:next w:val="Normal"/>
    <w:link w:val="Heading6Char"/>
    <w:uiPriority w:val="9"/>
    <w:semiHidden/>
    <w:unhideWhenUsed/>
    <w:qFormat/>
    <w:rsid w:val="00A41DB8"/>
    <w:pPr>
      <w:keepNext/>
      <w:keepLines/>
      <w:spacing w:before="40" w:line="278" w:lineRule="auto"/>
      <w:jc w:val="left"/>
      <w:outlineLvl w:val="5"/>
    </w:pPr>
    <w:rPr>
      <w:rFonts w:asciiTheme="minorHAnsi" w:eastAsiaTheme="majorEastAsia" w:hAnsiTheme="minorHAnsi" w:cstheme="majorBidi"/>
      <w:i/>
      <w:iCs/>
      <w:color w:val="595959" w:themeColor="text1" w:themeTint="A6"/>
      <w:kern w:val="2"/>
      <w:lang w:val="en-IN"/>
      <w14:ligatures w14:val="standardContextual"/>
    </w:rPr>
  </w:style>
  <w:style w:type="paragraph" w:styleId="Heading7">
    <w:name w:val="heading 7"/>
    <w:basedOn w:val="Normal"/>
    <w:next w:val="Normal"/>
    <w:link w:val="Heading7Char"/>
    <w:uiPriority w:val="9"/>
    <w:semiHidden/>
    <w:unhideWhenUsed/>
    <w:qFormat/>
    <w:rsid w:val="00A41DB8"/>
    <w:pPr>
      <w:keepNext/>
      <w:keepLines/>
      <w:spacing w:before="40" w:line="278" w:lineRule="auto"/>
      <w:jc w:val="left"/>
      <w:outlineLvl w:val="6"/>
    </w:pPr>
    <w:rPr>
      <w:rFonts w:asciiTheme="minorHAnsi" w:eastAsiaTheme="majorEastAsia" w:hAnsiTheme="minorHAnsi" w:cstheme="majorBidi"/>
      <w:color w:val="595959" w:themeColor="text1" w:themeTint="A6"/>
      <w:kern w:val="2"/>
      <w:lang w:val="en-IN"/>
      <w14:ligatures w14:val="standardContextual"/>
    </w:rPr>
  </w:style>
  <w:style w:type="paragraph" w:styleId="Heading8">
    <w:name w:val="heading 8"/>
    <w:basedOn w:val="Normal"/>
    <w:next w:val="Normal"/>
    <w:link w:val="Heading8Char"/>
    <w:uiPriority w:val="9"/>
    <w:semiHidden/>
    <w:unhideWhenUsed/>
    <w:qFormat/>
    <w:rsid w:val="00A41DB8"/>
    <w:pPr>
      <w:keepNext/>
      <w:keepLines/>
      <w:spacing w:line="278" w:lineRule="auto"/>
      <w:jc w:val="left"/>
      <w:outlineLvl w:val="7"/>
    </w:pPr>
    <w:rPr>
      <w:rFonts w:asciiTheme="minorHAnsi" w:eastAsiaTheme="majorEastAsia" w:hAnsiTheme="minorHAnsi" w:cstheme="majorBidi"/>
      <w:i/>
      <w:iCs/>
      <w:color w:val="272727" w:themeColor="text1" w:themeTint="D8"/>
      <w:kern w:val="2"/>
      <w:lang w:val="en-IN"/>
      <w14:ligatures w14:val="standardContextual"/>
    </w:rPr>
  </w:style>
  <w:style w:type="paragraph" w:styleId="Heading9">
    <w:name w:val="heading 9"/>
    <w:basedOn w:val="Normal"/>
    <w:next w:val="Normal"/>
    <w:link w:val="Heading9Char"/>
    <w:uiPriority w:val="9"/>
    <w:semiHidden/>
    <w:unhideWhenUsed/>
    <w:qFormat/>
    <w:rsid w:val="00A41DB8"/>
    <w:pPr>
      <w:keepNext/>
      <w:keepLines/>
      <w:spacing w:line="278" w:lineRule="auto"/>
      <w:jc w:val="left"/>
      <w:outlineLvl w:val="8"/>
    </w:pPr>
    <w:rPr>
      <w:rFonts w:asciiTheme="minorHAnsi" w:eastAsiaTheme="majorEastAsia" w:hAnsiTheme="minorHAnsi" w:cstheme="majorBidi"/>
      <w:color w:val="272727" w:themeColor="text1" w:themeTint="D8"/>
      <w:kern w:val="2"/>
      <w:lang w:val="en-I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1D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41D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41D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A41D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D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D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D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D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DB8"/>
    <w:rPr>
      <w:rFonts w:eastAsiaTheme="majorEastAsia" w:cstheme="majorBidi"/>
      <w:color w:val="272727" w:themeColor="text1" w:themeTint="D8"/>
    </w:rPr>
  </w:style>
  <w:style w:type="paragraph" w:styleId="Title">
    <w:name w:val="Title"/>
    <w:basedOn w:val="Normal"/>
    <w:next w:val="Normal"/>
    <w:link w:val="TitleChar"/>
    <w:uiPriority w:val="10"/>
    <w:qFormat/>
    <w:rsid w:val="00A41DB8"/>
    <w:pPr>
      <w:spacing w:after="80" w:line="240" w:lineRule="auto"/>
      <w:contextualSpacing/>
      <w:jc w:val="left"/>
    </w:pPr>
    <w:rPr>
      <w:rFonts w:asciiTheme="majorHAnsi" w:eastAsiaTheme="majorEastAsia" w:hAnsiTheme="majorHAnsi" w:cstheme="majorBidi"/>
      <w:spacing w:val="-10"/>
      <w:kern w:val="28"/>
      <w:sz w:val="56"/>
      <w:szCs w:val="56"/>
      <w:lang w:val="en-IN"/>
      <w14:ligatures w14:val="standardContextual"/>
    </w:rPr>
  </w:style>
  <w:style w:type="character" w:customStyle="1" w:styleId="TitleChar">
    <w:name w:val="Title Char"/>
    <w:basedOn w:val="DefaultParagraphFont"/>
    <w:link w:val="Title"/>
    <w:uiPriority w:val="10"/>
    <w:rsid w:val="00A41D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DB8"/>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en-IN"/>
      <w14:ligatures w14:val="standardContextual"/>
    </w:rPr>
  </w:style>
  <w:style w:type="character" w:customStyle="1" w:styleId="SubtitleChar">
    <w:name w:val="Subtitle Char"/>
    <w:basedOn w:val="DefaultParagraphFont"/>
    <w:link w:val="Subtitle"/>
    <w:uiPriority w:val="11"/>
    <w:rsid w:val="00A41D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DB8"/>
    <w:pPr>
      <w:spacing w:before="160" w:after="160" w:line="278" w:lineRule="auto"/>
      <w:jc w:val="center"/>
    </w:pPr>
    <w:rPr>
      <w:rFonts w:asciiTheme="minorHAnsi" w:eastAsiaTheme="minorHAnsi" w:hAnsiTheme="minorHAnsi" w:cstheme="minorBidi"/>
      <w:i/>
      <w:iCs/>
      <w:color w:val="404040" w:themeColor="text1" w:themeTint="BF"/>
      <w:kern w:val="2"/>
      <w:lang w:val="en-IN"/>
      <w14:ligatures w14:val="standardContextual"/>
    </w:rPr>
  </w:style>
  <w:style w:type="character" w:customStyle="1" w:styleId="QuoteChar">
    <w:name w:val="Quote Char"/>
    <w:basedOn w:val="DefaultParagraphFont"/>
    <w:link w:val="Quote"/>
    <w:uiPriority w:val="29"/>
    <w:rsid w:val="00A41DB8"/>
    <w:rPr>
      <w:i/>
      <w:iCs/>
      <w:color w:val="404040" w:themeColor="text1" w:themeTint="BF"/>
    </w:rPr>
  </w:style>
  <w:style w:type="paragraph" w:styleId="ListParagraph">
    <w:name w:val="List Paragraph"/>
    <w:basedOn w:val="Normal"/>
    <w:uiPriority w:val="34"/>
    <w:qFormat/>
    <w:rsid w:val="00A41DB8"/>
    <w:pPr>
      <w:spacing w:after="160" w:line="278" w:lineRule="auto"/>
      <w:ind w:left="720"/>
      <w:contextualSpacing/>
      <w:jc w:val="left"/>
    </w:pPr>
    <w:rPr>
      <w:rFonts w:asciiTheme="minorHAnsi" w:eastAsiaTheme="minorHAnsi" w:hAnsiTheme="minorHAnsi" w:cstheme="minorBidi"/>
      <w:kern w:val="2"/>
      <w:lang w:val="en-IN"/>
      <w14:ligatures w14:val="standardContextual"/>
    </w:rPr>
  </w:style>
  <w:style w:type="character" w:styleId="IntenseEmphasis">
    <w:name w:val="Intense Emphasis"/>
    <w:basedOn w:val="DefaultParagraphFont"/>
    <w:uiPriority w:val="21"/>
    <w:qFormat/>
    <w:rsid w:val="00A41DB8"/>
    <w:rPr>
      <w:i/>
      <w:iCs/>
      <w:color w:val="0F4761" w:themeColor="accent1" w:themeShade="BF"/>
    </w:rPr>
  </w:style>
  <w:style w:type="paragraph" w:styleId="IntenseQuote">
    <w:name w:val="Intense Quote"/>
    <w:basedOn w:val="Normal"/>
    <w:next w:val="Normal"/>
    <w:link w:val="IntenseQuoteChar"/>
    <w:uiPriority w:val="30"/>
    <w:qFormat/>
    <w:rsid w:val="00A41DB8"/>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IN"/>
      <w14:ligatures w14:val="standardContextual"/>
    </w:rPr>
  </w:style>
  <w:style w:type="character" w:customStyle="1" w:styleId="IntenseQuoteChar">
    <w:name w:val="Intense Quote Char"/>
    <w:basedOn w:val="DefaultParagraphFont"/>
    <w:link w:val="IntenseQuote"/>
    <w:uiPriority w:val="30"/>
    <w:rsid w:val="00A41DB8"/>
    <w:rPr>
      <w:i/>
      <w:iCs/>
      <w:color w:val="0F4761" w:themeColor="accent1" w:themeShade="BF"/>
    </w:rPr>
  </w:style>
  <w:style w:type="character" w:styleId="IntenseReference">
    <w:name w:val="Intense Reference"/>
    <w:basedOn w:val="DefaultParagraphFont"/>
    <w:uiPriority w:val="32"/>
    <w:qFormat/>
    <w:rsid w:val="00A41DB8"/>
    <w:rPr>
      <w:b/>
      <w:bCs/>
      <w:smallCaps/>
      <w:color w:val="0F4761" w:themeColor="accent1" w:themeShade="BF"/>
      <w:spacing w:val="5"/>
    </w:rPr>
  </w:style>
  <w:style w:type="paragraph" w:customStyle="1" w:styleId="Normal1">
    <w:name w:val="Normal1"/>
    <w:rsid w:val="00122DDF"/>
    <w:pPr>
      <w:spacing w:after="0" w:line="360" w:lineRule="auto"/>
      <w:jc w:val="both"/>
    </w:pPr>
    <w:rPr>
      <w:rFonts w:ascii="Times New Roman" w:eastAsia="Times New Roman" w:hAnsi="Times New Roman" w:cs="Times New Roman"/>
      <w:kern w:val="0"/>
      <w:lang w:val="en-US"/>
      <w14:ligatures w14:val="none"/>
    </w:rPr>
  </w:style>
  <w:style w:type="paragraph" w:styleId="TOCHeading">
    <w:name w:val="TOC Heading"/>
    <w:basedOn w:val="Heading1"/>
    <w:next w:val="Normal"/>
    <w:uiPriority w:val="39"/>
    <w:semiHidden/>
    <w:unhideWhenUsed/>
    <w:qFormat/>
    <w:rsid w:val="00122DDF"/>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122DDF"/>
    <w:pPr>
      <w:spacing w:after="100"/>
    </w:pPr>
  </w:style>
  <w:style w:type="character" w:styleId="Hyperlink">
    <w:name w:val="Hyperlink"/>
    <w:basedOn w:val="DefaultParagraphFont"/>
    <w:uiPriority w:val="99"/>
    <w:unhideWhenUsed/>
    <w:rsid w:val="00122DDF"/>
    <w:rPr>
      <w:color w:val="467886" w:themeColor="hyperlink"/>
      <w:u w:val="single"/>
    </w:rPr>
  </w:style>
  <w:style w:type="paragraph" w:styleId="TableofFigures">
    <w:name w:val="table of figures"/>
    <w:basedOn w:val="Normal"/>
    <w:next w:val="Normal"/>
    <w:uiPriority w:val="99"/>
    <w:unhideWhenUsed/>
    <w:rsid w:val="00122DDF"/>
  </w:style>
  <w:style w:type="character" w:styleId="FollowedHyperlink">
    <w:name w:val="FollowedHyperlink"/>
    <w:basedOn w:val="DefaultParagraphFont"/>
    <w:uiPriority w:val="99"/>
    <w:semiHidden/>
    <w:unhideWhenUsed/>
    <w:rsid w:val="00122DDF"/>
    <w:rPr>
      <w:color w:val="96607D" w:themeColor="followedHyperlink"/>
      <w:u w:val="single"/>
    </w:rPr>
  </w:style>
  <w:style w:type="character" w:styleId="UnresolvedMention">
    <w:name w:val="Unresolved Mention"/>
    <w:basedOn w:val="DefaultParagraphFont"/>
    <w:uiPriority w:val="99"/>
    <w:semiHidden/>
    <w:unhideWhenUsed/>
    <w:rsid w:val="00122DDF"/>
    <w:rPr>
      <w:color w:val="605E5C"/>
      <w:shd w:val="clear" w:color="auto" w:fill="E1DFDD"/>
    </w:rPr>
  </w:style>
  <w:style w:type="character" w:styleId="Emphasis">
    <w:name w:val="Emphasis"/>
    <w:basedOn w:val="DefaultParagraphFont"/>
    <w:uiPriority w:val="20"/>
    <w:qFormat/>
    <w:rsid w:val="00E7032C"/>
    <w:rPr>
      <w:i/>
      <w:iCs/>
    </w:rPr>
  </w:style>
  <w:style w:type="paragraph" w:customStyle="1" w:styleId="font-claude-response-body">
    <w:name w:val="font-claude-response-body"/>
    <w:basedOn w:val="Normal"/>
    <w:rsid w:val="00E7032C"/>
    <w:pPr>
      <w:spacing w:before="100" w:beforeAutospacing="1" w:after="100" w:afterAutospacing="1" w:line="240" w:lineRule="auto"/>
      <w:jc w:val="left"/>
    </w:pPr>
    <w:rPr>
      <w:lang w:val="en-GB" w:eastAsia="en-GB"/>
    </w:rPr>
  </w:style>
  <w:style w:type="paragraph" w:styleId="NormalWeb">
    <w:name w:val="Normal (Web)"/>
    <w:basedOn w:val="Normal"/>
    <w:uiPriority w:val="99"/>
    <w:unhideWhenUsed/>
    <w:rsid w:val="00E7032C"/>
    <w:pPr>
      <w:spacing w:before="100" w:beforeAutospacing="1" w:after="100" w:afterAutospacing="1" w:line="240" w:lineRule="auto"/>
      <w:jc w:val="left"/>
    </w:pPr>
    <w:rPr>
      <w:lang w:val="en-GB" w:eastAsia="en-GB"/>
    </w:rPr>
  </w:style>
  <w:style w:type="table" w:styleId="TableGrid">
    <w:name w:val="Table Grid"/>
    <w:basedOn w:val="TableNormal"/>
    <w:uiPriority w:val="39"/>
    <w:rsid w:val="00CB22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B1FEF"/>
    <w:pPr>
      <w:tabs>
        <w:tab w:val="center" w:pos="4513"/>
        <w:tab w:val="right" w:pos="9026"/>
      </w:tabs>
      <w:spacing w:line="240" w:lineRule="auto"/>
    </w:pPr>
  </w:style>
  <w:style w:type="character" w:customStyle="1" w:styleId="HeaderChar">
    <w:name w:val="Header Char"/>
    <w:basedOn w:val="DefaultParagraphFont"/>
    <w:link w:val="Header"/>
    <w:uiPriority w:val="99"/>
    <w:rsid w:val="00BB1FEF"/>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BB1FEF"/>
    <w:pPr>
      <w:tabs>
        <w:tab w:val="center" w:pos="4513"/>
        <w:tab w:val="right" w:pos="9026"/>
      </w:tabs>
      <w:spacing w:line="240" w:lineRule="auto"/>
    </w:pPr>
  </w:style>
  <w:style w:type="character" w:customStyle="1" w:styleId="FooterChar">
    <w:name w:val="Footer Char"/>
    <w:basedOn w:val="DefaultParagraphFont"/>
    <w:link w:val="Footer"/>
    <w:uiPriority w:val="99"/>
    <w:rsid w:val="00BB1FEF"/>
    <w:rPr>
      <w:rFonts w:ascii="Times New Roman" w:eastAsia="Times New Roman" w:hAnsi="Times New Roman" w:cs="Times New Roman"/>
      <w:kern w:val="0"/>
      <w:lang w:val="en-US"/>
      <w14:ligatures w14:val="none"/>
    </w:rPr>
  </w:style>
  <w:style w:type="table" w:styleId="PlainTable2">
    <w:name w:val="Plain Table 2"/>
    <w:basedOn w:val="TableNormal"/>
    <w:uiPriority w:val="42"/>
    <w:rsid w:val="00FC66DF"/>
    <w:pPr>
      <w:spacing w:after="0" w:line="240" w:lineRule="auto"/>
    </w:pPr>
    <w:rPr>
      <w:rFonts w:ascii="Times New Roman" w:eastAsia="Times New Roman" w:hAnsi="Times New Roman" w:cs="Times New Roman"/>
      <w:kern w:val="0"/>
      <w:sz w:val="20"/>
      <w:szCs w:val="20"/>
      <w:lang w:val="en-GB" w:eastAsia="en-GB"/>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B53ED-3970-4AC9-8F9C-959082E7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3375</Words>
  <Characters>19241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Nikhil Rai (2511003)</dc:creator>
  <cp:keywords/>
  <dc:description/>
  <cp:lastModifiedBy>Nikhil Rai (2511003)</cp:lastModifiedBy>
  <cp:revision>2</cp:revision>
  <dcterms:created xsi:type="dcterms:W3CDTF">2026-04-24T13:19:00Z</dcterms:created>
  <dcterms:modified xsi:type="dcterms:W3CDTF">2026-04-24T13:19:00Z</dcterms:modified>
</cp:coreProperties>
</file>