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99EFB4" w14:textId="7A8DD8CD" w:rsidR="00D5139D" w:rsidRPr="003A2B08" w:rsidRDefault="00D5139D" w:rsidP="003A2B08">
      <w:pPr>
        <w:spacing w:line="480" w:lineRule="auto"/>
        <w:jc w:val="center"/>
        <w:outlineLvl w:val="0"/>
        <w:rPr>
          <w:rFonts w:ascii="Calibri" w:hAnsi="Calibri"/>
          <w:color w:val="000000" w:themeColor="text1"/>
          <w:lang w:val="en-CA"/>
        </w:rPr>
      </w:pPr>
      <w:r w:rsidRPr="003A2B08">
        <w:rPr>
          <w:rFonts w:ascii="Calibri" w:hAnsi="Calibri"/>
          <w:color w:val="000000" w:themeColor="text1"/>
          <w:lang w:val="en-CA"/>
        </w:rPr>
        <w:t>Hans Memling’s Saint John’s Al</w:t>
      </w:r>
      <w:r w:rsidR="001045B1" w:rsidRPr="003A2B08">
        <w:rPr>
          <w:rFonts w:ascii="Calibri" w:hAnsi="Calibri"/>
          <w:color w:val="000000" w:themeColor="text1"/>
          <w:lang w:val="en-CA"/>
        </w:rPr>
        <w:t>tarpiece: John’s Vision of The A</w:t>
      </w:r>
      <w:r w:rsidRPr="003A2B08">
        <w:rPr>
          <w:rFonts w:ascii="Calibri" w:hAnsi="Calibri"/>
          <w:color w:val="000000" w:themeColor="text1"/>
          <w:lang w:val="en-CA"/>
        </w:rPr>
        <w:t>pocalypse</w:t>
      </w:r>
    </w:p>
    <w:p w14:paraId="2893BCA1" w14:textId="11154FD6" w:rsidR="00985027" w:rsidRPr="003A2B08" w:rsidRDefault="003A2B08" w:rsidP="003A2B08">
      <w:pPr>
        <w:spacing w:line="480" w:lineRule="auto"/>
        <w:jc w:val="center"/>
        <w:outlineLvl w:val="0"/>
        <w:rPr>
          <w:rFonts w:ascii="Calibri" w:hAnsi="Calibri"/>
          <w:color w:val="000000" w:themeColor="text1"/>
          <w:lang w:val="en-CA"/>
        </w:rPr>
      </w:pPr>
      <w:r w:rsidRPr="003A2B08">
        <w:rPr>
          <w:rFonts w:ascii="Calibri" w:hAnsi="Calibri"/>
          <w:color w:val="000000" w:themeColor="text1"/>
          <w:lang w:val="en-CA"/>
        </w:rPr>
        <w:t xml:space="preserve">Bryce </w:t>
      </w:r>
      <w:proofErr w:type="spellStart"/>
      <w:r w:rsidRPr="003A2B08">
        <w:rPr>
          <w:rFonts w:ascii="Calibri" w:hAnsi="Calibri"/>
          <w:color w:val="000000" w:themeColor="text1"/>
          <w:lang w:val="en-CA"/>
        </w:rPr>
        <w:t>Aszody</w:t>
      </w:r>
      <w:proofErr w:type="spellEnd"/>
      <w:r w:rsidRPr="003A2B08">
        <w:rPr>
          <w:rFonts w:ascii="Calibri" w:hAnsi="Calibri"/>
          <w:color w:val="000000" w:themeColor="text1"/>
          <w:lang w:val="en-CA"/>
        </w:rPr>
        <w:t>-Robinson</w:t>
      </w:r>
    </w:p>
    <w:p w14:paraId="2EC33001" w14:textId="77777777" w:rsidR="003A2B08" w:rsidRPr="00985027" w:rsidRDefault="003A2B08" w:rsidP="003A2B08">
      <w:pPr>
        <w:spacing w:line="480" w:lineRule="auto"/>
        <w:jc w:val="center"/>
        <w:outlineLvl w:val="0"/>
        <w:rPr>
          <w:rFonts w:ascii="Calibri" w:hAnsi="Calibri"/>
          <w:color w:val="FF0000"/>
          <w:lang w:val="en-CA"/>
        </w:rPr>
      </w:pPr>
    </w:p>
    <w:p w14:paraId="3CD57F23" w14:textId="7547E770" w:rsidR="00490763" w:rsidRPr="00255803" w:rsidRDefault="00D5139D" w:rsidP="00A8285D">
      <w:pPr>
        <w:spacing w:line="480" w:lineRule="auto"/>
        <w:rPr>
          <w:rFonts w:ascii="Calibri" w:hAnsi="Calibri"/>
          <w:lang w:val="en-CA"/>
        </w:rPr>
      </w:pPr>
      <w:r w:rsidRPr="00255803">
        <w:rPr>
          <w:rFonts w:ascii="Calibri" w:hAnsi="Calibri"/>
          <w:lang w:val="en-CA"/>
        </w:rPr>
        <w:tab/>
        <w:t xml:space="preserve">Hans </w:t>
      </w:r>
      <w:r w:rsidR="000B15CD">
        <w:rPr>
          <w:rFonts w:ascii="Calibri" w:hAnsi="Calibri"/>
          <w:lang w:val="en-CA"/>
        </w:rPr>
        <w:t>Memling’s S</w:t>
      </w:r>
      <w:r w:rsidR="001E1C82" w:rsidRPr="00255803">
        <w:rPr>
          <w:rFonts w:ascii="Calibri" w:hAnsi="Calibri"/>
          <w:lang w:val="en-CA"/>
        </w:rPr>
        <w:t>t</w:t>
      </w:r>
      <w:r w:rsidR="000B15CD">
        <w:rPr>
          <w:rFonts w:ascii="Calibri" w:hAnsi="Calibri"/>
          <w:lang w:val="en-CA"/>
        </w:rPr>
        <w:t>.</w:t>
      </w:r>
      <w:r w:rsidR="00BE4758" w:rsidRPr="00255803">
        <w:rPr>
          <w:rFonts w:ascii="Calibri" w:hAnsi="Calibri"/>
          <w:lang w:val="en-CA"/>
        </w:rPr>
        <w:t xml:space="preserve"> John’s Altarpiece</w:t>
      </w:r>
      <w:r w:rsidR="00832107" w:rsidRPr="00255803">
        <w:rPr>
          <w:rFonts w:ascii="Calibri" w:hAnsi="Calibri"/>
          <w:lang w:val="en-CA"/>
        </w:rPr>
        <w:t>,</w:t>
      </w:r>
      <w:r w:rsidR="003E384F">
        <w:rPr>
          <w:rFonts w:ascii="Calibri" w:hAnsi="Calibri"/>
          <w:lang w:val="en-CA"/>
        </w:rPr>
        <w:t xml:space="preserve"> particularly the </w:t>
      </w:r>
      <w:r w:rsidR="00930BBD">
        <w:rPr>
          <w:rFonts w:ascii="Calibri" w:hAnsi="Calibri"/>
          <w:lang w:val="en-CA"/>
        </w:rPr>
        <w:t>Apocalypse</w:t>
      </w:r>
      <w:r w:rsidR="003E384F">
        <w:rPr>
          <w:rFonts w:ascii="Calibri" w:hAnsi="Calibri"/>
          <w:lang w:val="en-CA"/>
        </w:rPr>
        <w:t xml:space="preserve"> panel</w:t>
      </w:r>
      <w:r w:rsidR="00832107" w:rsidRPr="00255803">
        <w:rPr>
          <w:rFonts w:ascii="Calibri" w:hAnsi="Calibri"/>
          <w:lang w:val="en-CA"/>
        </w:rPr>
        <w:t xml:space="preserve"> completed in 1479 for the</w:t>
      </w:r>
      <w:r w:rsidR="00BE4758" w:rsidRPr="00255803">
        <w:rPr>
          <w:rFonts w:ascii="Calibri" w:hAnsi="Calibri"/>
          <w:lang w:val="en-CA"/>
        </w:rPr>
        <w:t xml:space="preserve"> Saint John’s hospital in Bruges</w:t>
      </w:r>
      <w:r w:rsidR="00930BBD">
        <w:rPr>
          <w:rFonts w:ascii="Calibri" w:hAnsi="Calibri"/>
          <w:lang w:val="en-CA"/>
        </w:rPr>
        <w:t>,</w:t>
      </w:r>
      <w:r w:rsidR="00BE4758" w:rsidRPr="00255803">
        <w:rPr>
          <w:rFonts w:ascii="Calibri" w:hAnsi="Calibri"/>
          <w:lang w:val="en-CA"/>
        </w:rPr>
        <w:t xml:space="preserve"> </w:t>
      </w:r>
      <w:r w:rsidR="00A93D38" w:rsidRPr="00A93D38">
        <w:rPr>
          <w:rFonts w:ascii="Calibri" w:hAnsi="Calibri"/>
          <w:lang w:val="en-CA"/>
        </w:rPr>
        <w:t xml:space="preserve">may </w:t>
      </w:r>
      <w:r w:rsidR="00A93D38">
        <w:rPr>
          <w:rFonts w:ascii="Calibri" w:hAnsi="Calibri"/>
          <w:lang w:val="en-CA"/>
        </w:rPr>
        <w:t>evoke</w:t>
      </w:r>
      <w:r w:rsidR="00DF5F6D" w:rsidRPr="00255803">
        <w:rPr>
          <w:rFonts w:ascii="Calibri" w:hAnsi="Calibri"/>
          <w:lang w:val="en-CA"/>
        </w:rPr>
        <w:t xml:space="preserve"> the traditional s</w:t>
      </w:r>
      <w:r w:rsidR="00A93D38">
        <w:rPr>
          <w:rFonts w:ascii="Calibri" w:hAnsi="Calibri"/>
          <w:lang w:val="en-CA"/>
        </w:rPr>
        <w:t>tory of the Book of Revelations but it also</w:t>
      </w:r>
      <w:r w:rsidR="00C12441">
        <w:rPr>
          <w:rFonts w:ascii="Calibri" w:hAnsi="Calibri"/>
          <w:lang w:val="en-CA"/>
        </w:rPr>
        <w:t xml:space="preserve"> sets new trends that break</w:t>
      </w:r>
      <w:r w:rsidR="00DF5F6D" w:rsidRPr="00255803">
        <w:rPr>
          <w:rFonts w:ascii="Calibri" w:hAnsi="Calibri"/>
          <w:lang w:val="en-CA"/>
        </w:rPr>
        <w:t xml:space="preserve"> away from the traditional portrayal of the </w:t>
      </w:r>
      <w:r w:rsidR="00255803" w:rsidRPr="00255803">
        <w:rPr>
          <w:rFonts w:ascii="Calibri" w:hAnsi="Calibri"/>
          <w:lang w:val="en-CA"/>
        </w:rPr>
        <w:t>A</w:t>
      </w:r>
      <w:r w:rsidR="00DF5F6D" w:rsidRPr="00255803">
        <w:rPr>
          <w:rFonts w:ascii="Calibri" w:hAnsi="Calibri"/>
          <w:lang w:val="en-CA"/>
        </w:rPr>
        <w:t xml:space="preserve">pocalypse. </w:t>
      </w:r>
      <w:r w:rsidR="00A93D38">
        <w:rPr>
          <w:rFonts w:ascii="Calibri" w:hAnsi="Calibri"/>
          <w:lang w:val="en-CA"/>
        </w:rPr>
        <w:t>This triptych</w:t>
      </w:r>
      <w:r w:rsidR="00C12441">
        <w:rPr>
          <w:rFonts w:ascii="Calibri" w:hAnsi="Calibri"/>
          <w:lang w:val="en-CA"/>
        </w:rPr>
        <w:t xml:space="preserve"> is</w:t>
      </w:r>
      <w:r w:rsidR="00832107" w:rsidRPr="00255803">
        <w:rPr>
          <w:rFonts w:ascii="Calibri" w:hAnsi="Calibri"/>
          <w:lang w:val="en-CA"/>
        </w:rPr>
        <w:t xml:space="preserve"> regarded as a masterpiece of the Forgotten Period, </w:t>
      </w:r>
      <w:r w:rsidR="00C12441">
        <w:rPr>
          <w:rFonts w:ascii="Calibri" w:hAnsi="Calibri"/>
          <w:lang w:val="en-CA"/>
        </w:rPr>
        <w:t xml:space="preserve">during </w:t>
      </w:r>
      <w:r w:rsidR="00DA4DF5" w:rsidRPr="00255803">
        <w:rPr>
          <w:rFonts w:ascii="Calibri" w:hAnsi="Calibri"/>
          <w:lang w:val="en-CA"/>
        </w:rPr>
        <w:t xml:space="preserve">which artists such as Hans Memling (1430/1494), Gerard David (d. 1523), and Pieter </w:t>
      </w:r>
      <w:proofErr w:type="spellStart"/>
      <w:r w:rsidR="00DA4DF5" w:rsidRPr="00255803">
        <w:rPr>
          <w:rFonts w:ascii="Calibri" w:hAnsi="Calibri"/>
          <w:lang w:val="en-CA"/>
        </w:rPr>
        <w:t>Pourbus</w:t>
      </w:r>
      <w:proofErr w:type="spellEnd"/>
      <w:r w:rsidR="00DA4DF5" w:rsidRPr="00255803">
        <w:rPr>
          <w:rFonts w:ascii="Calibri" w:hAnsi="Calibri"/>
          <w:lang w:val="en-CA"/>
        </w:rPr>
        <w:t xml:space="preserve"> (1510-1584) broke away</w:t>
      </w:r>
      <w:r w:rsidR="00A93D38">
        <w:rPr>
          <w:rFonts w:ascii="Calibri" w:hAnsi="Calibri"/>
          <w:lang w:val="en-CA"/>
        </w:rPr>
        <w:t xml:space="preserve"> from</w:t>
      </w:r>
      <w:r w:rsidR="00EF2066">
        <w:rPr>
          <w:rFonts w:ascii="Calibri" w:hAnsi="Calibri"/>
          <w:lang w:val="en-CA"/>
        </w:rPr>
        <w:t xml:space="preserve"> the</w:t>
      </w:r>
      <w:r w:rsidR="00DA4DF5" w:rsidRPr="00255803">
        <w:rPr>
          <w:rFonts w:ascii="Calibri" w:hAnsi="Calibri"/>
          <w:lang w:val="en-CA"/>
        </w:rPr>
        <w:t xml:space="preserve"> Flemish Primitive</w:t>
      </w:r>
      <w:r w:rsidR="00A93D38">
        <w:rPr>
          <w:rFonts w:ascii="Calibri" w:hAnsi="Calibri"/>
          <w:lang w:val="en-CA"/>
        </w:rPr>
        <w:t xml:space="preserve"> style</w:t>
      </w:r>
      <w:r w:rsidR="00DA4DF5" w:rsidRPr="00255803">
        <w:rPr>
          <w:rFonts w:ascii="Calibri" w:hAnsi="Calibri"/>
          <w:lang w:val="en-CA"/>
        </w:rPr>
        <w:t xml:space="preserve"> and created an artistic identity for Bruges</w:t>
      </w:r>
      <w:r w:rsidR="001C530E">
        <w:rPr>
          <w:rFonts w:ascii="Calibri" w:hAnsi="Calibri"/>
          <w:lang w:val="en-CA"/>
        </w:rPr>
        <w:t>,</w:t>
      </w:r>
      <w:r w:rsidR="00850080">
        <w:rPr>
          <w:rFonts w:ascii="Calibri" w:hAnsi="Calibri"/>
          <w:lang w:val="en-CA"/>
        </w:rPr>
        <w:t xml:space="preserve"> leading </w:t>
      </w:r>
      <w:r w:rsidR="00636CAE" w:rsidRPr="00255803">
        <w:rPr>
          <w:rFonts w:ascii="Calibri" w:hAnsi="Calibri"/>
          <w:lang w:val="en-CA"/>
        </w:rPr>
        <w:t>Erasmus</w:t>
      </w:r>
      <w:r w:rsidR="00850080">
        <w:rPr>
          <w:rFonts w:ascii="Calibri" w:hAnsi="Calibri"/>
          <w:lang w:val="en-CA"/>
        </w:rPr>
        <w:t xml:space="preserve"> to call </w:t>
      </w:r>
      <w:r w:rsidR="00636CAE" w:rsidRPr="00255803">
        <w:rPr>
          <w:rFonts w:ascii="Calibri" w:hAnsi="Calibri"/>
          <w:lang w:val="en-CA"/>
        </w:rPr>
        <w:t>it,</w:t>
      </w:r>
      <w:r w:rsidR="00DA4DF5" w:rsidRPr="00255803">
        <w:rPr>
          <w:rFonts w:ascii="Calibri" w:hAnsi="Calibri"/>
          <w:lang w:val="en-CA"/>
        </w:rPr>
        <w:t xml:space="preserve"> “</w:t>
      </w:r>
      <w:r w:rsidR="00636CAE" w:rsidRPr="00255803">
        <w:rPr>
          <w:rFonts w:ascii="Calibri" w:hAnsi="Calibri"/>
          <w:lang w:val="en-CA"/>
        </w:rPr>
        <w:t>The Athens of the North</w:t>
      </w:r>
      <w:r w:rsidR="00985027">
        <w:rPr>
          <w:rFonts w:ascii="Calibri" w:hAnsi="Calibri"/>
          <w:lang w:val="en-CA"/>
        </w:rPr>
        <w:t>.</w:t>
      </w:r>
      <w:r w:rsidR="00636CAE" w:rsidRPr="00255803">
        <w:rPr>
          <w:rFonts w:ascii="Calibri" w:hAnsi="Calibri"/>
          <w:lang w:val="en-CA"/>
        </w:rPr>
        <w:t>”</w:t>
      </w:r>
      <w:r w:rsidR="00985027">
        <w:rPr>
          <w:rStyle w:val="FootnoteReference"/>
          <w:rFonts w:ascii="Calibri" w:hAnsi="Calibri"/>
          <w:lang w:val="en-CA"/>
        </w:rPr>
        <w:footnoteReference w:id="1"/>
      </w:r>
      <w:r w:rsidR="003E384F">
        <w:rPr>
          <w:rFonts w:ascii="Calibri" w:hAnsi="Calibri"/>
          <w:lang w:val="en-CA"/>
        </w:rPr>
        <w:t xml:space="preserve"> The Apocalyp</w:t>
      </w:r>
      <w:r w:rsidR="00850080">
        <w:rPr>
          <w:rFonts w:ascii="Calibri" w:hAnsi="Calibri"/>
          <w:lang w:val="en-CA"/>
        </w:rPr>
        <w:t>se panel departs</w:t>
      </w:r>
      <w:r w:rsidR="003E384F">
        <w:rPr>
          <w:rFonts w:ascii="Calibri" w:hAnsi="Calibri"/>
          <w:lang w:val="en-CA"/>
        </w:rPr>
        <w:t xml:space="preserve"> from traditional, segmented depictions of the Apocalypse in favour of a condensed single image panel wherein the events of the Book of Revelation occur simultaneously.</w:t>
      </w:r>
      <w:r w:rsidR="00F55A2D">
        <w:rPr>
          <w:rStyle w:val="FootnoteReference"/>
          <w:rFonts w:ascii="Calibri" w:hAnsi="Calibri"/>
          <w:lang w:val="en-CA"/>
        </w:rPr>
        <w:footnoteReference w:id="2"/>
      </w:r>
      <w:r w:rsidR="00636CAE" w:rsidRPr="00255803">
        <w:rPr>
          <w:rFonts w:ascii="Calibri" w:hAnsi="Calibri"/>
          <w:lang w:val="en-CA"/>
        </w:rPr>
        <w:t xml:space="preserve"> </w:t>
      </w:r>
    </w:p>
    <w:p w14:paraId="392C48F1" w14:textId="4BE50ED3" w:rsidR="002B4AA5" w:rsidRDefault="00930BBD" w:rsidP="00A8285D">
      <w:pPr>
        <w:spacing w:line="480" w:lineRule="auto"/>
        <w:ind w:firstLine="720"/>
        <w:rPr>
          <w:rFonts w:ascii="Calibri" w:hAnsi="Calibri"/>
          <w:lang w:val="en-CA"/>
        </w:rPr>
      </w:pPr>
      <w:r>
        <w:rPr>
          <w:rFonts w:ascii="Calibri" w:eastAsia="Times New Roman" w:hAnsi="Calibri" w:cs="Times New Roman"/>
          <w:color w:val="333333"/>
        </w:rPr>
        <w:t xml:space="preserve"> Memling</w:t>
      </w:r>
      <w:r w:rsidR="00703F6C">
        <w:rPr>
          <w:rFonts w:ascii="Calibri" w:eastAsia="Times New Roman" w:hAnsi="Calibri" w:cs="Times New Roman"/>
          <w:color w:val="333333"/>
        </w:rPr>
        <w:t xml:space="preserve"> </w:t>
      </w:r>
      <w:r w:rsidR="00751697" w:rsidRPr="00255803">
        <w:rPr>
          <w:rFonts w:ascii="Calibri" w:eastAsia="Times New Roman" w:hAnsi="Calibri" w:cs="Times New Roman"/>
          <w:color w:val="333333"/>
        </w:rPr>
        <w:t>arrive</w:t>
      </w:r>
      <w:r>
        <w:rPr>
          <w:rFonts w:ascii="Calibri" w:eastAsia="Times New Roman" w:hAnsi="Calibri" w:cs="Times New Roman"/>
          <w:color w:val="333333"/>
        </w:rPr>
        <w:t>d</w:t>
      </w:r>
      <w:r w:rsidR="009F39B1">
        <w:rPr>
          <w:rFonts w:ascii="Calibri" w:eastAsia="Times New Roman" w:hAnsi="Calibri" w:cs="Times New Roman"/>
          <w:color w:val="333333"/>
        </w:rPr>
        <w:t xml:space="preserve"> in Bruges in</w:t>
      </w:r>
      <w:r w:rsidR="00751697" w:rsidRPr="00255803">
        <w:rPr>
          <w:rFonts w:ascii="Calibri" w:eastAsia="Times New Roman" w:hAnsi="Calibri" w:cs="Times New Roman"/>
          <w:color w:val="333333"/>
        </w:rPr>
        <w:t xml:space="preserve"> 1465 and </w:t>
      </w:r>
      <w:r w:rsidR="009F39B1">
        <w:rPr>
          <w:rFonts w:ascii="Calibri" w:hAnsi="Calibri"/>
          <w:lang w:val="en-CA"/>
        </w:rPr>
        <w:t>became</w:t>
      </w:r>
      <w:r w:rsidR="002B4AA5">
        <w:rPr>
          <w:rFonts w:ascii="Calibri" w:hAnsi="Calibri"/>
          <w:lang w:val="en-CA"/>
        </w:rPr>
        <w:t xml:space="preserve"> so</w:t>
      </w:r>
      <w:r w:rsidR="00490763" w:rsidRPr="00255803">
        <w:rPr>
          <w:rFonts w:ascii="Calibri" w:hAnsi="Calibri"/>
          <w:lang w:val="en-CA"/>
        </w:rPr>
        <w:t xml:space="preserve"> popular as a</w:t>
      </w:r>
      <w:r w:rsidR="00255803" w:rsidRPr="00255803">
        <w:rPr>
          <w:rFonts w:ascii="Calibri" w:hAnsi="Calibri"/>
          <w:lang w:val="en-CA"/>
        </w:rPr>
        <w:t>n artist</w:t>
      </w:r>
      <w:r w:rsidR="00CC6508" w:rsidRPr="00255803">
        <w:rPr>
          <w:rFonts w:ascii="Calibri" w:hAnsi="Calibri"/>
          <w:lang w:val="en-CA"/>
        </w:rPr>
        <w:t>,</w:t>
      </w:r>
      <w:r w:rsidR="004A1897">
        <w:rPr>
          <w:rStyle w:val="FootnoteReference"/>
          <w:rFonts w:ascii="Calibri" w:hAnsi="Calibri"/>
          <w:lang w:val="en-CA"/>
        </w:rPr>
        <w:footnoteReference w:id="3"/>
      </w:r>
      <w:r w:rsidR="00490763" w:rsidRPr="00255803">
        <w:rPr>
          <w:rFonts w:ascii="Calibri" w:hAnsi="Calibri"/>
          <w:lang w:val="en-CA"/>
        </w:rPr>
        <w:t xml:space="preserve"> that he became known as “the Fra Angelico of the North</w:t>
      </w:r>
      <w:r w:rsidR="004A1897">
        <w:rPr>
          <w:rFonts w:ascii="Calibri" w:hAnsi="Calibri"/>
          <w:lang w:val="en-CA"/>
        </w:rPr>
        <w:t>.</w:t>
      </w:r>
      <w:r w:rsidR="00490763" w:rsidRPr="00255803">
        <w:rPr>
          <w:rFonts w:ascii="Calibri" w:hAnsi="Calibri"/>
          <w:lang w:val="en-CA"/>
        </w:rPr>
        <w:t>”</w:t>
      </w:r>
      <w:r w:rsidR="004A1897">
        <w:rPr>
          <w:rStyle w:val="FootnoteReference"/>
          <w:rFonts w:ascii="Calibri" w:hAnsi="Calibri"/>
          <w:lang w:val="en-CA"/>
        </w:rPr>
        <w:footnoteReference w:id="4"/>
      </w:r>
      <w:r w:rsidR="00B87954" w:rsidRPr="00255803">
        <w:rPr>
          <w:rFonts w:ascii="Calibri" w:hAnsi="Calibri"/>
          <w:lang w:val="en-CA"/>
        </w:rPr>
        <w:t xml:space="preserve"> </w:t>
      </w:r>
      <w:r w:rsidR="00DB6463" w:rsidRPr="00255803">
        <w:rPr>
          <w:rFonts w:ascii="Calibri" w:hAnsi="Calibri"/>
          <w:lang w:val="en-CA"/>
        </w:rPr>
        <w:t xml:space="preserve">Susan </w:t>
      </w:r>
      <w:proofErr w:type="spellStart"/>
      <w:r w:rsidR="00DB6463" w:rsidRPr="00255803">
        <w:rPr>
          <w:rFonts w:ascii="Calibri" w:hAnsi="Calibri"/>
          <w:lang w:val="en-CA"/>
        </w:rPr>
        <w:t>Fegley</w:t>
      </w:r>
      <w:proofErr w:type="spellEnd"/>
      <w:r w:rsidR="00DB6463" w:rsidRPr="00255803">
        <w:rPr>
          <w:rFonts w:ascii="Calibri" w:hAnsi="Calibri"/>
          <w:lang w:val="en-CA"/>
        </w:rPr>
        <w:t xml:space="preserve"> Osmond</w:t>
      </w:r>
      <w:r w:rsidR="00490763" w:rsidRPr="00255803">
        <w:rPr>
          <w:rFonts w:ascii="Calibri" w:hAnsi="Calibri"/>
          <w:lang w:val="en-CA"/>
        </w:rPr>
        <w:t xml:space="preserve"> writes of Memling’s art</w:t>
      </w:r>
      <w:r w:rsidR="0064128F">
        <w:rPr>
          <w:rFonts w:ascii="Calibri" w:hAnsi="Calibri"/>
          <w:lang w:val="en-CA"/>
        </w:rPr>
        <w:t>:</w:t>
      </w:r>
      <w:r w:rsidR="00490763" w:rsidRPr="00255803">
        <w:rPr>
          <w:rFonts w:ascii="Calibri" w:hAnsi="Calibri"/>
          <w:lang w:val="en-CA"/>
        </w:rPr>
        <w:t xml:space="preserve"> </w:t>
      </w:r>
    </w:p>
    <w:p w14:paraId="0AD88F65" w14:textId="3F78F876" w:rsidR="002B4AA5" w:rsidRDefault="00DB6463" w:rsidP="001C530E">
      <w:pPr>
        <w:ind w:left="567" w:right="855"/>
        <w:rPr>
          <w:rFonts w:ascii="Calibri" w:hAnsi="Calibri"/>
          <w:lang w:val="en-CA"/>
        </w:rPr>
      </w:pPr>
      <w:r w:rsidRPr="00255803">
        <w:rPr>
          <w:rFonts w:ascii="Calibri" w:hAnsi="Calibri"/>
          <w:lang w:val="en-CA"/>
        </w:rPr>
        <w:t>T</w:t>
      </w:r>
      <w:r w:rsidR="00490763" w:rsidRPr="00255803">
        <w:rPr>
          <w:rFonts w:ascii="Calibri" w:hAnsi="Calibri"/>
          <w:lang w:val="en-CA"/>
        </w:rPr>
        <w:t>he expressive force and dramatic realism that so typify the work of certain of his predecessors have given way in Memling to the lucid representation of heavenly or angelic personages situated as if dreaming in idyllic landscapes and clear, precisely executed spaces.</w:t>
      </w:r>
      <w:r w:rsidR="00B12CA3">
        <w:rPr>
          <w:rStyle w:val="FootnoteReference"/>
          <w:rFonts w:ascii="Calibri" w:hAnsi="Calibri"/>
          <w:lang w:val="en-CA"/>
        </w:rPr>
        <w:footnoteReference w:id="5"/>
      </w:r>
      <w:r w:rsidRPr="00255803">
        <w:rPr>
          <w:rFonts w:ascii="Calibri" w:hAnsi="Calibri"/>
          <w:lang w:val="en-CA"/>
        </w:rPr>
        <w:t xml:space="preserve"> </w:t>
      </w:r>
    </w:p>
    <w:p w14:paraId="3BA200F0" w14:textId="77777777" w:rsidR="001C530E" w:rsidRDefault="001C530E" w:rsidP="001C530E">
      <w:pPr>
        <w:ind w:left="567" w:right="855"/>
        <w:rPr>
          <w:rFonts w:ascii="Calibri" w:hAnsi="Calibri"/>
          <w:lang w:val="en-CA"/>
        </w:rPr>
      </w:pPr>
    </w:p>
    <w:p w14:paraId="04463132" w14:textId="458162D6" w:rsidR="00B87954" w:rsidRPr="00255803" w:rsidRDefault="00DB6463" w:rsidP="00A8285D">
      <w:pPr>
        <w:spacing w:line="480" w:lineRule="auto"/>
        <w:ind w:firstLine="720"/>
        <w:rPr>
          <w:rFonts w:ascii="Calibri" w:hAnsi="Calibri"/>
          <w:lang w:val="en-CA"/>
        </w:rPr>
      </w:pPr>
      <w:r w:rsidRPr="00255803">
        <w:rPr>
          <w:rFonts w:ascii="Calibri" w:hAnsi="Calibri"/>
          <w:lang w:val="en-CA"/>
        </w:rPr>
        <w:lastRenderedPageBreak/>
        <w:t>Th</w:t>
      </w:r>
      <w:r w:rsidR="0045774E">
        <w:rPr>
          <w:rFonts w:ascii="Calibri" w:hAnsi="Calibri"/>
          <w:lang w:val="en-CA"/>
        </w:rPr>
        <w:t>is s</w:t>
      </w:r>
      <w:r w:rsidR="00625B7B">
        <w:rPr>
          <w:rFonts w:ascii="Calibri" w:hAnsi="Calibri"/>
          <w:lang w:val="en-CA"/>
        </w:rPr>
        <w:t>ta</w:t>
      </w:r>
      <w:r w:rsidR="0095512B">
        <w:rPr>
          <w:rFonts w:ascii="Calibri" w:hAnsi="Calibri"/>
          <w:lang w:val="en-CA"/>
        </w:rPr>
        <w:t>tement perfectly describes the a</w:t>
      </w:r>
      <w:r w:rsidRPr="00255803">
        <w:rPr>
          <w:rFonts w:ascii="Calibri" w:hAnsi="Calibri"/>
          <w:lang w:val="en-CA"/>
        </w:rPr>
        <w:t xml:space="preserve">ltarpiece, especially Saint John’s Vision of the Apocalypse, wherein </w:t>
      </w:r>
      <w:r w:rsidR="00AE0B97" w:rsidRPr="00255803">
        <w:rPr>
          <w:rFonts w:ascii="Calibri" w:hAnsi="Calibri"/>
          <w:lang w:val="en-CA"/>
        </w:rPr>
        <w:t>he creates</w:t>
      </w:r>
      <w:r w:rsidR="00B87954" w:rsidRPr="00255803">
        <w:rPr>
          <w:rFonts w:ascii="Calibri" w:hAnsi="Calibri"/>
          <w:lang w:val="en-CA"/>
        </w:rPr>
        <w:t>,</w:t>
      </w:r>
      <w:r w:rsidR="00AE0B97" w:rsidRPr="00255803">
        <w:rPr>
          <w:rFonts w:ascii="Calibri" w:hAnsi="Calibri"/>
          <w:lang w:val="en-CA"/>
        </w:rPr>
        <w:t xml:space="preserve"> “a fairy tale of disasters… we are as bemused as St. John </w:t>
      </w:r>
      <w:r w:rsidR="00877248" w:rsidRPr="00255803">
        <w:rPr>
          <w:rFonts w:ascii="Calibri" w:hAnsi="Calibri"/>
          <w:lang w:val="en-CA"/>
        </w:rPr>
        <w:t>himself,</w:t>
      </w:r>
      <w:r w:rsidR="00AE0B97" w:rsidRPr="00255803">
        <w:rPr>
          <w:rFonts w:ascii="Calibri" w:hAnsi="Calibri"/>
          <w:lang w:val="en-CA"/>
        </w:rPr>
        <w:t xml:space="preserve"> for it is a dream to us as well as a dream to him</w:t>
      </w:r>
      <w:r w:rsidR="00B12CA3">
        <w:rPr>
          <w:rFonts w:ascii="Calibri" w:hAnsi="Calibri"/>
          <w:lang w:val="en-CA"/>
        </w:rPr>
        <w:t>.</w:t>
      </w:r>
      <w:r w:rsidR="00AE0B97" w:rsidRPr="00255803">
        <w:rPr>
          <w:rFonts w:ascii="Calibri" w:hAnsi="Calibri"/>
          <w:lang w:val="en-CA"/>
        </w:rPr>
        <w:t>”</w:t>
      </w:r>
      <w:r w:rsidR="00B12CA3">
        <w:rPr>
          <w:rStyle w:val="FootnoteReference"/>
          <w:rFonts w:ascii="Calibri" w:hAnsi="Calibri"/>
          <w:lang w:val="en-CA"/>
        </w:rPr>
        <w:footnoteReference w:id="6"/>
      </w:r>
    </w:p>
    <w:p w14:paraId="0902AAD0" w14:textId="5223F35D" w:rsidR="002019F1" w:rsidRDefault="00625B7B" w:rsidP="00A82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Calibri" w:hAnsi="Calibri" w:cs="Helvetica"/>
          <w:color w:val="262626"/>
        </w:rPr>
      </w:pPr>
      <w:r>
        <w:rPr>
          <w:rFonts w:ascii="Calibri" w:hAnsi="Calibri"/>
          <w:lang w:val="en-CA"/>
        </w:rPr>
        <w:tab/>
        <w:t>The painting of Saint John’s Vision of The A</w:t>
      </w:r>
      <w:r w:rsidR="00B408ED">
        <w:rPr>
          <w:rFonts w:ascii="Calibri" w:hAnsi="Calibri"/>
          <w:lang w:val="en-CA"/>
        </w:rPr>
        <w:t>pocalypse is part</w:t>
      </w:r>
      <w:r w:rsidR="00B87954" w:rsidRPr="00255803">
        <w:rPr>
          <w:rFonts w:ascii="Calibri" w:hAnsi="Calibri"/>
          <w:lang w:val="en-CA"/>
        </w:rPr>
        <w:t xml:space="preserve"> </w:t>
      </w:r>
      <w:r w:rsidR="00B408ED">
        <w:rPr>
          <w:rFonts w:ascii="Calibri" w:hAnsi="Calibri"/>
          <w:lang w:val="en-CA"/>
        </w:rPr>
        <w:t>of a triptych</w:t>
      </w:r>
      <w:r w:rsidR="009A118F" w:rsidRPr="00255803">
        <w:rPr>
          <w:rFonts w:ascii="Calibri" w:hAnsi="Calibri"/>
          <w:lang w:val="en-CA"/>
        </w:rPr>
        <w:t xml:space="preserve"> </w:t>
      </w:r>
      <w:r w:rsidR="00B408ED">
        <w:rPr>
          <w:rFonts w:ascii="Calibri" w:hAnsi="Calibri"/>
          <w:lang w:val="en-CA"/>
        </w:rPr>
        <w:t>en</w:t>
      </w:r>
      <w:r w:rsidR="00A37CCE" w:rsidRPr="00255803">
        <w:rPr>
          <w:rFonts w:ascii="Calibri" w:hAnsi="Calibri"/>
          <w:lang w:val="en-CA"/>
        </w:rPr>
        <w:t xml:space="preserve">titled </w:t>
      </w:r>
      <w:r w:rsidR="00A37CCE" w:rsidRPr="00314F29">
        <w:rPr>
          <w:rFonts w:ascii="Calibri" w:hAnsi="Calibri"/>
          <w:i/>
          <w:lang w:val="en-CA"/>
        </w:rPr>
        <w:t>The Altarpiece of the Two Saint Johns</w:t>
      </w:r>
      <w:r w:rsidR="00562F0A">
        <w:rPr>
          <w:rFonts w:ascii="Calibri" w:hAnsi="Calibri"/>
          <w:lang w:val="en-CA"/>
        </w:rPr>
        <w:t xml:space="preserve"> completed in </w:t>
      </w:r>
      <w:r w:rsidR="00562F0A" w:rsidRPr="00314F29">
        <w:rPr>
          <w:rFonts w:ascii="Calibri" w:hAnsi="Calibri"/>
          <w:color w:val="000000" w:themeColor="text1"/>
          <w:lang w:val="en-CA"/>
        </w:rPr>
        <w:t>1479</w:t>
      </w:r>
      <w:r w:rsidR="00B408ED" w:rsidRPr="00314F29">
        <w:rPr>
          <w:rFonts w:ascii="Calibri" w:hAnsi="Calibri"/>
          <w:color w:val="000000" w:themeColor="text1"/>
          <w:lang w:val="en-CA"/>
        </w:rPr>
        <w:t>.</w:t>
      </w:r>
      <w:r w:rsidR="00B408ED" w:rsidRPr="00314F29">
        <w:rPr>
          <w:rFonts w:ascii="Calibri" w:hAnsi="Calibri" w:cs="Helvetica"/>
          <w:color w:val="000000" w:themeColor="text1"/>
        </w:rPr>
        <w:t xml:space="preserve"> </w:t>
      </w:r>
      <w:r w:rsidR="00562F0A" w:rsidRPr="00314F29">
        <w:rPr>
          <w:rFonts w:ascii="Calibri" w:hAnsi="Calibri" w:cs="Helvetica"/>
          <w:color w:val="000000" w:themeColor="text1"/>
        </w:rPr>
        <w:t>It</w:t>
      </w:r>
      <w:r w:rsidR="002019F1" w:rsidRPr="00314F29">
        <w:rPr>
          <w:rFonts w:ascii="Calibri" w:hAnsi="Calibri"/>
          <w:color w:val="000000" w:themeColor="text1"/>
          <w:lang w:val="en-CA"/>
        </w:rPr>
        <w:t xml:space="preserve"> w</w:t>
      </w:r>
      <w:r w:rsidR="002019F1" w:rsidRPr="00255803">
        <w:rPr>
          <w:rFonts w:ascii="Calibri" w:hAnsi="Calibri"/>
          <w:lang w:val="en-CA"/>
        </w:rPr>
        <w:t xml:space="preserve">as commissioned </w:t>
      </w:r>
      <w:r w:rsidR="001D1769">
        <w:rPr>
          <w:rFonts w:ascii="Calibri" w:hAnsi="Calibri"/>
          <w:lang w:val="en-CA"/>
        </w:rPr>
        <w:t>four years after the</w:t>
      </w:r>
      <w:r w:rsidR="002019F1" w:rsidRPr="00255803">
        <w:rPr>
          <w:rFonts w:ascii="Calibri" w:hAnsi="Calibri"/>
          <w:lang w:val="en-CA"/>
        </w:rPr>
        <w:t xml:space="preserve"> </w:t>
      </w:r>
      <w:r w:rsidR="0095512B">
        <w:rPr>
          <w:rFonts w:ascii="Calibri" w:hAnsi="Calibri"/>
          <w:lang w:val="en-CA"/>
        </w:rPr>
        <w:t>Hospital of Saint John</w:t>
      </w:r>
      <w:r w:rsidR="002019F1" w:rsidRPr="00255803">
        <w:rPr>
          <w:rFonts w:ascii="Calibri" w:hAnsi="Calibri"/>
          <w:lang w:val="en-CA"/>
        </w:rPr>
        <w:t xml:space="preserve"> in </w:t>
      </w:r>
      <w:r w:rsidR="00B408ED">
        <w:rPr>
          <w:rFonts w:ascii="Calibri" w:hAnsi="Calibri"/>
          <w:lang w:val="en-CA"/>
        </w:rPr>
        <w:t>Bruges</w:t>
      </w:r>
      <w:r w:rsidR="001D1769">
        <w:rPr>
          <w:rFonts w:ascii="Calibri" w:hAnsi="Calibri"/>
          <w:lang w:val="en-CA"/>
        </w:rPr>
        <w:t xml:space="preserve"> was finished.</w:t>
      </w:r>
      <w:r w:rsidR="00B12CA3">
        <w:rPr>
          <w:rStyle w:val="FootnoteReference"/>
          <w:rFonts w:ascii="Calibri" w:hAnsi="Calibri"/>
          <w:lang w:val="en-CA"/>
        </w:rPr>
        <w:footnoteReference w:id="7"/>
      </w:r>
      <w:r w:rsidR="002019F1" w:rsidRPr="00255803">
        <w:rPr>
          <w:rFonts w:ascii="Calibri" w:hAnsi="Calibri"/>
          <w:lang w:val="en-CA"/>
        </w:rPr>
        <w:t xml:space="preserve"> The patronage of the work is signif</w:t>
      </w:r>
      <w:r w:rsidR="005A39EA">
        <w:rPr>
          <w:rFonts w:ascii="Calibri" w:hAnsi="Calibri"/>
          <w:lang w:val="en-CA"/>
        </w:rPr>
        <w:t>icant:</w:t>
      </w:r>
      <w:r w:rsidR="002019F1">
        <w:rPr>
          <w:rFonts w:ascii="Calibri" w:hAnsi="Calibri"/>
          <w:lang w:val="en-CA"/>
        </w:rPr>
        <w:t xml:space="preserve"> unlike previous</w:t>
      </w:r>
      <w:r w:rsidR="005A39EA">
        <w:rPr>
          <w:rFonts w:ascii="Calibri" w:hAnsi="Calibri"/>
          <w:lang w:val="en-CA"/>
        </w:rPr>
        <w:t xml:space="preserve"> works commissioned by</w:t>
      </w:r>
      <w:r w:rsidR="002019F1" w:rsidRPr="00255803">
        <w:rPr>
          <w:rFonts w:ascii="Calibri" w:hAnsi="Calibri"/>
          <w:lang w:val="en-CA"/>
        </w:rPr>
        <w:t xml:space="preserve"> C</w:t>
      </w:r>
      <w:r w:rsidR="005A39EA">
        <w:rPr>
          <w:rFonts w:ascii="Calibri" w:hAnsi="Calibri"/>
          <w:lang w:val="en-CA"/>
        </w:rPr>
        <w:t>hurch Hierarchy, this</w:t>
      </w:r>
      <w:r w:rsidR="002019F1">
        <w:rPr>
          <w:rFonts w:ascii="Calibri" w:hAnsi="Calibri"/>
          <w:lang w:val="en-CA"/>
        </w:rPr>
        <w:t xml:space="preserve"> triptych</w:t>
      </w:r>
      <w:r w:rsidR="005A39EA">
        <w:rPr>
          <w:rFonts w:ascii="Calibri" w:hAnsi="Calibri"/>
          <w:lang w:val="en-CA"/>
        </w:rPr>
        <w:t xml:space="preserve"> drew funding from local people, demonstrating</w:t>
      </w:r>
      <w:r w:rsidR="002019F1" w:rsidRPr="00255803">
        <w:rPr>
          <w:rFonts w:ascii="Calibri" w:hAnsi="Calibri"/>
          <w:lang w:val="en-CA"/>
        </w:rPr>
        <w:t xml:space="preserve"> a “growing concern of the medieval township by its residents</w:t>
      </w:r>
      <w:r w:rsidR="001242CF">
        <w:rPr>
          <w:rFonts w:ascii="Calibri" w:hAnsi="Calibri"/>
          <w:lang w:val="en-CA"/>
        </w:rPr>
        <w:t>.</w:t>
      </w:r>
      <w:r w:rsidR="002019F1" w:rsidRPr="00255803">
        <w:rPr>
          <w:rFonts w:ascii="Calibri" w:hAnsi="Calibri"/>
          <w:lang w:val="en-CA"/>
        </w:rPr>
        <w:t>”</w:t>
      </w:r>
      <w:r w:rsidR="00B12CA3">
        <w:rPr>
          <w:rStyle w:val="FootnoteReference"/>
          <w:rFonts w:ascii="Calibri" w:hAnsi="Calibri"/>
          <w:lang w:val="en-CA"/>
        </w:rPr>
        <w:footnoteReference w:id="8"/>
      </w:r>
      <w:r w:rsidR="002019F1" w:rsidRPr="00255803">
        <w:rPr>
          <w:rFonts w:ascii="Calibri" w:hAnsi="Calibri"/>
          <w:lang w:val="en-CA"/>
        </w:rPr>
        <w:t xml:space="preserve"> </w:t>
      </w:r>
      <w:r w:rsidR="00314F29">
        <w:rPr>
          <w:rFonts w:ascii="Calibri" w:hAnsi="Calibri"/>
          <w:lang w:val="en-CA"/>
        </w:rPr>
        <w:t>R</w:t>
      </w:r>
      <w:r w:rsidR="00E91078">
        <w:rPr>
          <w:rFonts w:ascii="Calibri" w:hAnsi="Calibri"/>
          <w:lang w:val="en-CA"/>
        </w:rPr>
        <w:t xml:space="preserve">ather than relying on </w:t>
      </w:r>
      <w:r w:rsidR="002019F1" w:rsidRPr="00255803">
        <w:rPr>
          <w:rFonts w:ascii="Calibri" w:hAnsi="Calibri"/>
          <w:lang w:val="en-CA"/>
        </w:rPr>
        <w:t>the ducal courts</w:t>
      </w:r>
      <w:r w:rsidR="00E91078">
        <w:rPr>
          <w:rFonts w:ascii="Calibri" w:hAnsi="Calibri"/>
          <w:lang w:val="en-CA"/>
        </w:rPr>
        <w:t>, Memling</w:t>
      </w:r>
      <w:r w:rsidR="002019F1" w:rsidRPr="00255803">
        <w:rPr>
          <w:rFonts w:ascii="Calibri" w:hAnsi="Calibri"/>
          <w:lang w:val="en-CA"/>
        </w:rPr>
        <w:t xml:space="preserve"> accepted donors such as “</w:t>
      </w:r>
      <w:r w:rsidR="002019F1" w:rsidRPr="00255803">
        <w:rPr>
          <w:rFonts w:ascii="Calibri" w:hAnsi="Calibri" w:cs="Helvetica"/>
          <w:color w:val="262626"/>
        </w:rPr>
        <w:t>small bankers… traders, merchant grocers, stationers and master tanners, and others less rich, such as the nuns and brothers who tended the patients at the Hospital of St. John.”</w:t>
      </w:r>
      <w:r w:rsidR="00B12CA3">
        <w:rPr>
          <w:rStyle w:val="FootnoteReference"/>
          <w:rFonts w:ascii="Calibri" w:hAnsi="Calibri" w:cs="Helvetica"/>
          <w:color w:val="262626"/>
        </w:rPr>
        <w:footnoteReference w:id="9"/>
      </w:r>
      <w:r w:rsidR="002019F1" w:rsidRPr="00255803">
        <w:rPr>
          <w:rFonts w:ascii="Calibri" w:hAnsi="Calibri" w:cs="Helvetica"/>
          <w:color w:val="262626"/>
        </w:rPr>
        <w:t xml:space="preserve"> This selection of donors did not go unnoticed and </w:t>
      </w:r>
      <w:r w:rsidR="00E91078">
        <w:rPr>
          <w:rFonts w:ascii="Calibri" w:hAnsi="Calibri" w:cs="Helvetica"/>
          <w:color w:val="262626"/>
        </w:rPr>
        <w:t>may have</w:t>
      </w:r>
      <w:r w:rsidR="002019F1" w:rsidRPr="00255803">
        <w:rPr>
          <w:rFonts w:ascii="Calibri" w:hAnsi="Calibri" w:cs="Helvetica"/>
          <w:color w:val="262626"/>
        </w:rPr>
        <w:t xml:space="preserve"> influenced his popularity in</w:t>
      </w:r>
      <w:r w:rsidR="00E91078">
        <w:rPr>
          <w:rFonts w:ascii="Calibri" w:hAnsi="Calibri" w:cs="Helvetica"/>
          <w:color w:val="262626"/>
        </w:rPr>
        <w:t xml:space="preserve"> mercantile</w:t>
      </w:r>
      <w:r w:rsidR="002019F1" w:rsidRPr="00255803">
        <w:rPr>
          <w:rFonts w:ascii="Calibri" w:hAnsi="Calibri" w:cs="Helvetica"/>
          <w:color w:val="262626"/>
        </w:rPr>
        <w:t xml:space="preserve"> Bruges</w:t>
      </w:r>
      <w:r w:rsidR="00E91078">
        <w:rPr>
          <w:rFonts w:ascii="Calibri" w:hAnsi="Calibri" w:cs="Helvetica"/>
          <w:color w:val="262626"/>
        </w:rPr>
        <w:t>.</w:t>
      </w:r>
    </w:p>
    <w:p w14:paraId="11267025" w14:textId="17CE41CC" w:rsidR="00013C03" w:rsidRPr="00735182" w:rsidRDefault="002019F1" w:rsidP="00A82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Calibri" w:hAnsi="Calibri" w:cs="Helvetica"/>
          <w:color w:val="00B0F0"/>
        </w:rPr>
      </w:pPr>
      <w:r>
        <w:rPr>
          <w:rFonts w:ascii="Calibri" w:hAnsi="Calibri" w:cs="Helvetica"/>
          <w:color w:val="262626"/>
        </w:rPr>
        <w:tab/>
      </w:r>
      <w:r w:rsidR="00AE0B97" w:rsidRPr="00255803">
        <w:rPr>
          <w:rFonts w:ascii="Calibri" w:hAnsi="Calibri"/>
          <w:lang w:val="en-CA"/>
        </w:rPr>
        <w:t xml:space="preserve"> </w:t>
      </w:r>
      <w:r w:rsidR="00E91078">
        <w:rPr>
          <w:rFonts w:ascii="Calibri" w:hAnsi="Calibri"/>
          <w:lang w:val="en-CA"/>
        </w:rPr>
        <w:t>The three panels</w:t>
      </w:r>
      <w:r w:rsidR="00E80C7D" w:rsidRPr="00255803">
        <w:rPr>
          <w:rFonts w:ascii="Calibri" w:hAnsi="Calibri"/>
          <w:lang w:val="en-CA"/>
        </w:rPr>
        <w:t xml:space="preserve"> of the triptych itself</w:t>
      </w:r>
      <w:r w:rsidR="009B5BE7" w:rsidRPr="00255803">
        <w:rPr>
          <w:rFonts w:ascii="Calibri" w:hAnsi="Calibri"/>
          <w:lang w:val="en-CA"/>
        </w:rPr>
        <w:t>, at first glance</w:t>
      </w:r>
      <w:r w:rsidR="00E80C7D" w:rsidRPr="00255803">
        <w:rPr>
          <w:rFonts w:ascii="Calibri" w:hAnsi="Calibri"/>
          <w:lang w:val="en-CA"/>
        </w:rPr>
        <w:t xml:space="preserve"> have lit</w:t>
      </w:r>
      <w:r w:rsidR="009C4BCC">
        <w:rPr>
          <w:rFonts w:ascii="Calibri" w:hAnsi="Calibri"/>
          <w:lang w:val="en-CA"/>
        </w:rPr>
        <w:t>tle to do with one another. T</w:t>
      </w:r>
      <w:r w:rsidR="00E80C7D" w:rsidRPr="00255803">
        <w:rPr>
          <w:rFonts w:ascii="Calibri" w:hAnsi="Calibri"/>
          <w:lang w:val="en-CA"/>
        </w:rPr>
        <w:t xml:space="preserve">he central </w:t>
      </w:r>
      <w:r w:rsidR="009C4BCC">
        <w:rPr>
          <w:rFonts w:ascii="Calibri" w:hAnsi="Calibri"/>
          <w:lang w:val="en-CA"/>
        </w:rPr>
        <w:t>image depicts</w:t>
      </w:r>
      <w:r w:rsidR="00691EA4" w:rsidRPr="00255803">
        <w:rPr>
          <w:rFonts w:ascii="Calibri" w:hAnsi="Calibri"/>
          <w:lang w:val="en-CA"/>
        </w:rPr>
        <w:t xml:space="preserve"> the Madonna and Child, surrounded by</w:t>
      </w:r>
      <w:r w:rsidR="009C4BCC">
        <w:rPr>
          <w:rFonts w:ascii="Calibri" w:hAnsi="Calibri"/>
          <w:lang w:val="en-CA"/>
        </w:rPr>
        <w:t xml:space="preserve"> Saints, the left wing depicts</w:t>
      </w:r>
      <w:r w:rsidR="00691EA4" w:rsidRPr="00255803">
        <w:rPr>
          <w:rFonts w:ascii="Calibri" w:hAnsi="Calibri"/>
          <w:lang w:val="en-CA"/>
        </w:rPr>
        <w:t xml:space="preserve"> The </w:t>
      </w:r>
      <w:r w:rsidR="00691EA4" w:rsidRPr="00AA4498">
        <w:rPr>
          <w:rFonts w:ascii="Calibri" w:hAnsi="Calibri"/>
          <w:lang w:val="en-CA"/>
        </w:rPr>
        <w:t>Decapitati</w:t>
      </w:r>
      <w:r w:rsidR="001045B1" w:rsidRPr="00AA4498">
        <w:rPr>
          <w:rFonts w:ascii="Calibri" w:hAnsi="Calibri"/>
          <w:lang w:val="en-CA"/>
        </w:rPr>
        <w:t>on</w:t>
      </w:r>
      <w:r w:rsidR="001045B1">
        <w:rPr>
          <w:rFonts w:ascii="Calibri" w:hAnsi="Calibri"/>
          <w:lang w:val="en-CA"/>
        </w:rPr>
        <w:t xml:space="preserve"> </w:t>
      </w:r>
      <w:r w:rsidR="00691EA4" w:rsidRPr="00255803">
        <w:rPr>
          <w:rFonts w:ascii="Calibri" w:hAnsi="Calibri"/>
          <w:lang w:val="en-CA"/>
        </w:rPr>
        <w:t xml:space="preserve">of Saint John the Baptist and the right wing </w:t>
      </w:r>
      <w:r w:rsidR="009C4BCC">
        <w:rPr>
          <w:rFonts w:ascii="Calibri" w:hAnsi="Calibri"/>
          <w:lang w:val="en-CA"/>
        </w:rPr>
        <w:t>shows</w:t>
      </w:r>
      <w:r w:rsidR="00691EA4" w:rsidRPr="00255803">
        <w:rPr>
          <w:rFonts w:ascii="Calibri" w:hAnsi="Calibri"/>
          <w:lang w:val="en-CA"/>
        </w:rPr>
        <w:t xml:space="preserve"> Saint John the Evangelist on the Isle of Patmos recording his apocalyptic vision.</w:t>
      </w:r>
      <w:r w:rsidR="00FD6BBE">
        <w:rPr>
          <w:rStyle w:val="FootnoteReference"/>
          <w:rFonts w:ascii="Calibri" w:hAnsi="Calibri"/>
          <w:lang w:val="en-CA"/>
        </w:rPr>
        <w:footnoteReference w:id="10"/>
      </w:r>
      <w:r w:rsidR="00691EA4" w:rsidRPr="00255803">
        <w:rPr>
          <w:rFonts w:ascii="Calibri" w:hAnsi="Calibri"/>
          <w:lang w:val="en-CA"/>
        </w:rPr>
        <w:t xml:space="preserve"> </w:t>
      </w:r>
      <w:r w:rsidR="009B5BE7" w:rsidRPr="00255803">
        <w:rPr>
          <w:rFonts w:ascii="Calibri" w:hAnsi="Calibri"/>
          <w:lang w:val="en-CA"/>
        </w:rPr>
        <w:t>However the</w:t>
      </w:r>
      <w:r w:rsidR="009C4BCC">
        <w:rPr>
          <w:rFonts w:ascii="Calibri" w:hAnsi="Calibri"/>
          <w:lang w:val="en-CA"/>
        </w:rPr>
        <w:t xml:space="preserve"> connection t</w:t>
      </w:r>
      <w:r w:rsidR="00314F29">
        <w:rPr>
          <w:rFonts w:ascii="Calibri" w:hAnsi="Calibri"/>
          <w:lang w:val="en-CA"/>
        </w:rPr>
        <w:t xml:space="preserve">akes place at a </w:t>
      </w:r>
      <w:r w:rsidR="00314F29">
        <w:rPr>
          <w:rFonts w:ascii="Calibri" w:hAnsi="Calibri"/>
          <w:lang w:val="en-CA"/>
        </w:rPr>
        <w:lastRenderedPageBreak/>
        <w:t>different level;</w:t>
      </w:r>
      <w:r w:rsidR="009C4BCC">
        <w:rPr>
          <w:rFonts w:ascii="Calibri" w:hAnsi="Calibri"/>
          <w:lang w:val="en-CA"/>
        </w:rPr>
        <w:t xml:space="preserve"> Kalan Curling Greenwood points out that </w:t>
      </w:r>
      <w:r w:rsidR="009B5BE7" w:rsidRPr="00255803">
        <w:rPr>
          <w:rFonts w:ascii="Calibri" w:hAnsi="Calibri"/>
          <w:lang w:val="en-CA"/>
        </w:rPr>
        <w:t>“the diverse discourses of death, the afterlife and the Apocalypse and the hospital context collectively communicate and celebrate a path towards salvation.”</w:t>
      </w:r>
      <w:r w:rsidR="00FD6BBE">
        <w:rPr>
          <w:rStyle w:val="FootnoteReference"/>
          <w:rFonts w:ascii="Calibri" w:hAnsi="Calibri"/>
          <w:lang w:val="en-CA"/>
        </w:rPr>
        <w:footnoteReference w:id="11"/>
      </w:r>
      <w:r w:rsidR="00FD6BBE">
        <w:rPr>
          <w:rFonts w:ascii="Calibri" w:hAnsi="Calibri"/>
          <w:lang w:val="en-CA"/>
        </w:rPr>
        <w:t xml:space="preserve"> </w:t>
      </w:r>
      <w:r w:rsidR="00EE4F6A" w:rsidRPr="00255803">
        <w:rPr>
          <w:rFonts w:ascii="Calibri" w:hAnsi="Calibri"/>
          <w:lang w:val="en-CA"/>
        </w:rPr>
        <w:t xml:space="preserve">The </w:t>
      </w:r>
      <w:r w:rsidR="009C4BCC">
        <w:rPr>
          <w:rFonts w:ascii="Calibri" w:hAnsi="Calibri"/>
          <w:lang w:val="en-CA"/>
        </w:rPr>
        <w:t>panel</w:t>
      </w:r>
      <w:r w:rsidR="009B67BD" w:rsidRPr="00255803">
        <w:rPr>
          <w:rFonts w:ascii="Calibri" w:hAnsi="Calibri"/>
          <w:lang w:val="en-CA"/>
        </w:rPr>
        <w:t>s</w:t>
      </w:r>
      <w:r w:rsidR="00EE4F6A" w:rsidRPr="00255803">
        <w:rPr>
          <w:rFonts w:ascii="Calibri" w:hAnsi="Calibri"/>
          <w:lang w:val="en-CA"/>
        </w:rPr>
        <w:t>, particularly the central image of the Madonna and Child</w:t>
      </w:r>
      <w:r w:rsidR="00FC0CC1">
        <w:rPr>
          <w:rFonts w:ascii="Calibri" w:hAnsi="Calibri"/>
          <w:lang w:val="en-CA"/>
        </w:rPr>
        <w:t>,</w:t>
      </w:r>
      <w:r w:rsidR="00EE4F6A" w:rsidRPr="00255803">
        <w:rPr>
          <w:rFonts w:ascii="Calibri" w:hAnsi="Calibri"/>
          <w:lang w:val="en-CA"/>
        </w:rPr>
        <w:t xml:space="preserve"> are littered with the faces of the work</w:t>
      </w:r>
      <w:r w:rsidR="00FC0CC1">
        <w:rPr>
          <w:rFonts w:ascii="Calibri" w:hAnsi="Calibri"/>
          <w:lang w:val="en-CA"/>
        </w:rPr>
        <w:t>’</w:t>
      </w:r>
      <w:r w:rsidR="00EE4F6A" w:rsidRPr="00255803">
        <w:rPr>
          <w:rFonts w:ascii="Calibri" w:hAnsi="Calibri"/>
          <w:lang w:val="en-CA"/>
        </w:rPr>
        <w:t xml:space="preserve">s donors, such as </w:t>
      </w:r>
      <w:r w:rsidR="009C4BCC">
        <w:rPr>
          <w:rFonts w:ascii="Calibri" w:hAnsi="Calibri"/>
          <w:lang w:val="en-CA"/>
        </w:rPr>
        <w:t xml:space="preserve">Anthony </w:t>
      </w:r>
      <w:proofErr w:type="spellStart"/>
      <w:r w:rsidR="009C4BCC">
        <w:rPr>
          <w:rFonts w:ascii="Calibri" w:hAnsi="Calibri"/>
          <w:lang w:val="en-CA"/>
        </w:rPr>
        <w:t>Serghers</w:t>
      </w:r>
      <w:proofErr w:type="spellEnd"/>
      <w:r w:rsidR="009C4BCC">
        <w:rPr>
          <w:rFonts w:ascii="Calibri" w:hAnsi="Calibri"/>
          <w:lang w:val="en-CA"/>
        </w:rPr>
        <w:t>, a monk</w:t>
      </w:r>
      <w:r w:rsidR="00876585" w:rsidRPr="00255803">
        <w:rPr>
          <w:rFonts w:ascii="Calibri" w:hAnsi="Calibri"/>
          <w:lang w:val="en-CA"/>
        </w:rPr>
        <w:t xml:space="preserve"> since 1445 and</w:t>
      </w:r>
      <w:r w:rsidR="00FD6BBE">
        <w:rPr>
          <w:rFonts w:ascii="Calibri" w:hAnsi="Calibri"/>
          <w:lang w:val="en-CA"/>
        </w:rPr>
        <w:t xml:space="preserve"> master of the hospital 1461</w:t>
      </w:r>
      <w:r w:rsidR="009C4BCC">
        <w:rPr>
          <w:rFonts w:ascii="Calibri" w:hAnsi="Calibri"/>
          <w:lang w:val="en-CA"/>
        </w:rPr>
        <w:t>-</w:t>
      </w:r>
      <w:r w:rsidR="00876585" w:rsidRPr="00255803">
        <w:rPr>
          <w:rFonts w:ascii="Calibri" w:hAnsi="Calibri"/>
          <w:lang w:val="en-CA"/>
        </w:rPr>
        <w:t>1475</w:t>
      </w:r>
      <w:r w:rsidR="009B67BD" w:rsidRPr="00255803">
        <w:rPr>
          <w:rFonts w:ascii="Calibri" w:hAnsi="Calibri"/>
          <w:lang w:val="en-CA"/>
        </w:rPr>
        <w:t>.</w:t>
      </w:r>
      <w:r w:rsidR="00FD6BBE">
        <w:rPr>
          <w:rStyle w:val="FootnoteReference"/>
          <w:rFonts w:ascii="Calibri" w:hAnsi="Calibri"/>
          <w:lang w:val="en-CA"/>
        </w:rPr>
        <w:footnoteReference w:id="12"/>
      </w:r>
      <w:r w:rsidR="009B67BD" w:rsidRPr="00255803">
        <w:rPr>
          <w:rFonts w:ascii="Calibri" w:hAnsi="Calibri"/>
          <w:lang w:val="en-CA"/>
        </w:rPr>
        <w:t xml:space="preserve"> </w:t>
      </w:r>
      <w:r w:rsidR="00FD6BBE" w:rsidRPr="00255803">
        <w:rPr>
          <w:rFonts w:ascii="Calibri" w:hAnsi="Calibri"/>
          <w:lang w:val="en-CA"/>
        </w:rPr>
        <w:t>Thus,</w:t>
      </w:r>
      <w:r w:rsidR="009B67BD" w:rsidRPr="00255803">
        <w:rPr>
          <w:rFonts w:ascii="Calibri" w:hAnsi="Calibri"/>
          <w:lang w:val="en-CA"/>
        </w:rPr>
        <w:t xml:space="preserve"> the altarpiece</w:t>
      </w:r>
      <w:r w:rsidR="009C4BCC">
        <w:rPr>
          <w:rFonts w:ascii="Calibri" w:hAnsi="Calibri"/>
          <w:lang w:val="en-CA"/>
        </w:rPr>
        <w:t xml:space="preserve"> firmly binds the hospital, its donors and the Apocalypse</w:t>
      </w:r>
      <w:r w:rsidR="009B67BD" w:rsidRPr="00255803">
        <w:rPr>
          <w:rFonts w:ascii="Calibri" w:hAnsi="Calibri"/>
          <w:lang w:val="en-CA"/>
        </w:rPr>
        <w:t xml:space="preserve"> together in an artistic synthesis</w:t>
      </w:r>
      <w:r w:rsidR="00876585" w:rsidRPr="00255803">
        <w:rPr>
          <w:rFonts w:ascii="Calibri" w:hAnsi="Calibri"/>
          <w:lang w:val="en-CA"/>
        </w:rPr>
        <w:t>.</w:t>
      </w:r>
    </w:p>
    <w:p w14:paraId="09ACC41B" w14:textId="2189980B" w:rsidR="00B6058C" w:rsidRDefault="00013C03" w:rsidP="00A8285D">
      <w:pPr>
        <w:spacing w:line="480" w:lineRule="auto"/>
        <w:rPr>
          <w:rFonts w:ascii="Calibri" w:hAnsi="Calibri"/>
          <w:lang w:val="en-CA"/>
        </w:rPr>
      </w:pPr>
      <w:r w:rsidRPr="00255803">
        <w:rPr>
          <w:rFonts w:ascii="Calibri" w:hAnsi="Calibri"/>
          <w:lang w:val="en-CA"/>
        </w:rPr>
        <w:tab/>
        <w:t>The</w:t>
      </w:r>
      <w:r w:rsidR="00255803">
        <w:rPr>
          <w:rFonts w:ascii="Calibri" w:hAnsi="Calibri"/>
          <w:lang w:val="en-CA"/>
        </w:rPr>
        <w:t xml:space="preserve"> Apocalypse Panel </w:t>
      </w:r>
      <w:r w:rsidR="009C4BCC">
        <w:rPr>
          <w:rFonts w:ascii="Calibri" w:hAnsi="Calibri"/>
          <w:lang w:val="en-CA"/>
        </w:rPr>
        <w:t>portrays Saint John the Evangelist</w:t>
      </w:r>
      <w:r w:rsidR="00255803">
        <w:rPr>
          <w:rFonts w:ascii="Calibri" w:hAnsi="Calibri"/>
          <w:lang w:val="en-CA"/>
        </w:rPr>
        <w:t xml:space="preserve"> on the island of Patmos both witnessing and recording the events of the Apocalypse.</w:t>
      </w:r>
      <w:r w:rsidR="009C4BCC">
        <w:rPr>
          <w:rFonts w:ascii="Calibri" w:hAnsi="Calibri"/>
          <w:lang w:val="en-CA"/>
        </w:rPr>
        <w:t xml:space="preserve"> With his book already open and</w:t>
      </w:r>
      <w:r w:rsidR="007964B0">
        <w:rPr>
          <w:rFonts w:ascii="Calibri" w:hAnsi="Calibri"/>
          <w:lang w:val="en-CA"/>
        </w:rPr>
        <w:t xml:space="preserve"> much shown to be already written</w:t>
      </w:r>
      <w:r w:rsidR="00091285">
        <w:rPr>
          <w:rFonts w:ascii="Calibri" w:hAnsi="Calibri"/>
          <w:lang w:val="en-CA"/>
        </w:rPr>
        <w:t>,</w:t>
      </w:r>
      <w:r w:rsidR="007964B0">
        <w:rPr>
          <w:rFonts w:ascii="Calibri" w:hAnsi="Calibri"/>
          <w:lang w:val="en-CA"/>
        </w:rPr>
        <w:t xml:space="preserve"> it is clear that St. John has alread</w:t>
      </w:r>
      <w:r w:rsidR="00B02067">
        <w:rPr>
          <w:rFonts w:ascii="Calibri" w:hAnsi="Calibri"/>
          <w:lang w:val="en-CA"/>
        </w:rPr>
        <w:t xml:space="preserve">y recorded </w:t>
      </w:r>
      <w:r w:rsidR="0080363E">
        <w:rPr>
          <w:rFonts w:ascii="Calibri" w:hAnsi="Calibri"/>
          <w:lang w:val="en-CA"/>
        </w:rPr>
        <w:t>chapters one</w:t>
      </w:r>
      <w:r w:rsidR="00B02067">
        <w:rPr>
          <w:rFonts w:ascii="Calibri" w:hAnsi="Calibri"/>
          <w:lang w:val="en-CA"/>
        </w:rPr>
        <w:t xml:space="preserve"> to</w:t>
      </w:r>
      <w:r w:rsidR="007964B0">
        <w:rPr>
          <w:rFonts w:ascii="Calibri" w:hAnsi="Calibri"/>
          <w:lang w:val="en-CA"/>
        </w:rPr>
        <w:t xml:space="preserve"> three of the Book of Revelation and is currently on chapter </w:t>
      </w:r>
      <w:r w:rsidR="00FD6BBE">
        <w:rPr>
          <w:rFonts w:ascii="Calibri" w:hAnsi="Calibri"/>
          <w:lang w:val="en-CA"/>
        </w:rPr>
        <w:t>four.</w:t>
      </w:r>
      <w:r w:rsidR="00FD6BBE">
        <w:rPr>
          <w:rStyle w:val="FootnoteReference"/>
          <w:rFonts w:ascii="Calibri" w:hAnsi="Calibri"/>
          <w:lang w:val="en-CA"/>
        </w:rPr>
        <w:footnoteReference w:id="13"/>
      </w:r>
      <w:r w:rsidR="00FD6BBE">
        <w:rPr>
          <w:rFonts w:ascii="Calibri" w:hAnsi="Calibri"/>
          <w:lang w:val="en-CA"/>
        </w:rPr>
        <w:t xml:space="preserve"> </w:t>
      </w:r>
      <w:r w:rsidR="007964B0">
        <w:rPr>
          <w:rFonts w:ascii="Calibri" w:hAnsi="Calibri"/>
          <w:lang w:val="en-CA"/>
        </w:rPr>
        <w:t xml:space="preserve"> </w:t>
      </w:r>
      <w:r w:rsidR="00C0748E">
        <w:rPr>
          <w:rFonts w:ascii="Calibri" w:hAnsi="Calibri"/>
          <w:lang w:val="en-CA"/>
        </w:rPr>
        <w:t>Greenwood</w:t>
      </w:r>
      <w:r w:rsidR="009C4BCC">
        <w:rPr>
          <w:rFonts w:ascii="Calibri" w:hAnsi="Calibri"/>
          <w:lang w:val="en-CA"/>
        </w:rPr>
        <w:t xml:space="preserve"> highlights</w:t>
      </w:r>
      <w:r w:rsidR="007964B0">
        <w:rPr>
          <w:rFonts w:ascii="Calibri" w:hAnsi="Calibri"/>
          <w:lang w:val="en-CA"/>
        </w:rPr>
        <w:t xml:space="preserve"> i</w:t>
      </w:r>
      <w:r w:rsidR="009C4BCC">
        <w:rPr>
          <w:rFonts w:ascii="Calibri" w:hAnsi="Calibri"/>
          <w:lang w:val="en-CA"/>
        </w:rPr>
        <w:t>ts significance:</w:t>
      </w:r>
      <w:r w:rsidR="007964B0">
        <w:rPr>
          <w:rFonts w:ascii="Calibri" w:hAnsi="Calibri"/>
          <w:lang w:val="en-CA"/>
        </w:rPr>
        <w:t xml:space="preserve"> “it is in this chapter that St. John is transported to th</w:t>
      </w:r>
      <w:r w:rsidR="00550186">
        <w:rPr>
          <w:rFonts w:ascii="Calibri" w:hAnsi="Calibri"/>
          <w:lang w:val="en-CA"/>
        </w:rPr>
        <w:t>e state of being ‘in the spirit’.</w:t>
      </w:r>
      <w:r w:rsidR="00FD6BBE">
        <w:rPr>
          <w:rFonts w:ascii="Calibri" w:hAnsi="Calibri"/>
          <w:lang w:val="en-CA"/>
        </w:rPr>
        <w:t>”</w:t>
      </w:r>
      <w:r w:rsidR="005D4AC9">
        <w:rPr>
          <w:rStyle w:val="FootnoteReference"/>
          <w:rFonts w:ascii="Calibri" w:hAnsi="Calibri"/>
          <w:lang w:val="en-CA"/>
        </w:rPr>
        <w:footnoteReference w:id="14"/>
      </w:r>
      <w:r w:rsidR="007964B0">
        <w:rPr>
          <w:rFonts w:ascii="Calibri" w:hAnsi="Calibri"/>
          <w:lang w:val="en-CA"/>
        </w:rPr>
        <w:t xml:space="preserve"> </w:t>
      </w:r>
      <w:r w:rsidR="009C4BCC">
        <w:rPr>
          <w:rFonts w:ascii="Calibri" w:hAnsi="Calibri"/>
          <w:lang w:val="en-CA"/>
        </w:rPr>
        <w:t>W</w:t>
      </w:r>
      <w:r w:rsidR="00B6058C">
        <w:rPr>
          <w:rFonts w:ascii="Calibri" w:hAnsi="Calibri"/>
          <w:lang w:val="en-CA"/>
        </w:rPr>
        <w:t>hen a voice speaks to Saint John</w:t>
      </w:r>
      <w:r w:rsidR="00091285">
        <w:rPr>
          <w:rFonts w:ascii="Calibri" w:hAnsi="Calibri"/>
          <w:lang w:val="en-CA"/>
        </w:rPr>
        <w:t>,</w:t>
      </w:r>
      <w:r w:rsidR="00B6058C">
        <w:rPr>
          <w:rFonts w:ascii="Calibri" w:hAnsi="Calibri"/>
          <w:lang w:val="en-CA"/>
        </w:rPr>
        <w:t xml:space="preserve"> </w:t>
      </w:r>
      <w:r w:rsidR="00B23CA6">
        <w:rPr>
          <w:rFonts w:ascii="Calibri" w:hAnsi="Calibri"/>
          <w:lang w:val="en-CA"/>
        </w:rPr>
        <w:t>both John a</w:t>
      </w:r>
      <w:r w:rsidR="009C4BCC">
        <w:rPr>
          <w:rFonts w:ascii="Calibri" w:hAnsi="Calibri"/>
          <w:lang w:val="en-CA"/>
        </w:rPr>
        <w:t xml:space="preserve">nd the viewer are granted visions from </w:t>
      </w:r>
      <w:r w:rsidR="00B23CA6">
        <w:rPr>
          <w:rFonts w:ascii="Calibri" w:hAnsi="Calibri"/>
          <w:lang w:val="en-CA"/>
        </w:rPr>
        <w:t xml:space="preserve">the Book of Revelation. </w:t>
      </w:r>
      <w:r w:rsidR="00E21E91">
        <w:rPr>
          <w:rFonts w:ascii="Calibri" w:hAnsi="Calibri"/>
          <w:lang w:val="en-CA"/>
        </w:rPr>
        <w:t>Shirley Nielson Blum remarks at the “astonishing literalness”</w:t>
      </w:r>
      <w:r w:rsidR="009756DB">
        <w:rPr>
          <w:rStyle w:val="FootnoteReference"/>
          <w:rFonts w:ascii="Calibri" w:hAnsi="Calibri"/>
          <w:lang w:val="en-CA"/>
        </w:rPr>
        <w:footnoteReference w:id="15"/>
      </w:r>
      <w:r w:rsidR="00E21E91">
        <w:rPr>
          <w:rFonts w:ascii="Calibri" w:hAnsi="Calibri"/>
          <w:lang w:val="en-CA"/>
        </w:rPr>
        <w:t xml:space="preserve"> of the painting wherein it is “almost as if </w:t>
      </w:r>
      <w:proofErr w:type="spellStart"/>
      <w:r w:rsidR="00E21E91">
        <w:rPr>
          <w:rFonts w:ascii="Calibri" w:hAnsi="Calibri"/>
          <w:lang w:val="en-CA"/>
        </w:rPr>
        <w:t>Memlinc</w:t>
      </w:r>
      <w:proofErr w:type="spellEnd"/>
      <w:r w:rsidR="00877248">
        <w:rPr>
          <w:rFonts w:ascii="Calibri" w:hAnsi="Calibri"/>
          <w:lang w:val="en-CA"/>
        </w:rPr>
        <w:t xml:space="preserve"> [sic]</w:t>
      </w:r>
      <w:r w:rsidR="00E21E91">
        <w:rPr>
          <w:rFonts w:ascii="Calibri" w:hAnsi="Calibri"/>
          <w:lang w:val="en-CA"/>
        </w:rPr>
        <w:t xml:space="preserve"> had sat down at his easel with Revelations before him and carefully painted the major events of chapters 4 through 12.”</w:t>
      </w:r>
      <w:r w:rsidR="009756DB">
        <w:rPr>
          <w:rStyle w:val="FootnoteReference"/>
          <w:rFonts w:ascii="Calibri" w:hAnsi="Calibri"/>
          <w:lang w:val="en-CA"/>
        </w:rPr>
        <w:footnoteReference w:id="16"/>
      </w:r>
      <w:r w:rsidR="00E21E91">
        <w:rPr>
          <w:rFonts w:ascii="Calibri" w:hAnsi="Calibri"/>
          <w:lang w:val="en-CA"/>
        </w:rPr>
        <w:t xml:space="preserve"> Figures such as </w:t>
      </w:r>
      <w:r w:rsidR="00E21E91">
        <w:rPr>
          <w:rFonts w:ascii="Calibri" w:hAnsi="Calibri"/>
          <w:lang w:val="en-CA"/>
        </w:rPr>
        <w:lastRenderedPageBreak/>
        <w:t xml:space="preserve">The Enthroned One surrounded by a rainbow, the twenty-four elders, the four beasts, and </w:t>
      </w:r>
      <w:r w:rsidR="00550186">
        <w:rPr>
          <w:rFonts w:ascii="Calibri" w:hAnsi="Calibri"/>
          <w:lang w:val="en-CA"/>
        </w:rPr>
        <w:t xml:space="preserve">the </w:t>
      </w:r>
      <w:r w:rsidR="00E21E91">
        <w:rPr>
          <w:rFonts w:ascii="Calibri" w:hAnsi="Calibri"/>
          <w:lang w:val="en-CA"/>
        </w:rPr>
        <w:t>breaking of the first four seals signaling the four ho</w:t>
      </w:r>
      <w:r w:rsidR="004C5480">
        <w:rPr>
          <w:rFonts w:ascii="Calibri" w:hAnsi="Calibri"/>
          <w:lang w:val="en-CA"/>
        </w:rPr>
        <w:t>rsemen of the Apocalypse can be</w:t>
      </w:r>
      <w:r w:rsidR="00E21E91">
        <w:rPr>
          <w:rFonts w:ascii="Calibri" w:hAnsi="Calibri"/>
          <w:lang w:val="en-CA"/>
        </w:rPr>
        <w:t xml:space="preserve"> clearly seen from the top left to mid</w:t>
      </w:r>
      <w:r w:rsidR="002019F1">
        <w:rPr>
          <w:rFonts w:ascii="Calibri" w:hAnsi="Calibri"/>
          <w:lang w:val="en-CA"/>
        </w:rPr>
        <w:t>-</w:t>
      </w:r>
      <w:r w:rsidR="00E21E91">
        <w:rPr>
          <w:rFonts w:ascii="Calibri" w:hAnsi="Calibri"/>
          <w:lang w:val="en-CA"/>
        </w:rPr>
        <w:t>centre of the painting.</w:t>
      </w:r>
      <w:r w:rsidR="009756DB">
        <w:rPr>
          <w:rStyle w:val="FootnoteReference"/>
          <w:rFonts w:ascii="Calibri" w:hAnsi="Calibri"/>
          <w:lang w:val="en-CA"/>
        </w:rPr>
        <w:footnoteReference w:id="17"/>
      </w:r>
      <w:r w:rsidR="00577570">
        <w:rPr>
          <w:rFonts w:ascii="Calibri" w:hAnsi="Calibri"/>
          <w:lang w:val="en-CA"/>
        </w:rPr>
        <w:t xml:space="preserve"> The image of God and Saint John himself are the most prominent figures in the portrait followed by the four horsemen of </w:t>
      </w:r>
      <w:r w:rsidR="004C0567">
        <w:rPr>
          <w:rFonts w:ascii="Calibri" w:hAnsi="Calibri"/>
          <w:lang w:val="en-CA"/>
        </w:rPr>
        <w:t>conquest, war</w:t>
      </w:r>
      <w:r w:rsidR="00577570">
        <w:rPr>
          <w:rFonts w:ascii="Calibri" w:hAnsi="Calibri"/>
          <w:lang w:val="en-CA"/>
        </w:rPr>
        <w:t xml:space="preserve">, famine and finally death, who interestingly is followed by a </w:t>
      </w:r>
      <w:r w:rsidR="004C0567">
        <w:rPr>
          <w:rFonts w:ascii="Calibri" w:hAnsi="Calibri"/>
          <w:lang w:val="en-CA"/>
        </w:rPr>
        <w:t xml:space="preserve">literal </w:t>
      </w:r>
      <w:proofErr w:type="spellStart"/>
      <w:r w:rsidR="00577570">
        <w:rPr>
          <w:rFonts w:ascii="Calibri" w:hAnsi="Calibri"/>
          <w:lang w:val="en-CA"/>
        </w:rPr>
        <w:t>hellmouth</w:t>
      </w:r>
      <w:proofErr w:type="spellEnd"/>
      <w:r w:rsidR="00A50F10">
        <w:rPr>
          <w:rFonts w:ascii="Calibri" w:hAnsi="Calibri"/>
          <w:lang w:val="en-CA"/>
        </w:rPr>
        <w:t>,</w:t>
      </w:r>
      <w:r w:rsidR="00577570">
        <w:rPr>
          <w:rFonts w:ascii="Calibri" w:hAnsi="Calibri"/>
          <w:lang w:val="en-CA"/>
        </w:rPr>
        <w:t xml:space="preserve"> </w:t>
      </w:r>
      <w:r w:rsidR="00151BE1">
        <w:rPr>
          <w:rFonts w:ascii="Calibri" w:hAnsi="Calibri"/>
          <w:lang w:val="en-CA"/>
        </w:rPr>
        <w:t>a</w:t>
      </w:r>
      <w:r w:rsidR="004C0567">
        <w:rPr>
          <w:rFonts w:ascii="Calibri" w:hAnsi="Calibri"/>
          <w:lang w:val="en-CA"/>
        </w:rPr>
        <w:t xml:space="preserve"> </w:t>
      </w:r>
      <w:r w:rsidR="00151BE1">
        <w:rPr>
          <w:rFonts w:ascii="Calibri" w:hAnsi="Calibri"/>
          <w:lang w:val="en-CA"/>
        </w:rPr>
        <w:t>depiction of the phrase that “Hades was following close behind him.”</w:t>
      </w:r>
      <w:r w:rsidR="009756DB">
        <w:rPr>
          <w:rStyle w:val="FootnoteReference"/>
          <w:rFonts w:ascii="Calibri" w:hAnsi="Calibri"/>
          <w:lang w:val="en-CA"/>
        </w:rPr>
        <w:footnoteReference w:id="18"/>
      </w:r>
      <w:r w:rsidR="002019F1">
        <w:rPr>
          <w:rFonts w:ascii="Calibri" w:hAnsi="Calibri"/>
          <w:lang w:val="en-CA"/>
        </w:rPr>
        <w:t xml:space="preserve"> Notably</w:t>
      </w:r>
      <w:r w:rsidR="00A50F10">
        <w:rPr>
          <w:rFonts w:ascii="Calibri" w:hAnsi="Calibri"/>
          <w:lang w:val="en-CA"/>
        </w:rPr>
        <w:t>,</w:t>
      </w:r>
      <w:r w:rsidR="00151BE1">
        <w:rPr>
          <w:rFonts w:ascii="Calibri" w:hAnsi="Calibri"/>
          <w:lang w:val="en-CA"/>
        </w:rPr>
        <w:t xml:space="preserve"> the fifth seal is not depicted</w:t>
      </w:r>
      <w:r w:rsidR="00441D9F">
        <w:rPr>
          <w:rFonts w:ascii="Calibri" w:hAnsi="Calibri"/>
          <w:lang w:val="en-CA"/>
        </w:rPr>
        <w:t xml:space="preserve"> (Rev.</w:t>
      </w:r>
      <w:r w:rsidR="002314FC">
        <w:rPr>
          <w:rFonts w:ascii="Calibri" w:hAnsi="Calibri"/>
          <w:lang w:val="en-CA"/>
        </w:rPr>
        <w:t xml:space="preserve"> 6:9</w:t>
      </w:r>
      <w:r w:rsidR="00843807">
        <w:rPr>
          <w:rFonts w:ascii="Calibri" w:hAnsi="Calibri"/>
          <w:lang w:val="en-CA"/>
        </w:rPr>
        <w:t>), neither are</w:t>
      </w:r>
      <w:r w:rsidR="00441D9F">
        <w:rPr>
          <w:rFonts w:ascii="Calibri" w:hAnsi="Calibri"/>
          <w:lang w:val="en-CA"/>
        </w:rPr>
        <w:t xml:space="preserve"> the four angels released to kill one third of mankind after the </w:t>
      </w:r>
      <w:r w:rsidR="00D62B45">
        <w:rPr>
          <w:rFonts w:ascii="Calibri" w:hAnsi="Calibri"/>
          <w:lang w:val="en-CA"/>
        </w:rPr>
        <w:t>sixth angel blows his trumpet (R</w:t>
      </w:r>
      <w:r w:rsidR="00441D9F">
        <w:rPr>
          <w:rFonts w:ascii="Calibri" w:hAnsi="Calibri"/>
          <w:lang w:val="en-CA"/>
        </w:rPr>
        <w:t>ev. 9:14-15)</w:t>
      </w:r>
      <w:r w:rsidR="00A50F10">
        <w:rPr>
          <w:rFonts w:ascii="Calibri" w:hAnsi="Calibri"/>
          <w:lang w:val="en-CA"/>
        </w:rPr>
        <w:t>.</w:t>
      </w:r>
      <w:r w:rsidR="00441D9F">
        <w:rPr>
          <w:rFonts w:ascii="Calibri" w:hAnsi="Calibri"/>
          <w:lang w:val="en-CA"/>
        </w:rPr>
        <w:t xml:space="preserve"> </w:t>
      </w:r>
      <w:r w:rsidR="0045774E">
        <w:rPr>
          <w:rFonts w:ascii="Calibri" w:hAnsi="Calibri"/>
          <w:lang w:val="en-CA"/>
        </w:rPr>
        <w:t>However,</w:t>
      </w:r>
      <w:r w:rsidR="00D716CB">
        <w:rPr>
          <w:rFonts w:ascii="Calibri" w:hAnsi="Calibri"/>
          <w:lang w:val="en-CA"/>
        </w:rPr>
        <w:t xml:space="preserve"> the troops and cavalry (R</w:t>
      </w:r>
      <w:r w:rsidR="00441D9F">
        <w:rPr>
          <w:rFonts w:ascii="Calibri" w:hAnsi="Calibri"/>
          <w:lang w:val="en-CA"/>
        </w:rPr>
        <w:t xml:space="preserve">ev. 9:16) </w:t>
      </w:r>
      <w:r w:rsidR="002314FC">
        <w:rPr>
          <w:rFonts w:ascii="Calibri" w:hAnsi="Calibri"/>
          <w:lang w:val="en-CA"/>
        </w:rPr>
        <w:t xml:space="preserve">are </w:t>
      </w:r>
      <w:r w:rsidR="002019F1">
        <w:rPr>
          <w:rFonts w:ascii="Calibri" w:hAnsi="Calibri"/>
          <w:lang w:val="en-CA"/>
        </w:rPr>
        <w:t>portrayed</w:t>
      </w:r>
      <w:r w:rsidR="0045774E">
        <w:rPr>
          <w:rFonts w:ascii="Calibri" w:hAnsi="Calibri"/>
          <w:lang w:val="en-CA"/>
        </w:rPr>
        <w:t>.</w:t>
      </w:r>
      <w:r w:rsidR="001242CF">
        <w:rPr>
          <w:rStyle w:val="FootnoteReference"/>
          <w:rFonts w:ascii="Calibri" w:hAnsi="Calibri"/>
          <w:lang w:val="en-CA"/>
        </w:rPr>
        <w:footnoteReference w:id="19"/>
      </w:r>
      <w:r w:rsidR="00577570">
        <w:rPr>
          <w:rFonts w:ascii="Calibri" w:hAnsi="Calibri"/>
          <w:lang w:val="en-CA"/>
        </w:rPr>
        <w:t xml:space="preserve"> </w:t>
      </w:r>
      <w:r w:rsidR="002019F1">
        <w:rPr>
          <w:rFonts w:ascii="Calibri" w:hAnsi="Calibri"/>
          <w:lang w:val="en-CA"/>
        </w:rPr>
        <w:t>The remaining</w:t>
      </w:r>
      <w:r w:rsidR="004C0567">
        <w:rPr>
          <w:rFonts w:ascii="Calibri" w:hAnsi="Calibri"/>
          <w:lang w:val="en-CA"/>
        </w:rPr>
        <w:t xml:space="preserve"> iconi</w:t>
      </w:r>
      <w:r w:rsidR="002019F1">
        <w:rPr>
          <w:rFonts w:ascii="Calibri" w:hAnsi="Calibri"/>
          <w:lang w:val="en-CA"/>
        </w:rPr>
        <w:t>c images of the Apocalypse, apart from</w:t>
      </w:r>
      <w:r w:rsidR="004C0567">
        <w:rPr>
          <w:rFonts w:ascii="Calibri" w:hAnsi="Calibri"/>
          <w:lang w:val="en-CA"/>
        </w:rPr>
        <w:t xml:space="preserve"> the seventh seal which has not yet been broken are shown “trailing up into the hazy distance through the top right-hand register of the panel</w:t>
      </w:r>
      <w:r w:rsidR="001E57E3">
        <w:rPr>
          <w:rFonts w:ascii="Calibri" w:hAnsi="Calibri"/>
          <w:lang w:val="en-CA"/>
        </w:rPr>
        <w:t>.</w:t>
      </w:r>
      <w:r w:rsidR="004C0567">
        <w:rPr>
          <w:rFonts w:ascii="Calibri" w:hAnsi="Calibri"/>
          <w:lang w:val="en-CA"/>
        </w:rPr>
        <w:t>”</w:t>
      </w:r>
      <w:r w:rsidR="00C379D2">
        <w:rPr>
          <w:rStyle w:val="FootnoteReference"/>
          <w:rFonts w:ascii="Calibri" w:hAnsi="Calibri"/>
          <w:lang w:val="en-CA"/>
        </w:rPr>
        <w:footnoteReference w:id="20"/>
      </w:r>
      <w:r w:rsidR="004C0567">
        <w:rPr>
          <w:rFonts w:ascii="Calibri" w:hAnsi="Calibri"/>
          <w:lang w:val="en-CA"/>
        </w:rPr>
        <w:t xml:space="preserve"> </w:t>
      </w:r>
      <w:r w:rsidR="00A50F10">
        <w:rPr>
          <w:rFonts w:ascii="Calibri" w:hAnsi="Calibri"/>
          <w:lang w:val="en-CA"/>
        </w:rPr>
        <w:t>O</w:t>
      </w:r>
      <w:r w:rsidR="00297585">
        <w:rPr>
          <w:rFonts w:ascii="Calibri" w:hAnsi="Calibri"/>
          <w:lang w:val="en-CA"/>
        </w:rPr>
        <w:t>f note</w:t>
      </w:r>
      <w:r w:rsidR="002019F1">
        <w:rPr>
          <w:rFonts w:ascii="Calibri" w:hAnsi="Calibri"/>
          <w:lang w:val="en-CA"/>
        </w:rPr>
        <w:t xml:space="preserve"> is</w:t>
      </w:r>
      <w:r w:rsidR="00A6200D">
        <w:rPr>
          <w:rFonts w:ascii="Calibri" w:hAnsi="Calibri"/>
          <w:lang w:val="en-CA"/>
        </w:rPr>
        <w:t xml:space="preserve"> that Memling has fused Rev. 6:12</w:t>
      </w:r>
      <w:r w:rsidR="00297585">
        <w:rPr>
          <w:rFonts w:ascii="Calibri" w:hAnsi="Calibri"/>
          <w:lang w:val="en-CA"/>
        </w:rPr>
        <w:t xml:space="preserve"> “the full moon be</w:t>
      </w:r>
      <w:r w:rsidR="00A6200D">
        <w:rPr>
          <w:rFonts w:ascii="Calibri" w:hAnsi="Calibri"/>
          <w:lang w:val="en-CA"/>
        </w:rPr>
        <w:t>came like blood”</w:t>
      </w:r>
      <w:r w:rsidR="001E57E3">
        <w:rPr>
          <w:rStyle w:val="FootnoteReference"/>
          <w:rFonts w:ascii="Calibri" w:hAnsi="Calibri"/>
          <w:lang w:val="en-CA"/>
        </w:rPr>
        <w:footnoteReference w:id="21"/>
      </w:r>
      <w:r w:rsidR="00A6200D">
        <w:rPr>
          <w:rFonts w:ascii="Calibri" w:hAnsi="Calibri"/>
          <w:lang w:val="en-CA"/>
        </w:rPr>
        <w:t xml:space="preserve"> and Rev. 8:12</w:t>
      </w:r>
      <w:r w:rsidR="00297585">
        <w:rPr>
          <w:rFonts w:ascii="Calibri" w:hAnsi="Calibri"/>
          <w:lang w:val="en-CA"/>
        </w:rPr>
        <w:t xml:space="preserve"> </w:t>
      </w:r>
      <w:r w:rsidR="00A50F10">
        <w:rPr>
          <w:rFonts w:ascii="Calibri" w:hAnsi="Calibri"/>
          <w:lang w:val="en-CA"/>
        </w:rPr>
        <w:t xml:space="preserve">and </w:t>
      </w:r>
      <w:r w:rsidR="00297585">
        <w:rPr>
          <w:rFonts w:ascii="Calibri" w:hAnsi="Calibri"/>
          <w:lang w:val="en-CA"/>
        </w:rPr>
        <w:t xml:space="preserve">“one third of the light of the moon was darkened, </w:t>
      </w:r>
      <w:r w:rsidR="00A50F10">
        <w:rPr>
          <w:rFonts w:ascii="Calibri" w:hAnsi="Calibri"/>
          <w:lang w:val="en-CA"/>
        </w:rPr>
        <w:t>by creating a</w:t>
      </w:r>
      <w:r w:rsidR="00297585">
        <w:rPr>
          <w:rFonts w:ascii="Calibri" w:hAnsi="Calibri"/>
          <w:lang w:val="en-CA"/>
        </w:rPr>
        <w:t xml:space="preserve"> crescent moon the color of </w:t>
      </w:r>
      <w:r w:rsidR="0045774E">
        <w:rPr>
          <w:rFonts w:ascii="Calibri" w:hAnsi="Calibri"/>
          <w:lang w:val="en-CA"/>
        </w:rPr>
        <w:t>blood...”</w:t>
      </w:r>
      <w:r w:rsidR="001E57E3">
        <w:rPr>
          <w:rStyle w:val="FootnoteReference"/>
          <w:rFonts w:ascii="Calibri" w:hAnsi="Calibri"/>
          <w:lang w:val="en-CA"/>
        </w:rPr>
        <w:footnoteReference w:id="22"/>
      </w:r>
      <w:r w:rsidR="00297585">
        <w:rPr>
          <w:rFonts w:ascii="Calibri" w:hAnsi="Calibri"/>
          <w:lang w:val="en-CA"/>
        </w:rPr>
        <w:t xml:space="preserve"> The locusts of </w:t>
      </w:r>
      <w:r w:rsidR="005348BE">
        <w:rPr>
          <w:rFonts w:ascii="Calibri" w:hAnsi="Calibri"/>
          <w:lang w:val="en-CA"/>
        </w:rPr>
        <w:t xml:space="preserve">Rev. </w:t>
      </w:r>
      <w:r w:rsidR="00DE5CAD">
        <w:rPr>
          <w:rFonts w:ascii="Calibri" w:hAnsi="Calibri"/>
          <w:lang w:val="en-CA"/>
        </w:rPr>
        <w:t>9:7</w:t>
      </w:r>
      <w:r w:rsidR="0045774E">
        <w:rPr>
          <w:rFonts w:ascii="Calibri" w:hAnsi="Calibri"/>
          <w:lang w:val="en-CA"/>
        </w:rPr>
        <w:t xml:space="preserve"> are</w:t>
      </w:r>
      <w:r w:rsidR="0009706F">
        <w:rPr>
          <w:rFonts w:ascii="Calibri" w:hAnsi="Calibri"/>
          <w:lang w:val="en-CA"/>
        </w:rPr>
        <w:t xml:space="preserve"> depicted</w:t>
      </w:r>
      <w:r w:rsidR="005348BE">
        <w:rPr>
          <w:rFonts w:ascii="Calibri" w:hAnsi="Calibri"/>
          <w:lang w:val="en-CA"/>
        </w:rPr>
        <w:t xml:space="preserve"> literally with bodies like horses, gold crowns, the hair of women and the heads of men. </w:t>
      </w:r>
      <w:r w:rsidR="00A50F10">
        <w:rPr>
          <w:rFonts w:ascii="Calibri" w:hAnsi="Calibri"/>
          <w:lang w:val="en-CA"/>
        </w:rPr>
        <w:t>T</w:t>
      </w:r>
      <w:r w:rsidR="00F12C28">
        <w:rPr>
          <w:rFonts w:ascii="Calibri" w:hAnsi="Calibri"/>
          <w:lang w:val="en-CA"/>
        </w:rPr>
        <w:t xml:space="preserve">his panel </w:t>
      </w:r>
      <w:r w:rsidR="00A50F10">
        <w:rPr>
          <w:rFonts w:ascii="Calibri" w:hAnsi="Calibri"/>
          <w:lang w:val="en-CA"/>
        </w:rPr>
        <w:t xml:space="preserve">depicts </w:t>
      </w:r>
      <w:r w:rsidR="00F12C28">
        <w:rPr>
          <w:rFonts w:ascii="Calibri" w:hAnsi="Calibri"/>
          <w:lang w:val="en-CA"/>
        </w:rPr>
        <w:t>an extreme lit</w:t>
      </w:r>
      <w:r w:rsidR="0009706F">
        <w:rPr>
          <w:rFonts w:ascii="Calibri" w:hAnsi="Calibri"/>
          <w:lang w:val="en-CA"/>
        </w:rPr>
        <w:t xml:space="preserve">eralness of the text, with </w:t>
      </w:r>
      <w:r w:rsidR="00F12C28">
        <w:rPr>
          <w:rFonts w:ascii="Calibri" w:hAnsi="Calibri"/>
          <w:lang w:val="en-CA"/>
        </w:rPr>
        <w:t xml:space="preserve">little in the way of alterations or changes, other than the examples expressed above. </w:t>
      </w:r>
    </w:p>
    <w:p w14:paraId="3ECBEC9A" w14:textId="7B5363B7" w:rsidR="003A0C8D" w:rsidRDefault="00F12C28" w:rsidP="00A8285D">
      <w:pPr>
        <w:spacing w:line="480" w:lineRule="auto"/>
        <w:rPr>
          <w:rFonts w:ascii="Calibri" w:hAnsi="Calibri"/>
          <w:lang w:val="en-CA"/>
        </w:rPr>
      </w:pPr>
      <w:r>
        <w:rPr>
          <w:rFonts w:ascii="Calibri" w:hAnsi="Calibri"/>
          <w:lang w:val="en-CA"/>
        </w:rPr>
        <w:lastRenderedPageBreak/>
        <w:tab/>
        <w:t xml:space="preserve">The </w:t>
      </w:r>
      <w:r w:rsidR="003A0C8D">
        <w:rPr>
          <w:rFonts w:ascii="Calibri" w:hAnsi="Calibri"/>
          <w:lang w:val="en-CA"/>
        </w:rPr>
        <w:t>Apocalypse</w:t>
      </w:r>
      <w:r>
        <w:rPr>
          <w:rFonts w:ascii="Calibri" w:hAnsi="Calibri"/>
          <w:lang w:val="en-CA"/>
        </w:rPr>
        <w:t xml:space="preserve"> panel differs greatly from most other medie</w:t>
      </w:r>
      <w:r w:rsidR="002019F1">
        <w:rPr>
          <w:rFonts w:ascii="Calibri" w:hAnsi="Calibri"/>
          <w:lang w:val="en-CA"/>
        </w:rPr>
        <w:t>val depictions of the subject</w:t>
      </w:r>
      <w:r>
        <w:rPr>
          <w:rFonts w:ascii="Calibri" w:hAnsi="Calibri"/>
          <w:lang w:val="en-CA"/>
        </w:rPr>
        <w:t xml:space="preserve"> </w:t>
      </w:r>
      <w:r w:rsidR="00A50F10">
        <w:rPr>
          <w:rFonts w:ascii="Calibri" w:hAnsi="Calibri"/>
          <w:lang w:val="en-CA"/>
        </w:rPr>
        <w:t xml:space="preserve">by depicting the </w:t>
      </w:r>
      <w:r>
        <w:rPr>
          <w:rFonts w:ascii="Calibri" w:hAnsi="Calibri"/>
          <w:lang w:val="en-CA"/>
        </w:rPr>
        <w:t xml:space="preserve">events of the Book of Revelations </w:t>
      </w:r>
      <w:r w:rsidR="00A50F10">
        <w:rPr>
          <w:rFonts w:ascii="Calibri" w:hAnsi="Calibri"/>
          <w:lang w:val="en-CA"/>
        </w:rPr>
        <w:t>as</w:t>
      </w:r>
      <w:r w:rsidR="002019F1">
        <w:rPr>
          <w:rFonts w:ascii="Calibri" w:hAnsi="Calibri"/>
          <w:lang w:val="en-CA"/>
        </w:rPr>
        <w:t xml:space="preserve"> happening simultaneously.</w:t>
      </w:r>
      <w:r>
        <w:rPr>
          <w:rFonts w:ascii="Calibri" w:hAnsi="Calibri"/>
          <w:lang w:val="en-CA"/>
        </w:rPr>
        <w:t xml:space="preserve"> In contrast “the tapestry and manuscript traditions of the twelfth and thirteenth centuries had shown each event, but in a long narrative fashion… but </w:t>
      </w:r>
      <w:proofErr w:type="spellStart"/>
      <w:r>
        <w:rPr>
          <w:rFonts w:ascii="Calibri" w:hAnsi="Calibri"/>
          <w:lang w:val="en-CA"/>
        </w:rPr>
        <w:t>Memlinc</w:t>
      </w:r>
      <w:proofErr w:type="spellEnd"/>
      <w:r>
        <w:rPr>
          <w:rFonts w:ascii="Calibri" w:hAnsi="Calibri"/>
          <w:lang w:val="en-CA"/>
        </w:rPr>
        <w:t>...condensed the apocalyptic events into a single image, occurring at one time and place.”</w:t>
      </w:r>
      <w:r w:rsidR="001E57E3">
        <w:rPr>
          <w:rStyle w:val="FootnoteReference"/>
          <w:rFonts w:ascii="Calibri" w:hAnsi="Calibri"/>
          <w:lang w:val="en-CA"/>
        </w:rPr>
        <w:footnoteReference w:id="23"/>
      </w:r>
      <w:r>
        <w:rPr>
          <w:rFonts w:ascii="Calibri" w:hAnsi="Calibri"/>
          <w:lang w:val="en-CA"/>
        </w:rPr>
        <w:t xml:space="preserve"> </w:t>
      </w:r>
      <w:r w:rsidR="0009706F">
        <w:rPr>
          <w:rFonts w:ascii="Calibri" w:hAnsi="Calibri"/>
          <w:lang w:val="en-CA"/>
        </w:rPr>
        <w:t xml:space="preserve">Shirley Nielson Blum </w:t>
      </w:r>
      <w:r>
        <w:rPr>
          <w:rFonts w:ascii="Calibri" w:hAnsi="Calibri"/>
          <w:lang w:val="en-CA"/>
        </w:rPr>
        <w:t>posit</w:t>
      </w:r>
      <w:r w:rsidR="0009706F">
        <w:rPr>
          <w:rFonts w:ascii="Calibri" w:hAnsi="Calibri"/>
          <w:lang w:val="en-CA"/>
        </w:rPr>
        <w:t>s</w:t>
      </w:r>
      <w:r>
        <w:rPr>
          <w:rFonts w:ascii="Calibri" w:hAnsi="Calibri"/>
          <w:lang w:val="en-CA"/>
        </w:rPr>
        <w:t xml:space="preserve"> that </w:t>
      </w:r>
      <w:r w:rsidR="000B548E">
        <w:rPr>
          <w:rFonts w:ascii="Calibri" w:hAnsi="Calibri"/>
          <w:lang w:val="en-CA"/>
        </w:rPr>
        <w:t xml:space="preserve">the style of </w:t>
      </w:r>
      <w:r>
        <w:rPr>
          <w:rFonts w:ascii="Calibri" w:hAnsi="Calibri"/>
          <w:lang w:val="en-CA"/>
        </w:rPr>
        <w:t xml:space="preserve">this panel </w:t>
      </w:r>
      <w:r w:rsidR="000B548E">
        <w:rPr>
          <w:rFonts w:ascii="Calibri" w:hAnsi="Calibri"/>
          <w:lang w:val="en-CA"/>
        </w:rPr>
        <w:t>contributes</w:t>
      </w:r>
      <w:r>
        <w:rPr>
          <w:rFonts w:ascii="Calibri" w:hAnsi="Calibri"/>
          <w:lang w:val="en-CA"/>
        </w:rPr>
        <w:t xml:space="preserve"> “the germ of the fantastic forms that were to become </w:t>
      </w:r>
      <w:r w:rsidR="008C3BC4">
        <w:rPr>
          <w:rFonts w:ascii="Calibri" w:hAnsi="Calibri"/>
          <w:lang w:val="en-CA"/>
        </w:rPr>
        <w:t>in the work of Bosch a major innovation of the late fifteenth centur</w:t>
      </w:r>
      <w:r w:rsidR="001E57E3">
        <w:rPr>
          <w:rFonts w:ascii="Calibri" w:hAnsi="Calibri"/>
          <w:lang w:val="en-CA"/>
        </w:rPr>
        <w:t>y.”</w:t>
      </w:r>
      <w:r w:rsidR="001E57E3">
        <w:rPr>
          <w:rStyle w:val="FootnoteReference"/>
          <w:rFonts w:ascii="Calibri" w:hAnsi="Calibri"/>
          <w:lang w:val="en-CA"/>
        </w:rPr>
        <w:footnoteReference w:id="24"/>
      </w:r>
      <w:r w:rsidR="002019F1">
        <w:rPr>
          <w:rFonts w:ascii="Calibri" w:hAnsi="Calibri"/>
          <w:lang w:val="en-CA"/>
        </w:rPr>
        <w:t xml:space="preserve"> The only tangible</w:t>
      </w:r>
      <w:r w:rsidR="008C3BC4">
        <w:rPr>
          <w:rFonts w:ascii="Calibri" w:hAnsi="Calibri"/>
          <w:lang w:val="en-CA"/>
        </w:rPr>
        <w:t xml:space="preserve"> difference between the two artists</w:t>
      </w:r>
      <w:r w:rsidR="000B548E">
        <w:rPr>
          <w:rFonts w:ascii="Calibri" w:hAnsi="Calibri"/>
          <w:lang w:val="en-CA"/>
        </w:rPr>
        <w:t>’</w:t>
      </w:r>
      <w:r w:rsidR="002019F1">
        <w:rPr>
          <w:rFonts w:ascii="Calibri" w:hAnsi="Calibri"/>
          <w:lang w:val="en-CA"/>
        </w:rPr>
        <w:t xml:space="preserve"> styles is that the</w:t>
      </w:r>
      <w:r w:rsidR="008C3BC4">
        <w:rPr>
          <w:rFonts w:ascii="Calibri" w:hAnsi="Calibri"/>
          <w:lang w:val="en-CA"/>
        </w:rPr>
        <w:t xml:space="preserve"> literalness of Memling’s Apocalypse </w:t>
      </w:r>
      <w:r w:rsidR="0009706F">
        <w:rPr>
          <w:rFonts w:ascii="Calibri" w:hAnsi="Calibri"/>
          <w:lang w:val="en-CA"/>
        </w:rPr>
        <w:t>can</w:t>
      </w:r>
      <w:r w:rsidR="008C3BC4">
        <w:rPr>
          <w:rFonts w:ascii="Calibri" w:hAnsi="Calibri"/>
          <w:lang w:val="en-CA"/>
        </w:rPr>
        <w:t xml:space="preserve"> </w:t>
      </w:r>
      <w:r w:rsidR="000B548E">
        <w:rPr>
          <w:rFonts w:ascii="Calibri" w:hAnsi="Calibri"/>
          <w:lang w:val="en-CA"/>
        </w:rPr>
        <w:t xml:space="preserve">be </w:t>
      </w:r>
      <w:r w:rsidR="008C3BC4">
        <w:rPr>
          <w:rFonts w:ascii="Calibri" w:hAnsi="Calibri"/>
          <w:lang w:val="en-CA"/>
        </w:rPr>
        <w:t>underst</w:t>
      </w:r>
      <w:r w:rsidR="000B548E">
        <w:rPr>
          <w:rFonts w:ascii="Calibri" w:hAnsi="Calibri"/>
          <w:lang w:val="en-CA"/>
        </w:rPr>
        <w:t>ood</w:t>
      </w:r>
      <w:r w:rsidR="002019F1">
        <w:rPr>
          <w:rFonts w:ascii="Calibri" w:hAnsi="Calibri"/>
          <w:lang w:val="en-CA"/>
        </w:rPr>
        <w:t>,</w:t>
      </w:r>
      <w:r w:rsidR="008C3BC4">
        <w:rPr>
          <w:rFonts w:ascii="Calibri" w:hAnsi="Calibri"/>
          <w:lang w:val="en-CA"/>
        </w:rPr>
        <w:t xml:space="preserve"> whereas in Bosch’s painting “the vision became the private property of the painter, perhaps never to be completely unravelled by a twentieth century mind.”</w:t>
      </w:r>
      <w:r w:rsidR="001E57E3">
        <w:rPr>
          <w:rStyle w:val="FootnoteReference"/>
          <w:rFonts w:ascii="Calibri" w:hAnsi="Calibri"/>
          <w:lang w:val="en-CA"/>
        </w:rPr>
        <w:footnoteReference w:id="25"/>
      </w:r>
    </w:p>
    <w:p w14:paraId="2BC892B0" w14:textId="48FF4B29" w:rsidR="00AD6189" w:rsidRDefault="003A0C8D" w:rsidP="00A8285D">
      <w:pPr>
        <w:spacing w:line="480" w:lineRule="auto"/>
        <w:rPr>
          <w:rFonts w:ascii="Calibri" w:hAnsi="Calibri"/>
          <w:lang w:val="en-CA"/>
        </w:rPr>
      </w:pPr>
      <w:r>
        <w:rPr>
          <w:rFonts w:ascii="Calibri" w:hAnsi="Calibri"/>
          <w:lang w:val="en-CA"/>
        </w:rPr>
        <w:tab/>
      </w:r>
      <w:r w:rsidR="0009706F">
        <w:rPr>
          <w:rFonts w:ascii="Calibri" w:hAnsi="Calibri"/>
          <w:lang w:val="en-CA"/>
        </w:rPr>
        <w:t>In summary</w:t>
      </w:r>
      <w:r w:rsidR="003F2704">
        <w:rPr>
          <w:rFonts w:ascii="Calibri" w:hAnsi="Calibri"/>
          <w:lang w:val="en-CA"/>
        </w:rPr>
        <w:t>,</w:t>
      </w:r>
      <w:r w:rsidR="0009706F">
        <w:rPr>
          <w:rFonts w:ascii="Calibri" w:hAnsi="Calibri"/>
          <w:lang w:val="en-CA"/>
        </w:rPr>
        <w:t xml:space="preserve"> </w:t>
      </w:r>
      <w:r w:rsidR="003E384F">
        <w:rPr>
          <w:rFonts w:ascii="Calibri" w:hAnsi="Calibri"/>
          <w:lang w:val="en-CA"/>
        </w:rPr>
        <w:t xml:space="preserve">Memling’s Apocalypse panel </w:t>
      </w:r>
      <w:r w:rsidR="0045774E">
        <w:rPr>
          <w:rFonts w:ascii="Calibri" w:hAnsi="Calibri"/>
          <w:lang w:val="en-CA"/>
        </w:rPr>
        <w:t>is</w:t>
      </w:r>
      <w:r w:rsidR="00EB15C3">
        <w:rPr>
          <w:rFonts w:ascii="Calibri" w:hAnsi="Calibri"/>
          <w:lang w:val="en-CA"/>
        </w:rPr>
        <w:t xml:space="preserve"> valuable as</w:t>
      </w:r>
      <w:r w:rsidR="00DE7463">
        <w:rPr>
          <w:rFonts w:ascii="Calibri" w:hAnsi="Calibri"/>
          <w:lang w:val="en-CA"/>
        </w:rPr>
        <w:t xml:space="preserve"> </w:t>
      </w:r>
      <w:r w:rsidR="00EB15C3">
        <w:rPr>
          <w:rFonts w:ascii="Calibri" w:hAnsi="Calibri"/>
          <w:lang w:val="en-CA"/>
        </w:rPr>
        <w:t>a breakaway from previous renditions of the Apocalypse</w:t>
      </w:r>
      <w:r w:rsidR="003F2704">
        <w:rPr>
          <w:rFonts w:ascii="Calibri" w:hAnsi="Calibri"/>
          <w:lang w:val="en-CA"/>
        </w:rPr>
        <w:t xml:space="preserve">: </w:t>
      </w:r>
      <w:r w:rsidR="008626C8">
        <w:rPr>
          <w:rFonts w:ascii="Calibri" w:hAnsi="Calibri"/>
          <w:lang w:val="en-CA"/>
        </w:rPr>
        <w:t>“its serene and contemplative portrayal of the episodes of Revelation within a single, undivided narrative space, an approach unparalleled in panel p</w:t>
      </w:r>
      <w:r w:rsidR="003F2704">
        <w:rPr>
          <w:rFonts w:ascii="Calibri" w:hAnsi="Calibri"/>
          <w:lang w:val="en-CA"/>
        </w:rPr>
        <w:t>ainting</w:t>
      </w:r>
      <w:r w:rsidR="008626C8">
        <w:rPr>
          <w:rFonts w:ascii="Calibri" w:hAnsi="Calibri"/>
          <w:lang w:val="en-CA"/>
        </w:rPr>
        <w:t>”</w:t>
      </w:r>
      <w:r w:rsidR="001E57E3">
        <w:rPr>
          <w:rStyle w:val="FootnoteReference"/>
          <w:rFonts w:ascii="Calibri" w:hAnsi="Calibri"/>
          <w:lang w:val="en-CA"/>
        </w:rPr>
        <w:footnoteReference w:id="26"/>
      </w:r>
      <w:r w:rsidR="008626C8">
        <w:rPr>
          <w:rFonts w:ascii="Calibri" w:hAnsi="Calibri"/>
          <w:lang w:val="en-CA"/>
        </w:rPr>
        <w:t>, and finally as</w:t>
      </w:r>
      <w:r w:rsidR="003E384F">
        <w:rPr>
          <w:rFonts w:ascii="Calibri" w:hAnsi="Calibri"/>
          <w:lang w:val="en-CA"/>
        </w:rPr>
        <w:t xml:space="preserve"> an inspiration for later wor</w:t>
      </w:r>
      <w:r w:rsidR="008626C8">
        <w:rPr>
          <w:rFonts w:ascii="Calibri" w:hAnsi="Calibri"/>
          <w:lang w:val="en-CA"/>
        </w:rPr>
        <w:t>ks by artists such as</w:t>
      </w:r>
      <w:r w:rsidR="003E384F">
        <w:rPr>
          <w:rFonts w:ascii="Calibri" w:hAnsi="Calibri"/>
          <w:lang w:val="en-CA"/>
        </w:rPr>
        <w:t xml:space="preserve"> Bosch.</w:t>
      </w:r>
      <w:r w:rsidR="001E57E3">
        <w:rPr>
          <w:rStyle w:val="FootnoteReference"/>
          <w:rFonts w:ascii="Calibri" w:hAnsi="Calibri"/>
          <w:lang w:val="en-CA"/>
        </w:rPr>
        <w:footnoteReference w:id="27"/>
      </w:r>
      <w:r w:rsidR="003E384F">
        <w:rPr>
          <w:rFonts w:ascii="Calibri" w:hAnsi="Calibri"/>
          <w:lang w:val="en-CA"/>
        </w:rPr>
        <w:t xml:space="preserve"> </w:t>
      </w:r>
      <w:r w:rsidR="009F2D8D">
        <w:rPr>
          <w:rFonts w:ascii="Calibri" w:hAnsi="Calibri"/>
          <w:lang w:val="en-CA"/>
        </w:rPr>
        <w:t>T</w:t>
      </w:r>
      <w:r w:rsidR="002019F1">
        <w:rPr>
          <w:rFonts w:ascii="Calibri" w:hAnsi="Calibri"/>
          <w:lang w:val="en-CA"/>
        </w:rPr>
        <w:t>he events of the A</w:t>
      </w:r>
      <w:r w:rsidR="00B33072">
        <w:rPr>
          <w:rFonts w:ascii="Calibri" w:hAnsi="Calibri"/>
          <w:lang w:val="en-CA"/>
        </w:rPr>
        <w:t>pocalypse</w:t>
      </w:r>
      <w:r w:rsidR="009F2D8D">
        <w:rPr>
          <w:rFonts w:ascii="Calibri" w:hAnsi="Calibri"/>
          <w:lang w:val="en-CA"/>
        </w:rPr>
        <w:t xml:space="preserve"> are depicted in a literal manner despite</w:t>
      </w:r>
      <w:r w:rsidR="00B33072">
        <w:rPr>
          <w:rFonts w:ascii="Calibri" w:hAnsi="Calibri"/>
          <w:lang w:val="en-CA"/>
        </w:rPr>
        <w:t xml:space="preserve"> the </w:t>
      </w:r>
      <w:r w:rsidR="001C2613">
        <w:rPr>
          <w:rFonts w:ascii="Calibri" w:hAnsi="Calibri"/>
          <w:lang w:val="en-CA"/>
        </w:rPr>
        <w:t>colo</w:t>
      </w:r>
      <w:r w:rsidR="003F2704">
        <w:rPr>
          <w:rFonts w:ascii="Calibri" w:hAnsi="Calibri"/>
          <w:lang w:val="en-CA"/>
        </w:rPr>
        <w:t>u</w:t>
      </w:r>
      <w:r w:rsidR="001C2613">
        <w:rPr>
          <w:rFonts w:ascii="Calibri" w:hAnsi="Calibri"/>
          <w:lang w:val="en-CA"/>
        </w:rPr>
        <w:t>rful and dreamlike aspect of the piece.</w:t>
      </w:r>
      <w:r w:rsidR="001E57E3">
        <w:rPr>
          <w:rStyle w:val="FootnoteReference"/>
          <w:rFonts w:ascii="Calibri" w:hAnsi="Calibri"/>
          <w:lang w:val="en-CA"/>
        </w:rPr>
        <w:footnoteReference w:id="28"/>
      </w:r>
      <w:r w:rsidR="001C2613">
        <w:rPr>
          <w:rFonts w:ascii="Calibri" w:hAnsi="Calibri"/>
          <w:lang w:val="en-CA"/>
        </w:rPr>
        <w:t xml:space="preserve"> </w:t>
      </w:r>
      <w:r w:rsidR="00613097">
        <w:rPr>
          <w:rFonts w:ascii="Calibri" w:hAnsi="Calibri"/>
          <w:lang w:val="en-CA"/>
        </w:rPr>
        <w:t xml:space="preserve">Of additional </w:t>
      </w:r>
      <w:r w:rsidR="0045774E">
        <w:rPr>
          <w:rFonts w:ascii="Calibri" w:hAnsi="Calibri"/>
          <w:lang w:val="en-CA"/>
        </w:rPr>
        <w:t xml:space="preserve">interest, </w:t>
      </w:r>
      <w:r w:rsidR="00AD6189">
        <w:rPr>
          <w:rFonts w:ascii="Calibri" w:hAnsi="Calibri"/>
          <w:lang w:val="en-CA"/>
        </w:rPr>
        <w:t xml:space="preserve">rather than being funded by Church Hierarchy </w:t>
      </w:r>
    </w:p>
    <w:p w14:paraId="2A36D3B9" w14:textId="79202710" w:rsidR="00AD6189" w:rsidRDefault="00F942BA" w:rsidP="00A8285D">
      <w:pPr>
        <w:spacing w:line="480" w:lineRule="auto"/>
        <w:ind w:left="567" w:right="713"/>
        <w:rPr>
          <w:rFonts w:ascii="Calibri" w:hAnsi="Calibri"/>
          <w:lang w:val="en-CA"/>
        </w:rPr>
      </w:pPr>
      <w:r w:rsidRPr="009F2AEE">
        <w:rPr>
          <w:rFonts w:ascii="Calibri" w:hAnsi="Calibri"/>
          <w:lang w:val="en-CA"/>
        </w:rPr>
        <w:lastRenderedPageBreak/>
        <w:t>“</w:t>
      </w:r>
      <w:r w:rsidRPr="009F2AEE">
        <w:rPr>
          <w:rFonts w:ascii="Calibri" w:hAnsi="Calibri" w:cs="Helvetica"/>
          <w:color w:val="262626"/>
        </w:rPr>
        <w:t xml:space="preserve">The painting was donated to the Hospital by two of its nuns and two of its brothers. Although the triptych took four years to complete, </w:t>
      </w:r>
      <w:proofErr w:type="spellStart"/>
      <w:r w:rsidRPr="009F2AEE">
        <w:rPr>
          <w:rFonts w:ascii="Calibri" w:hAnsi="Calibri" w:cs="Helvetica"/>
          <w:color w:val="262626"/>
        </w:rPr>
        <w:t>Memlinc</w:t>
      </w:r>
      <w:proofErr w:type="spellEnd"/>
      <w:r w:rsidRPr="009F2AEE">
        <w:rPr>
          <w:rFonts w:ascii="Calibri" w:hAnsi="Calibri" w:cs="Helvetica"/>
          <w:color w:val="262626"/>
        </w:rPr>
        <w:t xml:space="preserve"> would hardly have charged them more than the little they could afford to pay.”</w:t>
      </w:r>
      <w:r w:rsidR="001E57E3">
        <w:rPr>
          <w:rStyle w:val="FootnoteReference"/>
          <w:rFonts w:ascii="Calibri" w:hAnsi="Calibri" w:cs="Helvetica"/>
          <w:color w:val="262626"/>
        </w:rPr>
        <w:footnoteReference w:id="29"/>
      </w:r>
      <w:r w:rsidR="001045B1" w:rsidRPr="009F2AEE">
        <w:rPr>
          <w:rFonts w:ascii="Calibri" w:hAnsi="Calibri"/>
          <w:lang w:val="en-CA"/>
        </w:rPr>
        <w:t xml:space="preserve"> </w:t>
      </w:r>
    </w:p>
    <w:p w14:paraId="64E20009" w14:textId="345A62BD" w:rsidR="00D5139D" w:rsidRPr="008626C8" w:rsidRDefault="001045B1" w:rsidP="00A8285D">
      <w:pPr>
        <w:spacing w:line="480" w:lineRule="auto"/>
        <w:rPr>
          <w:rFonts w:ascii="Calibri" w:hAnsi="Calibri"/>
          <w:lang w:val="en-CA"/>
        </w:rPr>
      </w:pPr>
      <w:r w:rsidRPr="009F2AEE">
        <w:rPr>
          <w:rFonts w:ascii="Calibri" w:hAnsi="Calibri"/>
          <w:lang w:val="en-CA"/>
        </w:rPr>
        <w:t>Therefore</w:t>
      </w:r>
      <w:r w:rsidR="00AD6189">
        <w:rPr>
          <w:rFonts w:ascii="Calibri" w:hAnsi="Calibri"/>
          <w:lang w:val="en-CA"/>
        </w:rPr>
        <w:t>, the work of Hans Memling</w:t>
      </w:r>
      <w:r w:rsidR="00613097" w:rsidRPr="009F2AEE">
        <w:rPr>
          <w:rFonts w:ascii="Calibri" w:hAnsi="Calibri"/>
          <w:lang w:val="en-CA"/>
        </w:rPr>
        <w:t xml:space="preserve"> reflects</w:t>
      </w:r>
      <w:r w:rsidR="00AD6189">
        <w:rPr>
          <w:rFonts w:ascii="Calibri" w:hAnsi="Calibri"/>
          <w:lang w:val="en-CA"/>
        </w:rPr>
        <w:t xml:space="preserve"> the</w:t>
      </w:r>
      <w:r w:rsidR="00613097" w:rsidRPr="009F2AEE">
        <w:rPr>
          <w:rFonts w:ascii="Calibri" w:hAnsi="Calibri"/>
          <w:lang w:val="en-CA"/>
        </w:rPr>
        <w:t xml:space="preserve"> evolution of art and society in Bruges</w:t>
      </w:r>
      <w:r w:rsidR="00613097">
        <w:rPr>
          <w:rFonts w:ascii="Calibri" w:hAnsi="Calibri"/>
          <w:lang w:val="en-CA"/>
        </w:rPr>
        <w:t xml:space="preserve"> itself.</w:t>
      </w:r>
      <w:r w:rsidR="00613097" w:rsidDel="000B548E">
        <w:rPr>
          <w:rFonts w:ascii="Helvetica" w:hAnsi="Helvetica" w:cs="Helvetica"/>
          <w:color w:val="262626"/>
        </w:rPr>
        <w:t xml:space="preserve"> </w:t>
      </w:r>
    </w:p>
    <w:p w14:paraId="5B380713" w14:textId="77777777" w:rsidR="00DE7463" w:rsidRDefault="00DE7463" w:rsidP="00A8285D">
      <w:pPr>
        <w:spacing w:line="480" w:lineRule="auto"/>
        <w:rPr>
          <w:rFonts w:ascii="Helvetica" w:hAnsi="Helvetica" w:cs="Helvetica"/>
          <w:color w:val="262626"/>
        </w:rPr>
      </w:pPr>
    </w:p>
    <w:p w14:paraId="711C71E0" w14:textId="77777777" w:rsidR="00CE6E9E" w:rsidRDefault="00CE6E9E" w:rsidP="00A8285D">
      <w:pPr>
        <w:spacing w:line="480" w:lineRule="auto"/>
        <w:rPr>
          <w:rFonts w:ascii="Helvetica" w:hAnsi="Helvetica" w:cs="Helvetica"/>
          <w:color w:val="262626"/>
        </w:rPr>
      </w:pPr>
    </w:p>
    <w:p w14:paraId="6B498998" w14:textId="77777777" w:rsidR="00CE6E9E" w:rsidRDefault="00CE6E9E" w:rsidP="00A8285D">
      <w:pPr>
        <w:spacing w:line="480" w:lineRule="auto"/>
        <w:rPr>
          <w:rFonts w:ascii="Helvetica" w:hAnsi="Helvetica" w:cs="Helvetica"/>
          <w:color w:val="262626"/>
        </w:rPr>
      </w:pPr>
    </w:p>
    <w:p w14:paraId="7F3089B8" w14:textId="77777777" w:rsidR="00CE6E9E" w:rsidRDefault="00CE6E9E" w:rsidP="00A8285D">
      <w:pPr>
        <w:spacing w:line="480" w:lineRule="auto"/>
        <w:rPr>
          <w:rFonts w:ascii="Helvetica" w:hAnsi="Helvetica" w:cs="Helvetica"/>
          <w:color w:val="262626"/>
        </w:rPr>
      </w:pPr>
    </w:p>
    <w:p w14:paraId="042061A4" w14:textId="77777777" w:rsidR="00CE6E9E" w:rsidRDefault="00CE6E9E" w:rsidP="00A8285D">
      <w:pPr>
        <w:spacing w:line="480" w:lineRule="auto"/>
        <w:rPr>
          <w:rFonts w:ascii="Helvetica" w:hAnsi="Helvetica" w:cs="Helvetica"/>
          <w:color w:val="262626"/>
        </w:rPr>
      </w:pPr>
    </w:p>
    <w:p w14:paraId="694E858D" w14:textId="77777777" w:rsidR="00CE6E9E" w:rsidRDefault="00CE6E9E" w:rsidP="00A8285D">
      <w:pPr>
        <w:spacing w:line="480" w:lineRule="auto"/>
        <w:rPr>
          <w:rFonts w:ascii="Helvetica" w:hAnsi="Helvetica" w:cs="Helvetica"/>
          <w:color w:val="262626"/>
        </w:rPr>
      </w:pPr>
    </w:p>
    <w:p w14:paraId="04665C2D" w14:textId="77777777" w:rsidR="00CE6E9E" w:rsidRDefault="00CE6E9E" w:rsidP="00A8285D">
      <w:pPr>
        <w:spacing w:line="480" w:lineRule="auto"/>
        <w:rPr>
          <w:rFonts w:ascii="Helvetica" w:hAnsi="Helvetica" w:cs="Helvetica"/>
          <w:color w:val="262626"/>
        </w:rPr>
      </w:pPr>
    </w:p>
    <w:p w14:paraId="65EAD7AD" w14:textId="77777777" w:rsidR="00CE6E9E" w:rsidRDefault="00CE6E9E" w:rsidP="00A8285D">
      <w:pPr>
        <w:spacing w:line="480" w:lineRule="auto"/>
        <w:rPr>
          <w:rFonts w:ascii="Helvetica" w:hAnsi="Helvetica" w:cs="Helvetica"/>
          <w:color w:val="262626"/>
        </w:rPr>
      </w:pPr>
    </w:p>
    <w:p w14:paraId="7D6103ED" w14:textId="77777777" w:rsidR="00CE6E9E" w:rsidRDefault="00CE6E9E" w:rsidP="00A8285D">
      <w:pPr>
        <w:spacing w:line="480" w:lineRule="auto"/>
        <w:rPr>
          <w:rFonts w:ascii="Helvetica" w:hAnsi="Helvetica" w:cs="Helvetica"/>
          <w:color w:val="262626"/>
        </w:rPr>
      </w:pPr>
    </w:p>
    <w:p w14:paraId="0DE09383" w14:textId="77777777" w:rsidR="00CE6E9E" w:rsidRDefault="00CE6E9E" w:rsidP="00A8285D">
      <w:pPr>
        <w:spacing w:line="480" w:lineRule="auto"/>
        <w:rPr>
          <w:rFonts w:ascii="Helvetica" w:hAnsi="Helvetica" w:cs="Helvetica"/>
          <w:color w:val="262626"/>
        </w:rPr>
      </w:pPr>
    </w:p>
    <w:p w14:paraId="7B87B82A" w14:textId="77777777" w:rsidR="00CE6E9E" w:rsidRDefault="00CE6E9E" w:rsidP="00A8285D">
      <w:pPr>
        <w:spacing w:line="480" w:lineRule="auto"/>
        <w:rPr>
          <w:rFonts w:ascii="Helvetica" w:hAnsi="Helvetica" w:cs="Helvetica"/>
          <w:color w:val="262626"/>
        </w:rPr>
      </w:pPr>
    </w:p>
    <w:p w14:paraId="20B13093" w14:textId="77777777" w:rsidR="00CE6E9E" w:rsidRDefault="00CE6E9E" w:rsidP="00A8285D">
      <w:pPr>
        <w:spacing w:line="480" w:lineRule="auto"/>
        <w:rPr>
          <w:rFonts w:ascii="Helvetica" w:hAnsi="Helvetica" w:cs="Helvetica"/>
          <w:color w:val="262626"/>
        </w:rPr>
      </w:pPr>
    </w:p>
    <w:p w14:paraId="48A1410F" w14:textId="77777777" w:rsidR="00CE6E9E" w:rsidRDefault="00CE6E9E" w:rsidP="00A8285D">
      <w:pPr>
        <w:spacing w:line="480" w:lineRule="auto"/>
        <w:rPr>
          <w:rFonts w:ascii="Helvetica" w:hAnsi="Helvetica" w:cs="Helvetica"/>
          <w:color w:val="262626"/>
        </w:rPr>
      </w:pPr>
    </w:p>
    <w:p w14:paraId="6D49A521" w14:textId="77777777" w:rsidR="00CE6E9E" w:rsidRDefault="00CE6E9E" w:rsidP="00A8285D">
      <w:pPr>
        <w:spacing w:line="480" w:lineRule="auto"/>
        <w:rPr>
          <w:rFonts w:ascii="Helvetica" w:hAnsi="Helvetica" w:cs="Helvetica"/>
          <w:color w:val="262626"/>
        </w:rPr>
      </w:pPr>
    </w:p>
    <w:p w14:paraId="3D50C42C" w14:textId="77777777" w:rsidR="00CE6E9E" w:rsidRDefault="00CE6E9E" w:rsidP="00A8285D">
      <w:pPr>
        <w:spacing w:line="480" w:lineRule="auto"/>
        <w:rPr>
          <w:rFonts w:ascii="Helvetica" w:hAnsi="Helvetica" w:cs="Helvetica"/>
          <w:color w:val="262626"/>
        </w:rPr>
      </w:pPr>
    </w:p>
    <w:p w14:paraId="5E829616" w14:textId="77777777" w:rsidR="00CE6E9E" w:rsidRDefault="00CE6E9E" w:rsidP="00CE6E9E">
      <w:pPr>
        <w:spacing w:line="480" w:lineRule="auto"/>
        <w:jc w:val="center"/>
        <w:rPr>
          <w:rFonts w:ascii="Helvetica" w:hAnsi="Helvetica" w:cs="Helvetica"/>
          <w:color w:val="262626"/>
        </w:rPr>
      </w:pPr>
    </w:p>
    <w:p w14:paraId="52C4BC7B" w14:textId="1C968625" w:rsidR="00CE6E9E" w:rsidRDefault="00CE6E9E" w:rsidP="00CE6E9E">
      <w:pPr>
        <w:spacing w:line="480" w:lineRule="auto"/>
        <w:jc w:val="center"/>
        <w:rPr>
          <w:rFonts w:ascii="Helvetica" w:hAnsi="Helvetica" w:cs="Helvetica"/>
          <w:color w:val="262626"/>
        </w:rPr>
      </w:pPr>
      <w:r>
        <w:rPr>
          <w:rFonts w:ascii="Helvetica" w:hAnsi="Helvetica" w:cs="Helvetica"/>
          <w:color w:val="262626"/>
        </w:rPr>
        <w:t xml:space="preserve">Bibliography </w:t>
      </w:r>
    </w:p>
    <w:p w14:paraId="607FA980" w14:textId="77777777" w:rsidR="00CE6E9E" w:rsidRDefault="00CE6E9E" w:rsidP="00CE6E9E">
      <w:pPr>
        <w:spacing w:line="480" w:lineRule="auto"/>
        <w:jc w:val="center"/>
        <w:rPr>
          <w:rFonts w:ascii="Helvetica" w:hAnsi="Helvetica" w:cs="Helvetica"/>
          <w:color w:val="262626"/>
        </w:rPr>
      </w:pPr>
    </w:p>
    <w:p w14:paraId="2E3DA951" w14:textId="527B8A5D" w:rsidR="00CE6E9E" w:rsidRDefault="00CE6E9E" w:rsidP="00CE6E9E">
      <w:pPr>
        <w:pStyle w:val="FootnoteText"/>
        <w:rPr>
          <w:lang w:val="en-CA"/>
        </w:rPr>
      </w:pPr>
      <w:r>
        <w:rPr>
          <w:lang w:val="en-CA"/>
        </w:rPr>
        <w:t xml:space="preserve">Curling Greenwood, K. </w:t>
      </w:r>
      <w:r w:rsidRPr="0008712A">
        <w:rPr>
          <w:i/>
          <w:lang w:val="en-CA"/>
        </w:rPr>
        <w:t xml:space="preserve">The Art of Revelation in the Apocalypse Panel of Hans Memling’s </w:t>
      </w:r>
      <w:r w:rsidR="002E3261">
        <w:rPr>
          <w:i/>
          <w:lang w:val="en-CA"/>
        </w:rPr>
        <w:tab/>
      </w:r>
      <w:r w:rsidRPr="0008712A">
        <w:rPr>
          <w:i/>
          <w:lang w:val="en-CA"/>
        </w:rPr>
        <w:t>Altarpiece of Saint John the Baptist and Saint John the Evangelist, Sing-</w:t>
      </w:r>
      <w:proofErr w:type="spellStart"/>
      <w:r w:rsidRPr="0008712A">
        <w:rPr>
          <w:i/>
          <w:lang w:val="en-CA"/>
        </w:rPr>
        <w:t>Janshospital</w:t>
      </w:r>
      <w:proofErr w:type="spellEnd"/>
      <w:r w:rsidR="002E3261">
        <w:rPr>
          <w:i/>
          <w:lang w:val="en-CA"/>
        </w:rPr>
        <w:tab/>
      </w:r>
      <w:r w:rsidR="002E3261">
        <w:rPr>
          <w:i/>
          <w:lang w:val="en-CA"/>
        </w:rPr>
        <w:tab/>
      </w:r>
      <w:r w:rsidRPr="0008712A">
        <w:rPr>
          <w:i/>
          <w:lang w:val="en-CA"/>
        </w:rPr>
        <w:t xml:space="preserve"> (</w:t>
      </w:r>
      <w:proofErr w:type="spellStart"/>
      <w:r w:rsidRPr="0008712A">
        <w:rPr>
          <w:i/>
          <w:lang w:val="en-CA"/>
        </w:rPr>
        <w:t>Memlingmuseaum</w:t>
      </w:r>
      <w:proofErr w:type="spellEnd"/>
      <w:r w:rsidRPr="0008712A">
        <w:rPr>
          <w:i/>
          <w:lang w:val="en-CA"/>
        </w:rPr>
        <w:t>), Bruges</w:t>
      </w:r>
      <w:r>
        <w:rPr>
          <w:i/>
          <w:lang w:val="en-CA"/>
        </w:rPr>
        <w:t>,</w:t>
      </w:r>
      <w:r>
        <w:rPr>
          <w:lang w:val="en-CA"/>
        </w:rPr>
        <w:t xml:space="preserve"> (Unpublished MA thesis) University of Victoria, 2000.</w:t>
      </w:r>
    </w:p>
    <w:p w14:paraId="0609F58F" w14:textId="77777777" w:rsidR="00CE6E9E" w:rsidRPr="00CE6E9E" w:rsidRDefault="00CE6E9E" w:rsidP="00CE6E9E">
      <w:pPr>
        <w:pStyle w:val="FootnoteText"/>
        <w:rPr>
          <w:lang w:val="en-CA"/>
        </w:rPr>
      </w:pPr>
    </w:p>
    <w:p w14:paraId="55A4E978" w14:textId="23F8E054" w:rsidR="00CE6E9E" w:rsidRDefault="00CE6E9E" w:rsidP="002E3261">
      <w:pPr>
        <w:pStyle w:val="FootnoteText"/>
        <w:ind w:left="567" w:hanging="567"/>
        <w:rPr>
          <w:lang w:val="en-CA"/>
        </w:rPr>
      </w:pPr>
      <w:r>
        <w:rPr>
          <w:lang w:val="en-CA"/>
        </w:rPr>
        <w:t>Donald, B.</w:t>
      </w:r>
      <w:r>
        <w:rPr>
          <w:lang w:val="en-CA"/>
        </w:rPr>
        <w:t>,</w:t>
      </w:r>
      <w:r>
        <w:rPr>
          <w:lang w:val="en-CA"/>
        </w:rPr>
        <w:t xml:space="preserve"> ‘A celebration of Hans Memling’, </w:t>
      </w:r>
      <w:r w:rsidRPr="00D81771">
        <w:rPr>
          <w:i/>
          <w:lang w:val="en-CA"/>
        </w:rPr>
        <w:t>Contemporary Review</w:t>
      </w:r>
      <w:r>
        <w:rPr>
          <w:i/>
          <w:lang w:val="en-CA"/>
        </w:rPr>
        <w:t xml:space="preserve">, </w:t>
      </w:r>
      <w:r w:rsidRPr="00FD6BBE">
        <w:rPr>
          <w:lang w:val="en-CA"/>
        </w:rPr>
        <w:t>Vol 265</w:t>
      </w:r>
      <w:r>
        <w:rPr>
          <w:lang w:val="en-CA"/>
        </w:rPr>
        <w:t xml:space="preserve">, p72-80,9p. </w:t>
      </w:r>
      <w:r w:rsidR="002E3261">
        <w:rPr>
          <w:lang w:val="en-CA"/>
        </w:rPr>
        <w:tab/>
      </w:r>
      <w:r>
        <w:rPr>
          <w:lang w:val="en-CA"/>
        </w:rPr>
        <w:t xml:space="preserve">Available at </w:t>
      </w:r>
      <w:r w:rsidR="002E3261">
        <w:rPr>
          <w:lang w:val="en-CA"/>
        </w:rPr>
        <w:fldChar w:fldCharType="begin"/>
      </w:r>
      <w:r w:rsidR="002E3261">
        <w:rPr>
          <w:lang w:val="en-CA"/>
        </w:rPr>
        <w:instrText xml:space="preserve"> HYPERLINK "</w:instrText>
      </w:r>
      <w:r w:rsidR="002E3261" w:rsidRPr="002E3261">
        <w:rPr>
          <w:lang w:val="en-CA"/>
        </w:rPr>
        <w:instrText>https://ezproxy.uwtsd.ac.uk/login?url=http://search.ebscohost.com/login.aspx?direct=true&amp;db=hus&amp;AN=509502347&amp;site=ehost-live</w:instrText>
      </w:r>
      <w:r w:rsidR="002E3261">
        <w:rPr>
          <w:lang w:val="en-CA"/>
        </w:rPr>
        <w:instrText xml:space="preserve">" </w:instrText>
      </w:r>
      <w:r w:rsidR="002E3261">
        <w:rPr>
          <w:lang w:val="en-CA"/>
        </w:rPr>
        <w:fldChar w:fldCharType="separate"/>
      </w:r>
      <w:r w:rsidR="002E3261" w:rsidRPr="00F95B77">
        <w:rPr>
          <w:rStyle w:val="Hyperlink"/>
          <w:lang w:val="en-CA"/>
        </w:rPr>
        <w:t>https://ezproxy.uwtsd.ac.uk/login?url=http://search.ebscohost.com/login.aspx?direct=true&amp;db=hus&amp;AN=509502347&amp;site=ehost-live</w:t>
      </w:r>
      <w:r w:rsidR="002E3261">
        <w:rPr>
          <w:lang w:val="en-CA"/>
        </w:rPr>
        <w:fldChar w:fldCharType="end"/>
      </w:r>
      <w:r>
        <w:rPr>
          <w:lang w:val="en-CA"/>
        </w:rPr>
        <w:t xml:space="preserve"> (Accessed: November 6, 2017).</w:t>
      </w:r>
    </w:p>
    <w:p w14:paraId="7CDBBC06" w14:textId="77777777" w:rsidR="002E3261" w:rsidRDefault="002E3261" w:rsidP="00CE6E9E">
      <w:pPr>
        <w:pStyle w:val="FootnoteText"/>
        <w:rPr>
          <w:lang w:val="en-CA"/>
        </w:rPr>
      </w:pPr>
    </w:p>
    <w:p w14:paraId="14C921AD" w14:textId="7D08F608" w:rsidR="002E3261" w:rsidRPr="002E3261" w:rsidRDefault="002E3261" w:rsidP="002E3261">
      <w:pPr>
        <w:spacing w:line="480" w:lineRule="auto"/>
        <w:rPr>
          <w:rFonts w:ascii="Helvetica" w:hAnsi="Helvetica" w:cs="Helvetica"/>
          <w:color w:val="262626"/>
        </w:rPr>
      </w:pPr>
      <w:proofErr w:type="spellStart"/>
      <w:r>
        <w:t>Fegle</w:t>
      </w:r>
      <w:bookmarkStart w:id="0" w:name="_GoBack"/>
      <w:bookmarkEnd w:id="0"/>
      <w:r>
        <w:t>y</w:t>
      </w:r>
      <w:proofErr w:type="spellEnd"/>
      <w:r>
        <w:t xml:space="preserve"> Osmond, S. ‘</w:t>
      </w:r>
      <w:r w:rsidRPr="00997C79">
        <w:rPr>
          <w:color w:val="000000" w:themeColor="text1"/>
        </w:rPr>
        <w:t>The contemplative eye: Early Netherlandish painting</w:t>
      </w:r>
      <w:r>
        <w:rPr>
          <w:color w:val="000000" w:themeColor="text1"/>
        </w:rPr>
        <w:t>’</w:t>
      </w:r>
      <w:r>
        <w:t xml:space="preserve">. </w:t>
      </w:r>
      <w:r w:rsidRPr="00997C79">
        <w:rPr>
          <w:i/>
        </w:rPr>
        <w:t xml:space="preserve">The World &amp; I; </w:t>
      </w:r>
      <w:r>
        <w:rPr>
          <w:i/>
        </w:rPr>
        <w:tab/>
      </w:r>
      <w:r w:rsidRPr="00997C79">
        <w:rPr>
          <w:i/>
        </w:rPr>
        <w:t>Washington</w:t>
      </w:r>
      <w:r>
        <w:t>, 13 (8): (1998).</w:t>
      </w:r>
    </w:p>
    <w:p w14:paraId="54C22351" w14:textId="77777777" w:rsidR="00CE6E9E" w:rsidRPr="00CE6E9E" w:rsidRDefault="00CE6E9E" w:rsidP="00CE6E9E">
      <w:pPr>
        <w:pStyle w:val="FootnoteText"/>
        <w:rPr>
          <w:lang w:val="en-CA"/>
        </w:rPr>
      </w:pPr>
    </w:p>
    <w:p w14:paraId="73005A6B" w14:textId="78B02DF4" w:rsidR="002E3261" w:rsidRPr="002E3261" w:rsidRDefault="00CE6E9E" w:rsidP="00CE6E9E">
      <w:pPr>
        <w:spacing w:line="480" w:lineRule="auto"/>
      </w:pPr>
      <w:r w:rsidRPr="001C39A3">
        <w:rPr>
          <w:i/>
        </w:rPr>
        <w:t>Holy Bible</w:t>
      </w:r>
      <w:r>
        <w:t xml:space="preserve"> (Gideon) </w:t>
      </w:r>
      <w:proofErr w:type="spellStart"/>
      <w:r>
        <w:t>n.d.</w:t>
      </w:r>
      <w:proofErr w:type="spellEnd"/>
      <w:r>
        <w:t xml:space="preserve"> Revelation 6:8, p.1290</w:t>
      </w:r>
    </w:p>
    <w:p w14:paraId="6877F523" w14:textId="77777777" w:rsidR="002E3261" w:rsidRDefault="002E3261" w:rsidP="002E3261">
      <w:pPr>
        <w:spacing w:line="480" w:lineRule="auto"/>
        <w:rPr>
          <w:lang w:val="en-CA"/>
        </w:rPr>
      </w:pPr>
    </w:p>
    <w:p w14:paraId="06CA0AFC" w14:textId="51F69D9A" w:rsidR="00CE6E9E" w:rsidRDefault="00CE6E9E" w:rsidP="002E3261">
      <w:pPr>
        <w:spacing w:line="480" w:lineRule="auto"/>
        <w:rPr>
          <w:lang w:val="en-CA"/>
        </w:rPr>
      </w:pPr>
      <w:r>
        <w:rPr>
          <w:lang w:val="en-CA"/>
        </w:rPr>
        <w:t xml:space="preserve">L. Green, ‘From Memling to </w:t>
      </w:r>
      <w:proofErr w:type="spellStart"/>
      <w:r>
        <w:rPr>
          <w:lang w:val="en-CA"/>
        </w:rPr>
        <w:t>Pourbus</w:t>
      </w:r>
      <w:proofErr w:type="spellEnd"/>
      <w:r>
        <w:rPr>
          <w:lang w:val="en-CA"/>
        </w:rPr>
        <w:t xml:space="preserve">: The Forgotten Period.’ </w:t>
      </w:r>
      <w:r w:rsidRPr="00CE59E4">
        <w:rPr>
          <w:i/>
          <w:lang w:val="en-CA"/>
        </w:rPr>
        <w:t>Contemporary Review</w:t>
      </w:r>
      <w:r w:rsidRPr="00CE59E4">
        <w:rPr>
          <w:lang w:val="en-CA"/>
        </w:rPr>
        <w:t xml:space="preserve">, </w:t>
      </w:r>
      <w:r>
        <w:rPr>
          <w:lang w:val="en-CA"/>
        </w:rPr>
        <w:t>273 (1593):</w:t>
      </w:r>
      <w:r>
        <w:rPr>
          <w:lang w:val="en-CA"/>
        </w:rPr>
        <w:t xml:space="preserve"> </w:t>
      </w:r>
      <w:r w:rsidR="002E3261">
        <w:rPr>
          <w:lang w:val="en-CA"/>
        </w:rPr>
        <w:tab/>
      </w:r>
      <w:proofErr w:type="spellStart"/>
      <w:r>
        <w:rPr>
          <w:lang w:val="en-CA"/>
        </w:rPr>
        <w:t>Proquest</w:t>
      </w:r>
      <w:proofErr w:type="spellEnd"/>
      <w:r>
        <w:rPr>
          <w:lang w:val="en-CA"/>
        </w:rPr>
        <w:t xml:space="preserve"> Central (1998).</w:t>
      </w:r>
    </w:p>
    <w:p w14:paraId="2CCC7FE2" w14:textId="77777777" w:rsidR="002E3261" w:rsidRPr="002E3261" w:rsidRDefault="002E3261" w:rsidP="002E3261">
      <w:pPr>
        <w:spacing w:line="480" w:lineRule="auto"/>
        <w:rPr>
          <w:lang w:val="en-CA"/>
        </w:rPr>
      </w:pPr>
    </w:p>
    <w:p w14:paraId="64AEA163" w14:textId="3C52DD0A" w:rsidR="00CE6E9E" w:rsidRPr="00CE6E9E" w:rsidRDefault="00CE6E9E" w:rsidP="002E3261">
      <w:pPr>
        <w:spacing w:line="480" w:lineRule="auto"/>
        <w:rPr>
          <w:lang w:val="en-CA"/>
        </w:rPr>
      </w:pPr>
      <w:proofErr w:type="spellStart"/>
      <w:r>
        <w:rPr>
          <w:lang w:val="en-CA"/>
        </w:rPr>
        <w:t>Neilsen</w:t>
      </w:r>
      <w:proofErr w:type="spellEnd"/>
      <w:r>
        <w:rPr>
          <w:lang w:val="en-CA"/>
        </w:rPr>
        <w:t xml:space="preserve"> Blum, S. </w:t>
      </w:r>
      <w:r w:rsidRPr="00B12CA3">
        <w:rPr>
          <w:i/>
          <w:lang w:val="en-CA"/>
        </w:rPr>
        <w:t>Early Netherlandish Triptychs: A Study in Patronage</w:t>
      </w:r>
      <w:r>
        <w:rPr>
          <w:i/>
          <w:lang w:val="en-CA"/>
        </w:rPr>
        <w:t xml:space="preserve"> </w:t>
      </w:r>
      <w:r>
        <w:rPr>
          <w:lang w:val="en-CA"/>
        </w:rPr>
        <w:t>(Los Angles: University of</w:t>
      </w:r>
      <w:r w:rsidR="002E3261">
        <w:rPr>
          <w:lang w:val="en-CA"/>
        </w:rPr>
        <w:tab/>
      </w:r>
      <w:r w:rsidR="002E3261">
        <w:rPr>
          <w:lang w:val="en-CA"/>
        </w:rPr>
        <w:tab/>
      </w:r>
      <w:r>
        <w:rPr>
          <w:lang w:val="en-CA"/>
        </w:rPr>
        <w:t xml:space="preserve"> California Press, 1969).</w:t>
      </w:r>
    </w:p>
    <w:sectPr w:rsidR="00CE6E9E" w:rsidRPr="00CE6E9E" w:rsidSect="006418F9">
      <w:pgSz w:w="12240" w:h="15840"/>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AF48600" w16cid:durableId="1DADD926"/>
  <w16cid:commentId w16cid:paraId="0BBAA2BA" w16cid:durableId="1DADD98D"/>
  <w16cid:commentId w16cid:paraId="4F3F337C" w16cid:durableId="1DADDA14"/>
  <w16cid:commentId w16cid:paraId="5E958EA8" w16cid:durableId="1DADDAD9"/>
  <w16cid:commentId w16cid:paraId="4F043405" w16cid:durableId="1DADDD55"/>
  <w16cid:commentId w16cid:paraId="0CEDCE04" w16cid:durableId="1DADDB3C"/>
  <w16cid:commentId w16cid:paraId="53EDCB1E" w16cid:durableId="1DADDC34"/>
  <w16cid:commentId w16cid:paraId="06A3402D" w16cid:durableId="1DADDE6E"/>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B52AAB" w14:textId="77777777" w:rsidR="009617B1" w:rsidRDefault="009617B1" w:rsidP="00985027">
      <w:r>
        <w:separator/>
      </w:r>
    </w:p>
  </w:endnote>
  <w:endnote w:type="continuationSeparator" w:id="0">
    <w:p w14:paraId="33B1C366" w14:textId="77777777" w:rsidR="009617B1" w:rsidRDefault="009617B1" w:rsidP="009850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egoe UI">
    <w:altName w:val="Calibri"/>
    <w:charset w:val="00"/>
    <w:family w:val="swiss"/>
    <w:pitch w:val="variable"/>
    <w:sig w:usb0="E10022FF" w:usb1="C000E47F" w:usb2="00000029" w:usb3="00000000" w:csb0="000001D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519AF9" w14:textId="77777777" w:rsidR="009617B1" w:rsidRDefault="009617B1" w:rsidP="00985027">
      <w:r>
        <w:separator/>
      </w:r>
    </w:p>
  </w:footnote>
  <w:footnote w:type="continuationSeparator" w:id="0">
    <w:p w14:paraId="3CA234AE" w14:textId="77777777" w:rsidR="009617B1" w:rsidRDefault="009617B1" w:rsidP="00985027">
      <w:r>
        <w:continuationSeparator/>
      </w:r>
    </w:p>
  </w:footnote>
  <w:footnote w:id="1">
    <w:p w14:paraId="59AF29A8" w14:textId="33B3706E" w:rsidR="00985027" w:rsidRPr="00985027" w:rsidRDefault="00985027">
      <w:pPr>
        <w:pStyle w:val="FootnoteText"/>
        <w:rPr>
          <w:lang w:val="en-CA"/>
        </w:rPr>
      </w:pPr>
      <w:r>
        <w:rPr>
          <w:rStyle w:val="FootnoteReference"/>
        </w:rPr>
        <w:footnoteRef/>
      </w:r>
      <w:r>
        <w:t xml:space="preserve"> </w:t>
      </w:r>
      <w:r w:rsidR="00CE59E4">
        <w:rPr>
          <w:lang w:val="en-CA"/>
        </w:rPr>
        <w:t xml:space="preserve">L. Green, </w:t>
      </w:r>
      <w:r w:rsidR="00D81771">
        <w:rPr>
          <w:lang w:val="en-CA"/>
        </w:rPr>
        <w:t>‘</w:t>
      </w:r>
      <w:r w:rsidR="00CE59E4">
        <w:rPr>
          <w:lang w:val="en-CA"/>
        </w:rPr>
        <w:t xml:space="preserve">From Memling to </w:t>
      </w:r>
      <w:proofErr w:type="spellStart"/>
      <w:r w:rsidR="00CE59E4">
        <w:rPr>
          <w:lang w:val="en-CA"/>
        </w:rPr>
        <w:t>Pourbus</w:t>
      </w:r>
      <w:proofErr w:type="spellEnd"/>
      <w:r w:rsidR="00CE59E4">
        <w:rPr>
          <w:lang w:val="en-CA"/>
        </w:rPr>
        <w:t>: The Forgotten Period.</w:t>
      </w:r>
      <w:r w:rsidR="00D81771">
        <w:rPr>
          <w:lang w:val="en-CA"/>
        </w:rPr>
        <w:t>’</w:t>
      </w:r>
      <w:r w:rsidR="00CE59E4">
        <w:rPr>
          <w:lang w:val="en-CA"/>
        </w:rPr>
        <w:t xml:space="preserve"> </w:t>
      </w:r>
      <w:r w:rsidR="00CE59E4" w:rsidRPr="00CE59E4">
        <w:rPr>
          <w:i/>
          <w:lang w:val="en-CA"/>
        </w:rPr>
        <w:t>Contemporary Review</w:t>
      </w:r>
      <w:r w:rsidR="00CE59E4" w:rsidRPr="00CE59E4">
        <w:rPr>
          <w:lang w:val="en-CA"/>
        </w:rPr>
        <w:t xml:space="preserve">, </w:t>
      </w:r>
      <w:r w:rsidR="00CE59E4">
        <w:rPr>
          <w:lang w:val="en-CA"/>
        </w:rPr>
        <w:t>273</w:t>
      </w:r>
      <w:r w:rsidR="00F55A2D">
        <w:rPr>
          <w:lang w:val="en-CA"/>
        </w:rPr>
        <w:t xml:space="preserve"> (1593)</w:t>
      </w:r>
      <w:r w:rsidR="00997C79">
        <w:rPr>
          <w:lang w:val="en-CA"/>
        </w:rPr>
        <w:t>:</w:t>
      </w:r>
      <w:r w:rsidR="00F55A2D">
        <w:rPr>
          <w:lang w:val="en-CA"/>
        </w:rPr>
        <w:t xml:space="preserve"> </w:t>
      </w:r>
      <w:proofErr w:type="spellStart"/>
      <w:r w:rsidR="00F55A2D">
        <w:rPr>
          <w:lang w:val="en-CA"/>
        </w:rPr>
        <w:t>Proquest</w:t>
      </w:r>
      <w:proofErr w:type="spellEnd"/>
      <w:r w:rsidR="00F55A2D">
        <w:rPr>
          <w:lang w:val="en-CA"/>
        </w:rPr>
        <w:t xml:space="preserve"> Central (1998), p</w:t>
      </w:r>
      <w:r w:rsidR="00CE59E4">
        <w:rPr>
          <w:lang w:val="en-CA"/>
        </w:rPr>
        <w:t>.</w:t>
      </w:r>
      <w:r w:rsidR="00F55A2D">
        <w:rPr>
          <w:lang w:val="en-CA"/>
        </w:rPr>
        <w:t>208</w:t>
      </w:r>
      <w:r w:rsidR="004A1897">
        <w:rPr>
          <w:lang w:val="en-CA"/>
        </w:rPr>
        <w:t>.</w:t>
      </w:r>
    </w:p>
  </w:footnote>
  <w:footnote w:id="2">
    <w:p w14:paraId="5B2A9A28" w14:textId="07D85781" w:rsidR="00F55A2D" w:rsidRPr="00F55A2D" w:rsidRDefault="00F55A2D">
      <w:pPr>
        <w:pStyle w:val="FootnoteText"/>
        <w:rPr>
          <w:lang w:val="en-CA"/>
        </w:rPr>
      </w:pPr>
      <w:r>
        <w:rPr>
          <w:rStyle w:val="FootnoteReference"/>
        </w:rPr>
        <w:footnoteRef/>
      </w:r>
      <w:r>
        <w:t xml:space="preserve"> </w:t>
      </w:r>
      <w:r w:rsidR="0008712A">
        <w:rPr>
          <w:lang w:val="en-CA"/>
        </w:rPr>
        <w:t xml:space="preserve">K. Curling Greenwood, </w:t>
      </w:r>
      <w:r w:rsidR="0008712A" w:rsidRPr="0008712A">
        <w:rPr>
          <w:i/>
          <w:lang w:val="en-CA"/>
        </w:rPr>
        <w:t>The Art of Revelation in the Apocalypse Panel of Hans Memling’s Altarpiece of Saint John the Baptist and Saint John the Evangelist, Sing-</w:t>
      </w:r>
      <w:proofErr w:type="spellStart"/>
      <w:r w:rsidR="0008712A" w:rsidRPr="0008712A">
        <w:rPr>
          <w:i/>
          <w:lang w:val="en-CA"/>
        </w:rPr>
        <w:t>Janshospital</w:t>
      </w:r>
      <w:proofErr w:type="spellEnd"/>
      <w:r w:rsidR="0008712A" w:rsidRPr="0008712A">
        <w:rPr>
          <w:i/>
          <w:lang w:val="en-CA"/>
        </w:rPr>
        <w:t xml:space="preserve"> (</w:t>
      </w:r>
      <w:proofErr w:type="spellStart"/>
      <w:r w:rsidR="0008712A" w:rsidRPr="0008712A">
        <w:rPr>
          <w:i/>
          <w:lang w:val="en-CA"/>
        </w:rPr>
        <w:t>Memlingmuseaum</w:t>
      </w:r>
      <w:proofErr w:type="spellEnd"/>
      <w:r w:rsidR="0008712A" w:rsidRPr="0008712A">
        <w:rPr>
          <w:i/>
          <w:lang w:val="en-CA"/>
        </w:rPr>
        <w:t>), Bruges</w:t>
      </w:r>
      <w:r w:rsidR="00997C79">
        <w:rPr>
          <w:i/>
          <w:lang w:val="en-CA"/>
        </w:rPr>
        <w:t>,</w:t>
      </w:r>
      <w:r w:rsidR="0008712A">
        <w:rPr>
          <w:lang w:val="en-CA"/>
        </w:rPr>
        <w:t xml:space="preserve"> </w:t>
      </w:r>
      <w:r w:rsidR="004A1897">
        <w:rPr>
          <w:lang w:val="en-CA"/>
        </w:rPr>
        <w:t>(Unpublished MA thesis) University of Victoria, 2000. p.29.</w:t>
      </w:r>
    </w:p>
  </w:footnote>
  <w:footnote w:id="3">
    <w:p w14:paraId="4C34AB0F" w14:textId="4B260183" w:rsidR="004A1897" w:rsidRPr="004A1897" w:rsidRDefault="004A1897">
      <w:pPr>
        <w:pStyle w:val="FootnoteText"/>
        <w:rPr>
          <w:lang w:val="en-CA"/>
        </w:rPr>
      </w:pPr>
      <w:r>
        <w:rPr>
          <w:rStyle w:val="FootnoteReference"/>
        </w:rPr>
        <w:footnoteRef/>
      </w:r>
      <w:r>
        <w:t xml:space="preserve"> </w:t>
      </w:r>
      <w:r>
        <w:rPr>
          <w:lang w:val="en-CA"/>
        </w:rPr>
        <w:t>Ibid.</w:t>
      </w:r>
    </w:p>
  </w:footnote>
  <w:footnote w:id="4">
    <w:p w14:paraId="41E9B528" w14:textId="093B3936" w:rsidR="004A1897" w:rsidRPr="004A1897" w:rsidRDefault="004A1897">
      <w:pPr>
        <w:pStyle w:val="FootnoteText"/>
        <w:rPr>
          <w:lang w:val="en-CA"/>
        </w:rPr>
      </w:pPr>
      <w:r>
        <w:rPr>
          <w:rStyle w:val="FootnoteReference"/>
        </w:rPr>
        <w:footnoteRef/>
      </w:r>
      <w:r>
        <w:t xml:space="preserve"> </w:t>
      </w:r>
      <w:r w:rsidR="00997C79">
        <w:t xml:space="preserve">S. </w:t>
      </w:r>
      <w:proofErr w:type="spellStart"/>
      <w:r w:rsidR="00997C79">
        <w:t>Fegley</w:t>
      </w:r>
      <w:proofErr w:type="spellEnd"/>
      <w:r w:rsidR="00997C79">
        <w:t xml:space="preserve"> Osmond</w:t>
      </w:r>
      <w:r w:rsidR="00997C79" w:rsidRPr="00997C79">
        <w:t xml:space="preserve">, </w:t>
      </w:r>
      <w:r w:rsidR="00D81771">
        <w:t>‘</w:t>
      </w:r>
      <w:r w:rsidR="00997C79" w:rsidRPr="00997C79">
        <w:rPr>
          <w:color w:val="000000" w:themeColor="text1"/>
        </w:rPr>
        <w:t>The contemplative eye: Early Netherlandish painting</w:t>
      </w:r>
      <w:r w:rsidR="00D81771">
        <w:rPr>
          <w:color w:val="000000" w:themeColor="text1"/>
        </w:rPr>
        <w:t>’</w:t>
      </w:r>
      <w:r w:rsidR="00997C79">
        <w:t xml:space="preserve">. </w:t>
      </w:r>
      <w:r w:rsidR="00997C79" w:rsidRPr="00997C79">
        <w:rPr>
          <w:i/>
        </w:rPr>
        <w:t>The World &amp; I; Washington</w:t>
      </w:r>
      <w:r w:rsidR="00997C79">
        <w:t>, 13 (8):</w:t>
      </w:r>
      <w:r w:rsidR="00B12CA3">
        <w:t xml:space="preserve"> (1998), p.5.</w:t>
      </w:r>
    </w:p>
  </w:footnote>
  <w:footnote w:id="5">
    <w:p w14:paraId="1EE092D9" w14:textId="7D26D19F" w:rsidR="00B12CA3" w:rsidRPr="00B12CA3" w:rsidRDefault="00B12CA3">
      <w:pPr>
        <w:pStyle w:val="FootnoteText"/>
        <w:rPr>
          <w:lang w:val="en-CA"/>
        </w:rPr>
      </w:pPr>
      <w:r>
        <w:rPr>
          <w:rStyle w:val="FootnoteReference"/>
        </w:rPr>
        <w:footnoteRef/>
      </w:r>
      <w:r>
        <w:t xml:space="preserve"> </w:t>
      </w:r>
      <w:r>
        <w:rPr>
          <w:lang w:val="en-CA"/>
        </w:rPr>
        <w:t>Ibid.</w:t>
      </w:r>
    </w:p>
  </w:footnote>
  <w:footnote w:id="6">
    <w:p w14:paraId="7A65AD16" w14:textId="4DA13A38" w:rsidR="00B12CA3" w:rsidRPr="00B12CA3" w:rsidRDefault="00B12CA3">
      <w:pPr>
        <w:pStyle w:val="FootnoteText"/>
        <w:rPr>
          <w:lang w:val="en-CA"/>
        </w:rPr>
      </w:pPr>
      <w:r>
        <w:rPr>
          <w:rStyle w:val="FootnoteReference"/>
        </w:rPr>
        <w:footnoteRef/>
      </w:r>
      <w:r>
        <w:t xml:space="preserve"> </w:t>
      </w:r>
      <w:r>
        <w:rPr>
          <w:lang w:val="en-CA"/>
        </w:rPr>
        <w:t xml:space="preserve">S. </w:t>
      </w:r>
      <w:proofErr w:type="spellStart"/>
      <w:r>
        <w:rPr>
          <w:lang w:val="en-CA"/>
        </w:rPr>
        <w:t>Neilsen</w:t>
      </w:r>
      <w:proofErr w:type="spellEnd"/>
      <w:r>
        <w:rPr>
          <w:lang w:val="en-CA"/>
        </w:rPr>
        <w:t xml:space="preserve"> Blum, </w:t>
      </w:r>
      <w:r w:rsidRPr="00B12CA3">
        <w:rPr>
          <w:i/>
          <w:lang w:val="en-CA"/>
        </w:rPr>
        <w:t>Early Netherlandish Triptychs: A Study in Patronage</w:t>
      </w:r>
      <w:r w:rsidR="00FD6BBE">
        <w:rPr>
          <w:i/>
          <w:lang w:val="en-CA"/>
        </w:rPr>
        <w:t xml:space="preserve"> </w:t>
      </w:r>
      <w:r>
        <w:rPr>
          <w:lang w:val="en-CA"/>
        </w:rPr>
        <w:t>(Los Angles: University of California Press, 1969), p. 96.</w:t>
      </w:r>
    </w:p>
  </w:footnote>
  <w:footnote w:id="7">
    <w:p w14:paraId="1A7A87E2" w14:textId="1473139C" w:rsidR="00B12CA3" w:rsidRPr="00B12CA3" w:rsidRDefault="00B12CA3">
      <w:pPr>
        <w:pStyle w:val="FootnoteText"/>
        <w:rPr>
          <w:lang w:val="en-CA"/>
        </w:rPr>
      </w:pPr>
      <w:r>
        <w:rPr>
          <w:rStyle w:val="FootnoteReference"/>
        </w:rPr>
        <w:footnoteRef/>
      </w:r>
      <w:r>
        <w:t xml:space="preserve"> </w:t>
      </w:r>
      <w:r>
        <w:rPr>
          <w:lang w:val="en-CA"/>
        </w:rPr>
        <w:t>Ibid., 87.</w:t>
      </w:r>
    </w:p>
  </w:footnote>
  <w:footnote w:id="8">
    <w:p w14:paraId="1FD4F33F" w14:textId="6F992A84" w:rsidR="00B12CA3" w:rsidRPr="00B12CA3" w:rsidRDefault="00B12CA3">
      <w:pPr>
        <w:pStyle w:val="FootnoteText"/>
        <w:rPr>
          <w:lang w:val="en-CA"/>
        </w:rPr>
      </w:pPr>
      <w:r>
        <w:rPr>
          <w:rStyle w:val="FootnoteReference"/>
        </w:rPr>
        <w:footnoteRef/>
      </w:r>
      <w:r>
        <w:t xml:space="preserve"> </w:t>
      </w:r>
      <w:r>
        <w:rPr>
          <w:lang w:val="en-CA"/>
        </w:rPr>
        <w:t>Ibid.</w:t>
      </w:r>
    </w:p>
  </w:footnote>
  <w:footnote w:id="9">
    <w:p w14:paraId="45CAFC25" w14:textId="0A681709" w:rsidR="00B12CA3" w:rsidRPr="00B12CA3" w:rsidRDefault="00B12CA3">
      <w:pPr>
        <w:pStyle w:val="FootnoteText"/>
        <w:rPr>
          <w:lang w:val="en-CA"/>
        </w:rPr>
      </w:pPr>
      <w:r>
        <w:rPr>
          <w:rStyle w:val="FootnoteReference"/>
        </w:rPr>
        <w:footnoteRef/>
      </w:r>
      <w:r>
        <w:t xml:space="preserve"> </w:t>
      </w:r>
      <w:r w:rsidR="007F0576">
        <w:rPr>
          <w:lang w:val="en-CA"/>
        </w:rPr>
        <w:t>B. Donald, ‘A celebration of Hans Memling’</w:t>
      </w:r>
      <w:r w:rsidR="00D81771">
        <w:rPr>
          <w:lang w:val="en-CA"/>
        </w:rPr>
        <w:t xml:space="preserve">, </w:t>
      </w:r>
      <w:r w:rsidR="00D81771" w:rsidRPr="00D81771">
        <w:rPr>
          <w:i/>
          <w:lang w:val="en-CA"/>
        </w:rPr>
        <w:t>Contemporary Review</w:t>
      </w:r>
      <w:r w:rsidR="00D81771">
        <w:rPr>
          <w:i/>
          <w:lang w:val="en-CA"/>
        </w:rPr>
        <w:t xml:space="preserve">, </w:t>
      </w:r>
      <w:r w:rsidR="00FD6BBE" w:rsidRPr="00FD6BBE">
        <w:rPr>
          <w:lang w:val="en-CA"/>
        </w:rPr>
        <w:t xml:space="preserve">Vol </w:t>
      </w:r>
      <w:r w:rsidR="00D81771" w:rsidRPr="00FD6BBE">
        <w:rPr>
          <w:lang w:val="en-CA"/>
        </w:rPr>
        <w:t>265</w:t>
      </w:r>
      <w:r w:rsidR="00FD6BBE">
        <w:rPr>
          <w:lang w:val="en-CA"/>
        </w:rPr>
        <w:t xml:space="preserve">, p72-80,9p. Available at </w:t>
      </w:r>
      <w:hyperlink r:id="rId1" w:history="1">
        <w:r w:rsidR="00FD6BBE" w:rsidRPr="00F95B77">
          <w:rPr>
            <w:rStyle w:val="Hyperlink"/>
            <w:lang w:val="en-CA"/>
          </w:rPr>
          <w:t>https://ezproxy.uwtsd.ac.uk/login?url=http://search.ebscohost.com/login.aspx?direct=true&amp;db=hus&amp;AN=509502347&amp;site=ehost-live</w:t>
        </w:r>
      </w:hyperlink>
      <w:r w:rsidR="00FD6BBE">
        <w:rPr>
          <w:lang w:val="en-CA"/>
        </w:rPr>
        <w:t xml:space="preserve"> (Accessed: November 6, 2017)</w:t>
      </w:r>
      <w:r w:rsidR="001E57E3">
        <w:rPr>
          <w:lang w:val="en-CA"/>
        </w:rPr>
        <w:t>.</w:t>
      </w:r>
    </w:p>
  </w:footnote>
  <w:footnote w:id="10">
    <w:p w14:paraId="3461A622" w14:textId="421509AA" w:rsidR="00FD6BBE" w:rsidRPr="00FD6BBE" w:rsidRDefault="00FD6BBE">
      <w:pPr>
        <w:pStyle w:val="FootnoteText"/>
        <w:rPr>
          <w:lang w:val="en-CA"/>
        </w:rPr>
      </w:pPr>
      <w:r>
        <w:rPr>
          <w:rStyle w:val="FootnoteReference"/>
        </w:rPr>
        <w:footnoteRef/>
      </w:r>
      <w:r>
        <w:t xml:space="preserve"> </w:t>
      </w:r>
      <w:r>
        <w:rPr>
          <w:lang w:val="en-CA"/>
        </w:rPr>
        <w:t xml:space="preserve">S. </w:t>
      </w:r>
      <w:proofErr w:type="spellStart"/>
      <w:r>
        <w:rPr>
          <w:lang w:val="en-CA"/>
        </w:rPr>
        <w:t>Neilsen</w:t>
      </w:r>
      <w:proofErr w:type="spellEnd"/>
      <w:r>
        <w:rPr>
          <w:lang w:val="en-CA"/>
        </w:rPr>
        <w:t xml:space="preserve"> Blum, </w:t>
      </w:r>
      <w:r w:rsidRPr="00B12CA3">
        <w:rPr>
          <w:i/>
          <w:lang w:val="en-CA"/>
        </w:rPr>
        <w:t xml:space="preserve">Early Netherlandish Triptychs: A Study in </w:t>
      </w:r>
      <w:r w:rsidRPr="00B12CA3">
        <w:rPr>
          <w:i/>
          <w:lang w:val="en-CA"/>
        </w:rPr>
        <w:t>Patronage</w:t>
      </w:r>
      <w:r>
        <w:rPr>
          <w:lang w:val="en-CA"/>
        </w:rPr>
        <w:t xml:space="preserve"> (</w:t>
      </w:r>
      <w:r>
        <w:rPr>
          <w:lang w:val="en-CA"/>
        </w:rPr>
        <w:t>Los Angles: University of California Press, 1969), p.</w:t>
      </w:r>
      <w:r>
        <w:rPr>
          <w:lang w:val="en-CA"/>
        </w:rPr>
        <w:t xml:space="preserve"> 88-91</w:t>
      </w:r>
      <w:r>
        <w:rPr>
          <w:lang w:val="en-CA"/>
        </w:rPr>
        <w:t>.</w:t>
      </w:r>
    </w:p>
  </w:footnote>
  <w:footnote w:id="11">
    <w:p w14:paraId="6996DE7A" w14:textId="1682D942" w:rsidR="00FD6BBE" w:rsidRPr="00FD6BBE" w:rsidRDefault="00FD6BBE">
      <w:pPr>
        <w:pStyle w:val="FootnoteText"/>
        <w:rPr>
          <w:lang w:val="en-CA"/>
        </w:rPr>
      </w:pPr>
      <w:r>
        <w:rPr>
          <w:rStyle w:val="FootnoteReference"/>
        </w:rPr>
        <w:footnoteRef/>
      </w:r>
      <w:r>
        <w:t xml:space="preserve"> </w:t>
      </w:r>
      <w:r>
        <w:rPr>
          <w:lang w:val="en-CA"/>
        </w:rPr>
        <w:t xml:space="preserve">K. Curling Greenwood, </w:t>
      </w:r>
      <w:r w:rsidRPr="0008712A">
        <w:rPr>
          <w:i/>
          <w:lang w:val="en-CA"/>
        </w:rPr>
        <w:t>The Art of Revelation in the Apocalypse Panel of Hans Memling’s Altarpiece of Saint John the Baptist and Saint John the Evangelist, Sing-</w:t>
      </w:r>
      <w:proofErr w:type="spellStart"/>
      <w:r w:rsidRPr="0008712A">
        <w:rPr>
          <w:i/>
          <w:lang w:val="en-CA"/>
        </w:rPr>
        <w:t>Janshospital</w:t>
      </w:r>
      <w:proofErr w:type="spellEnd"/>
      <w:r w:rsidRPr="0008712A">
        <w:rPr>
          <w:i/>
          <w:lang w:val="en-CA"/>
        </w:rPr>
        <w:t xml:space="preserve"> (</w:t>
      </w:r>
      <w:proofErr w:type="spellStart"/>
      <w:r w:rsidRPr="0008712A">
        <w:rPr>
          <w:i/>
          <w:lang w:val="en-CA"/>
        </w:rPr>
        <w:t>Memlingmuseaum</w:t>
      </w:r>
      <w:proofErr w:type="spellEnd"/>
      <w:r w:rsidRPr="0008712A">
        <w:rPr>
          <w:i/>
          <w:lang w:val="en-CA"/>
        </w:rPr>
        <w:t>), Bruges</w:t>
      </w:r>
      <w:r>
        <w:rPr>
          <w:i/>
          <w:lang w:val="en-CA"/>
        </w:rPr>
        <w:t>,</w:t>
      </w:r>
      <w:r>
        <w:rPr>
          <w:lang w:val="en-CA"/>
        </w:rPr>
        <w:t xml:space="preserve"> (Unpublished MA thesis) University of Victoria, 2000. p.</w:t>
      </w:r>
      <w:r>
        <w:rPr>
          <w:lang w:val="en-CA"/>
        </w:rPr>
        <w:t>7-8</w:t>
      </w:r>
      <w:r>
        <w:rPr>
          <w:lang w:val="en-CA"/>
        </w:rPr>
        <w:t>.</w:t>
      </w:r>
    </w:p>
  </w:footnote>
  <w:footnote w:id="12">
    <w:p w14:paraId="5EBEFC36" w14:textId="29812A1E" w:rsidR="00FD6BBE" w:rsidRPr="00FD6BBE" w:rsidRDefault="00FD6BBE">
      <w:pPr>
        <w:pStyle w:val="FootnoteText"/>
        <w:rPr>
          <w:lang w:val="en-CA"/>
        </w:rPr>
      </w:pPr>
      <w:r>
        <w:rPr>
          <w:rStyle w:val="FootnoteReference"/>
        </w:rPr>
        <w:footnoteRef/>
      </w:r>
      <w:r>
        <w:t xml:space="preserve"> </w:t>
      </w:r>
      <w:r>
        <w:rPr>
          <w:lang w:val="en-CA"/>
        </w:rPr>
        <w:t xml:space="preserve">S. </w:t>
      </w:r>
      <w:proofErr w:type="spellStart"/>
      <w:r>
        <w:rPr>
          <w:lang w:val="en-CA"/>
        </w:rPr>
        <w:t>Neilsen</w:t>
      </w:r>
      <w:proofErr w:type="spellEnd"/>
      <w:r>
        <w:rPr>
          <w:lang w:val="en-CA"/>
        </w:rPr>
        <w:t xml:space="preserve"> Blum, </w:t>
      </w:r>
      <w:r w:rsidRPr="00B12CA3">
        <w:rPr>
          <w:i/>
          <w:lang w:val="en-CA"/>
        </w:rPr>
        <w:t>Early Netherlandish Triptychs: A Study in Patronage</w:t>
      </w:r>
      <w:r>
        <w:rPr>
          <w:lang w:val="en-CA"/>
        </w:rPr>
        <w:t xml:space="preserve"> (Los Angles: University of California Press, 1969), p. </w:t>
      </w:r>
      <w:r>
        <w:rPr>
          <w:lang w:val="en-CA"/>
        </w:rPr>
        <w:t>88</w:t>
      </w:r>
      <w:r>
        <w:rPr>
          <w:lang w:val="en-CA"/>
        </w:rPr>
        <w:t>.</w:t>
      </w:r>
    </w:p>
  </w:footnote>
  <w:footnote w:id="13">
    <w:p w14:paraId="4BCC65BF" w14:textId="34D56543" w:rsidR="00FD6BBE" w:rsidRPr="00FD6BBE" w:rsidRDefault="00FD6BBE">
      <w:pPr>
        <w:pStyle w:val="FootnoteText"/>
        <w:rPr>
          <w:lang w:val="en-CA"/>
        </w:rPr>
      </w:pPr>
      <w:r>
        <w:rPr>
          <w:rStyle w:val="FootnoteReference"/>
        </w:rPr>
        <w:footnoteRef/>
      </w:r>
      <w:r>
        <w:t xml:space="preserve"> </w:t>
      </w:r>
      <w:r>
        <w:rPr>
          <w:lang w:val="en-CA"/>
        </w:rPr>
        <w:t xml:space="preserve">K. Curling Greenwood, </w:t>
      </w:r>
      <w:r w:rsidRPr="0008712A">
        <w:rPr>
          <w:i/>
          <w:lang w:val="en-CA"/>
        </w:rPr>
        <w:t>The Art of Revelation in the Apocalypse Panel of Hans Memling’s Altarpiece of Saint John the Baptist and Saint John the Evangelist, Sing-</w:t>
      </w:r>
      <w:proofErr w:type="spellStart"/>
      <w:r w:rsidRPr="0008712A">
        <w:rPr>
          <w:i/>
          <w:lang w:val="en-CA"/>
        </w:rPr>
        <w:t>Janshospital</w:t>
      </w:r>
      <w:proofErr w:type="spellEnd"/>
      <w:r w:rsidRPr="0008712A">
        <w:rPr>
          <w:i/>
          <w:lang w:val="en-CA"/>
        </w:rPr>
        <w:t xml:space="preserve"> (</w:t>
      </w:r>
      <w:proofErr w:type="spellStart"/>
      <w:r w:rsidRPr="0008712A">
        <w:rPr>
          <w:i/>
          <w:lang w:val="en-CA"/>
        </w:rPr>
        <w:t>Memlingmuseaum</w:t>
      </w:r>
      <w:proofErr w:type="spellEnd"/>
      <w:r w:rsidRPr="0008712A">
        <w:rPr>
          <w:i/>
          <w:lang w:val="en-CA"/>
        </w:rPr>
        <w:t>), Bruges</w:t>
      </w:r>
      <w:r>
        <w:rPr>
          <w:i/>
          <w:lang w:val="en-CA"/>
        </w:rPr>
        <w:t>,</w:t>
      </w:r>
      <w:r>
        <w:rPr>
          <w:lang w:val="en-CA"/>
        </w:rPr>
        <w:t xml:space="preserve"> (Unpublished MA thesis) University of Victoria, 2000. p.</w:t>
      </w:r>
      <w:r>
        <w:rPr>
          <w:lang w:val="en-CA"/>
        </w:rPr>
        <w:t>20</w:t>
      </w:r>
      <w:r>
        <w:rPr>
          <w:lang w:val="en-CA"/>
        </w:rPr>
        <w:t>.</w:t>
      </w:r>
    </w:p>
  </w:footnote>
  <w:footnote w:id="14">
    <w:p w14:paraId="7EFACB90" w14:textId="7B85FA66" w:rsidR="005D4AC9" w:rsidRPr="005D4AC9" w:rsidRDefault="005D4AC9">
      <w:pPr>
        <w:pStyle w:val="FootnoteText"/>
        <w:rPr>
          <w:lang w:val="en-CA"/>
        </w:rPr>
      </w:pPr>
      <w:r>
        <w:rPr>
          <w:rStyle w:val="FootnoteReference"/>
        </w:rPr>
        <w:footnoteRef/>
      </w:r>
      <w:r>
        <w:t xml:space="preserve"> </w:t>
      </w:r>
      <w:r>
        <w:rPr>
          <w:lang w:val="en-CA"/>
        </w:rPr>
        <w:t>Ibid.</w:t>
      </w:r>
    </w:p>
  </w:footnote>
  <w:footnote w:id="15">
    <w:p w14:paraId="196AEA5A" w14:textId="6C2AC00C" w:rsidR="009756DB" w:rsidRPr="009756DB" w:rsidRDefault="009756DB">
      <w:pPr>
        <w:pStyle w:val="FootnoteText"/>
        <w:rPr>
          <w:lang w:val="en-CA"/>
        </w:rPr>
      </w:pPr>
      <w:r>
        <w:rPr>
          <w:rStyle w:val="FootnoteReference"/>
        </w:rPr>
        <w:footnoteRef/>
      </w:r>
      <w:r>
        <w:t xml:space="preserve"> </w:t>
      </w:r>
      <w:r>
        <w:rPr>
          <w:lang w:val="en-CA"/>
        </w:rPr>
        <w:t xml:space="preserve">S. </w:t>
      </w:r>
      <w:proofErr w:type="spellStart"/>
      <w:r>
        <w:rPr>
          <w:lang w:val="en-CA"/>
        </w:rPr>
        <w:t>Neilsen</w:t>
      </w:r>
      <w:proofErr w:type="spellEnd"/>
      <w:r>
        <w:rPr>
          <w:lang w:val="en-CA"/>
        </w:rPr>
        <w:t xml:space="preserve"> Blum, </w:t>
      </w:r>
      <w:r w:rsidRPr="00B12CA3">
        <w:rPr>
          <w:i/>
          <w:lang w:val="en-CA"/>
        </w:rPr>
        <w:t>Early Netherlandish Triptychs: A Study in Patronage</w:t>
      </w:r>
      <w:r>
        <w:rPr>
          <w:lang w:val="en-CA"/>
        </w:rPr>
        <w:t xml:space="preserve"> (Los Angles: University of California Press, 1969), p. </w:t>
      </w:r>
      <w:r>
        <w:rPr>
          <w:lang w:val="en-CA"/>
        </w:rPr>
        <w:t>90</w:t>
      </w:r>
      <w:r>
        <w:rPr>
          <w:lang w:val="en-CA"/>
        </w:rPr>
        <w:t>.</w:t>
      </w:r>
    </w:p>
  </w:footnote>
  <w:footnote w:id="16">
    <w:p w14:paraId="5E3DEC17" w14:textId="799A7C39" w:rsidR="009756DB" w:rsidRPr="009756DB" w:rsidRDefault="009756DB">
      <w:pPr>
        <w:pStyle w:val="FootnoteText"/>
        <w:rPr>
          <w:lang w:val="en-CA"/>
        </w:rPr>
      </w:pPr>
      <w:r>
        <w:rPr>
          <w:rStyle w:val="FootnoteReference"/>
        </w:rPr>
        <w:footnoteRef/>
      </w:r>
      <w:r>
        <w:t xml:space="preserve"> Ibid.</w:t>
      </w:r>
    </w:p>
  </w:footnote>
  <w:footnote w:id="17">
    <w:p w14:paraId="4D66A1D9" w14:textId="3AA9DDD3" w:rsidR="009756DB" w:rsidRPr="009756DB" w:rsidRDefault="009756DB">
      <w:pPr>
        <w:pStyle w:val="FootnoteText"/>
        <w:rPr>
          <w:lang w:val="en-CA"/>
        </w:rPr>
      </w:pPr>
      <w:r>
        <w:rPr>
          <w:rStyle w:val="FootnoteReference"/>
        </w:rPr>
        <w:footnoteRef/>
      </w:r>
      <w:r>
        <w:t xml:space="preserve"> </w:t>
      </w:r>
      <w:r>
        <w:rPr>
          <w:lang w:val="en-CA"/>
        </w:rPr>
        <w:t>Ibid.</w:t>
      </w:r>
    </w:p>
  </w:footnote>
  <w:footnote w:id="18">
    <w:p w14:paraId="0D65CF28" w14:textId="408B3245" w:rsidR="009756DB" w:rsidRPr="009756DB" w:rsidRDefault="009756DB">
      <w:pPr>
        <w:pStyle w:val="FootnoteText"/>
        <w:rPr>
          <w:lang w:val="en-CA"/>
        </w:rPr>
      </w:pPr>
      <w:r>
        <w:rPr>
          <w:rStyle w:val="FootnoteReference"/>
        </w:rPr>
        <w:footnoteRef/>
      </w:r>
      <w:r>
        <w:t xml:space="preserve"> </w:t>
      </w:r>
      <w:r w:rsidR="003731E5" w:rsidRPr="001C39A3">
        <w:rPr>
          <w:i/>
        </w:rPr>
        <w:t xml:space="preserve">Holy </w:t>
      </w:r>
      <w:r w:rsidR="00C379D2" w:rsidRPr="001C39A3">
        <w:rPr>
          <w:i/>
        </w:rPr>
        <w:t>Bible</w:t>
      </w:r>
      <w:r w:rsidR="001C39A3">
        <w:t xml:space="preserve"> (Gideon) </w:t>
      </w:r>
      <w:proofErr w:type="spellStart"/>
      <w:r w:rsidR="001C39A3">
        <w:t>n.d.</w:t>
      </w:r>
      <w:proofErr w:type="spellEnd"/>
      <w:r w:rsidR="001C39A3">
        <w:t xml:space="preserve"> Revelation 6:8, p.</w:t>
      </w:r>
      <w:r w:rsidR="001242CF">
        <w:t>1290</w:t>
      </w:r>
    </w:p>
  </w:footnote>
  <w:footnote w:id="19">
    <w:p w14:paraId="4A912CD7" w14:textId="50143BE3" w:rsidR="001242CF" w:rsidRPr="001242CF" w:rsidRDefault="001242CF">
      <w:pPr>
        <w:pStyle w:val="FootnoteText"/>
        <w:rPr>
          <w:lang w:val="en-CA"/>
        </w:rPr>
      </w:pPr>
      <w:r>
        <w:rPr>
          <w:rStyle w:val="FootnoteReference"/>
        </w:rPr>
        <w:footnoteRef/>
      </w:r>
      <w:r>
        <w:t xml:space="preserve"> </w:t>
      </w:r>
      <w:r>
        <w:rPr>
          <w:lang w:val="en-CA"/>
        </w:rPr>
        <w:t xml:space="preserve">K. Curling Greenwood, </w:t>
      </w:r>
      <w:r w:rsidRPr="0008712A">
        <w:rPr>
          <w:i/>
          <w:lang w:val="en-CA"/>
        </w:rPr>
        <w:t>The Art of Revelation in the Apocalypse Panel of Hans Memling’s Altarpiece of Saint John the Baptist and Saint John the Evangelist, Sing-</w:t>
      </w:r>
      <w:proofErr w:type="spellStart"/>
      <w:r w:rsidRPr="0008712A">
        <w:rPr>
          <w:i/>
          <w:lang w:val="en-CA"/>
        </w:rPr>
        <w:t>Janshospital</w:t>
      </w:r>
      <w:proofErr w:type="spellEnd"/>
      <w:r w:rsidRPr="0008712A">
        <w:rPr>
          <w:i/>
          <w:lang w:val="en-CA"/>
        </w:rPr>
        <w:t xml:space="preserve"> (</w:t>
      </w:r>
      <w:proofErr w:type="spellStart"/>
      <w:r w:rsidRPr="0008712A">
        <w:rPr>
          <w:i/>
          <w:lang w:val="en-CA"/>
        </w:rPr>
        <w:t>Memlingmuseaum</w:t>
      </w:r>
      <w:proofErr w:type="spellEnd"/>
      <w:r w:rsidRPr="0008712A">
        <w:rPr>
          <w:i/>
          <w:lang w:val="en-CA"/>
        </w:rPr>
        <w:t>), Bruges</w:t>
      </w:r>
      <w:r>
        <w:rPr>
          <w:i/>
          <w:lang w:val="en-CA"/>
        </w:rPr>
        <w:t>,</w:t>
      </w:r>
      <w:r>
        <w:rPr>
          <w:lang w:val="en-CA"/>
        </w:rPr>
        <w:t xml:space="preserve"> (Unpublished MA thesis) University of Victoria, 2000. p.23</w:t>
      </w:r>
      <w:r>
        <w:rPr>
          <w:lang w:val="en-CA"/>
        </w:rPr>
        <w:t>-26</w:t>
      </w:r>
      <w:r>
        <w:rPr>
          <w:lang w:val="en-CA"/>
        </w:rPr>
        <w:t>.</w:t>
      </w:r>
    </w:p>
  </w:footnote>
  <w:footnote w:id="20">
    <w:p w14:paraId="40C788E2" w14:textId="38DE19E1" w:rsidR="00C379D2" w:rsidRPr="00C379D2" w:rsidRDefault="00C379D2">
      <w:pPr>
        <w:pStyle w:val="FootnoteText"/>
        <w:rPr>
          <w:lang w:val="en-CA"/>
        </w:rPr>
      </w:pPr>
      <w:r>
        <w:rPr>
          <w:rStyle w:val="FootnoteReference"/>
        </w:rPr>
        <w:footnoteRef/>
      </w:r>
      <w:r w:rsidR="001242CF">
        <w:rPr>
          <w:lang w:val="en-CA"/>
        </w:rPr>
        <w:t>Ibid</w:t>
      </w:r>
      <w:r>
        <w:rPr>
          <w:lang w:val="en-CA"/>
        </w:rPr>
        <w:t>.</w:t>
      </w:r>
      <w:r w:rsidR="001242CF">
        <w:rPr>
          <w:lang w:val="en-CA"/>
        </w:rPr>
        <w:t>,</w:t>
      </w:r>
      <w:r>
        <w:rPr>
          <w:lang w:val="en-CA"/>
        </w:rPr>
        <w:t xml:space="preserve"> p.</w:t>
      </w:r>
      <w:r>
        <w:rPr>
          <w:lang w:val="en-CA"/>
        </w:rPr>
        <w:t>23</w:t>
      </w:r>
      <w:r>
        <w:rPr>
          <w:lang w:val="en-CA"/>
        </w:rPr>
        <w:t>.</w:t>
      </w:r>
    </w:p>
  </w:footnote>
  <w:footnote w:id="21">
    <w:p w14:paraId="47EAA9C5" w14:textId="72D71AD6" w:rsidR="001E57E3" w:rsidRPr="001E57E3" w:rsidRDefault="001E57E3">
      <w:pPr>
        <w:pStyle w:val="FootnoteText"/>
        <w:rPr>
          <w:lang w:val="en-CA"/>
        </w:rPr>
      </w:pPr>
      <w:r>
        <w:rPr>
          <w:rStyle w:val="FootnoteReference"/>
        </w:rPr>
        <w:footnoteRef/>
      </w:r>
      <w:r>
        <w:t xml:space="preserve"> </w:t>
      </w:r>
      <w:r>
        <w:rPr>
          <w:lang w:val="en-CA"/>
        </w:rPr>
        <w:t>Ibid.</w:t>
      </w:r>
    </w:p>
  </w:footnote>
  <w:footnote w:id="22">
    <w:p w14:paraId="09E98F90" w14:textId="35600BC8" w:rsidR="001E57E3" w:rsidRPr="001E57E3" w:rsidRDefault="001E57E3">
      <w:pPr>
        <w:pStyle w:val="FootnoteText"/>
        <w:rPr>
          <w:lang w:val="en-CA"/>
        </w:rPr>
      </w:pPr>
      <w:r>
        <w:rPr>
          <w:rStyle w:val="FootnoteReference"/>
        </w:rPr>
        <w:footnoteRef/>
      </w:r>
      <w:r>
        <w:t xml:space="preserve"> </w:t>
      </w:r>
      <w:r>
        <w:rPr>
          <w:lang w:val="en-CA"/>
        </w:rPr>
        <w:t>Ibid</w:t>
      </w:r>
    </w:p>
  </w:footnote>
  <w:footnote w:id="23">
    <w:p w14:paraId="51D612E8" w14:textId="4B9F60E7" w:rsidR="001E57E3" w:rsidRPr="001E57E3" w:rsidRDefault="001E57E3">
      <w:pPr>
        <w:pStyle w:val="FootnoteText"/>
        <w:rPr>
          <w:lang w:val="en-CA"/>
        </w:rPr>
      </w:pPr>
      <w:r>
        <w:rPr>
          <w:rStyle w:val="FootnoteReference"/>
        </w:rPr>
        <w:footnoteRef/>
      </w:r>
      <w:r>
        <w:t xml:space="preserve"> </w:t>
      </w:r>
      <w:r>
        <w:rPr>
          <w:lang w:val="en-CA"/>
        </w:rPr>
        <w:t xml:space="preserve">S. </w:t>
      </w:r>
      <w:proofErr w:type="spellStart"/>
      <w:r>
        <w:rPr>
          <w:lang w:val="en-CA"/>
        </w:rPr>
        <w:t>Neilsen</w:t>
      </w:r>
      <w:proofErr w:type="spellEnd"/>
      <w:r>
        <w:rPr>
          <w:lang w:val="en-CA"/>
        </w:rPr>
        <w:t xml:space="preserve"> Blum, </w:t>
      </w:r>
      <w:r w:rsidRPr="00B12CA3">
        <w:rPr>
          <w:i/>
          <w:lang w:val="en-CA"/>
        </w:rPr>
        <w:t>Early Netherlandish Triptychs: A Study in Patronage</w:t>
      </w:r>
      <w:r>
        <w:rPr>
          <w:lang w:val="en-CA"/>
        </w:rPr>
        <w:t xml:space="preserve"> (Los Angles: University of California Press, 1969), p. </w:t>
      </w:r>
      <w:r>
        <w:rPr>
          <w:lang w:val="en-CA"/>
        </w:rPr>
        <w:t>91</w:t>
      </w:r>
      <w:r>
        <w:rPr>
          <w:lang w:val="en-CA"/>
        </w:rPr>
        <w:t>.</w:t>
      </w:r>
    </w:p>
  </w:footnote>
  <w:footnote w:id="24">
    <w:p w14:paraId="16475E2E" w14:textId="51D0B24F" w:rsidR="001E57E3" w:rsidRPr="001E57E3" w:rsidRDefault="001E57E3">
      <w:pPr>
        <w:pStyle w:val="FootnoteText"/>
        <w:rPr>
          <w:lang w:val="en-CA"/>
        </w:rPr>
      </w:pPr>
      <w:r>
        <w:rPr>
          <w:rStyle w:val="FootnoteReference"/>
        </w:rPr>
        <w:footnoteRef/>
      </w:r>
      <w:r>
        <w:t xml:space="preserve"> </w:t>
      </w:r>
      <w:r>
        <w:rPr>
          <w:lang w:val="en-CA"/>
        </w:rPr>
        <w:t>Ibid.</w:t>
      </w:r>
    </w:p>
  </w:footnote>
  <w:footnote w:id="25">
    <w:p w14:paraId="3E9B6DFB" w14:textId="1DB9C8A7" w:rsidR="001E57E3" w:rsidRPr="001E57E3" w:rsidRDefault="001E57E3">
      <w:pPr>
        <w:pStyle w:val="FootnoteText"/>
        <w:rPr>
          <w:lang w:val="en-CA"/>
        </w:rPr>
      </w:pPr>
      <w:r>
        <w:rPr>
          <w:rStyle w:val="FootnoteReference"/>
        </w:rPr>
        <w:footnoteRef/>
      </w:r>
      <w:r>
        <w:t xml:space="preserve"> </w:t>
      </w:r>
      <w:r>
        <w:rPr>
          <w:lang w:val="en-CA"/>
        </w:rPr>
        <w:t>Ibid.</w:t>
      </w:r>
    </w:p>
  </w:footnote>
  <w:footnote w:id="26">
    <w:p w14:paraId="38239CB4" w14:textId="3489ABA6" w:rsidR="001E57E3" w:rsidRPr="001E57E3" w:rsidRDefault="001E57E3">
      <w:pPr>
        <w:pStyle w:val="FootnoteText"/>
        <w:rPr>
          <w:lang w:val="en-CA"/>
        </w:rPr>
      </w:pPr>
      <w:r>
        <w:rPr>
          <w:rStyle w:val="FootnoteReference"/>
        </w:rPr>
        <w:footnoteRef/>
      </w:r>
      <w:r>
        <w:t xml:space="preserve"> </w:t>
      </w:r>
      <w:r>
        <w:rPr>
          <w:lang w:val="en-CA"/>
        </w:rPr>
        <w:t xml:space="preserve">K. Curling Greenwood, </w:t>
      </w:r>
      <w:r w:rsidRPr="0008712A">
        <w:rPr>
          <w:i/>
          <w:lang w:val="en-CA"/>
        </w:rPr>
        <w:t>The Art of Revelation in the Apocalypse Panel of Hans Memling’s Altarpiece of Saint John the Baptist and Saint John the Evangelist, Sing-</w:t>
      </w:r>
      <w:proofErr w:type="spellStart"/>
      <w:r w:rsidRPr="0008712A">
        <w:rPr>
          <w:i/>
          <w:lang w:val="en-CA"/>
        </w:rPr>
        <w:t>Janshospital</w:t>
      </w:r>
      <w:proofErr w:type="spellEnd"/>
      <w:r w:rsidRPr="0008712A">
        <w:rPr>
          <w:i/>
          <w:lang w:val="en-CA"/>
        </w:rPr>
        <w:t xml:space="preserve"> (</w:t>
      </w:r>
      <w:proofErr w:type="spellStart"/>
      <w:r w:rsidRPr="0008712A">
        <w:rPr>
          <w:i/>
          <w:lang w:val="en-CA"/>
        </w:rPr>
        <w:t>Memlingmuseaum</w:t>
      </w:r>
      <w:proofErr w:type="spellEnd"/>
      <w:r w:rsidRPr="0008712A">
        <w:rPr>
          <w:i/>
          <w:lang w:val="en-CA"/>
        </w:rPr>
        <w:t>), Bruges</w:t>
      </w:r>
      <w:r>
        <w:rPr>
          <w:i/>
          <w:lang w:val="en-CA"/>
        </w:rPr>
        <w:t>,</w:t>
      </w:r>
      <w:r>
        <w:rPr>
          <w:lang w:val="en-CA"/>
        </w:rPr>
        <w:t xml:space="preserve"> (Unpublished MA thesis) University of Victoria, 2000. p.</w:t>
      </w:r>
      <w:r>
        <w:rPr>
          <w:lang w:val="en-CA"/>
        </w:rPr>
        <w:t>29</w:t>
      </w:r>
      <w:r>
        <w:rPr>
          <w:lang w:val="en-CA"/>
        </w:rPr>
        <w:t>.</w:t>
      </w:r>
    </w:p>
  </w:footnote>
  <w:footnote w:id="27">
    <w:p w14:paraId="325ED4EE" w14:textId="10080D6A" w:rsidR="001E57E3" w:rsidRPr="001E57E3" w:rsidRDefault="001E57E3">
      <w:pPr>
        <w:pStyle w:val="FootnoteText"/>
        <w:rPr>
          <w:lang w:val="en-CA"/>
        </w:rPr>
      </w:pPr>
      <w:r>
        <w:rPr>
          <w:rStyle w:val="FootnoteReference"/>
        </w:rPr>
        <w:footnoteRef/>
      </w:r>
      <w:r>
        <w:t xml:space="preserve"> </w:t>
      </w:r>
      <w:r>
        <w:rPr>
          <w:lang w:val="en-CA"/>
        </w:rPr>
        <w:t xml:space="preserve">S. </w:t>
      </w:r>
      <w:proofErr w:type="spellStart"/>
      <w:r>
        <w:rPr>
          <w:lang w:val="en-CA"/>
        </w:rPr>
        <w:t>Neilsen</w:t>
      </w:r>
      <w:proofErr w:type="spellEnd"/>
      <w:r>
        <w:rPr>
          <w:lang w:val="en-CA"/>
        </w:rPr>
        <w:t xml:space="preserve"> Blum, </w:t>
      </w:r>
      <w:r w:rsidRPr="00B12CA3">
        <w:rPr>
          <w:i/>
          <w:lang w:val="en-CA"/>
        </w:rPr>
        <w:t>Early Netherlandish Triptychs: A Study in Patronage</w:t>
      </w:r>
      <w:r>
        <w:rPr>
          <w:lang w:val="en-CA"/>
        </w:rPr>
        <w:t xml:space="preserve"> (Los Angles: University of California Press, 1969), p. 91.</w:t>
      </w:r>
    </w:p>
  </w:footnote>
  <w:footnote w:id="28">
    <w:p w14:paraId="77E8FD4F" w14:textId="485A3DBD" w:rsidR="001E57E3" w:rsidRPr="001E57E3" w:rsidRDefault="001E57E3">
      <w:pPr>
        <w:pStyle w:val="FootnoteText"/>
        <w:rPr>
          <w:lang w:val="en-CA"/>
        </w:rPr>
      </w:pPr>
      <w:r>
        <w:rPr>
          <w:rStyle w:val="FootnoteReference"/>
        </w:rPr>
        <w:footnoteRef/>
      </w:r>
      <w:r>
        <w:t xml:space="preserve"> </w:t>
      </w:r>
      <w:r>
        <w:rPr>
          <w:lang w:val="en-CA"/>
        </w:rPr>
        <w:t>Ibid.,96.</w:t>
      </w:r>
    </w:p>
  </w:footnote>
  <w:footnote w:id="29">
    <w:p w14:paraId="00F91977" w14:textId="5D643940" w:rsidR="001E57E3" w:rsidRPr="001E57E3" w:rsidRDefault="001E57E3">
      <w:pPr>
        <w:pStyle w:val="FootnoteText"/>
        <w:rPr>
          <w:lang w:val="en-CA"/>
        </w:rPr>
      </w:pPr>
      <w:r>
        <w:rPr>
          <w:rStyle w:val="FootnoteReference"/>
        </w:rPr>
        <w:footnoteRef/>
      </w:r>
      <w:r>
        <w:t xml:space="preserve"> </w:t>
      </w:r>
      <w:r>
        <w:rPr>
          <w:lang w:val="en-CA"/>
        </w:rPr>
        <w:t xml:space="preserve">B. Donald, ‘A celebration of Hans Memling’, </w:t>
      </w:r>
      <w:r w:rsidRPr="00D81771">
        <w:rPr>
          <w:i/>
          <w:lang w:val="en-CA"/>
        </w:rPr>
        <w:t>Contemporary Review</w:t>
      </w:r>
      <w:r>
        <w:rPr>
          <w:i/>
          <w:lang w:val="en-CA"/>
        </w:rPr>
        <w:t xml:space="preserve">, </w:t>
      </w:r>
      <w:r w:rsidRPr="00FD6BBE">
        <w:rPr>
          <w:lang w:val="en-CA"/>
        </w:rPr>
        <w:t>Vol 265</w:t>
      </w:r>
      <w:r>
        <w:rPr>
          <w:lang w:val="en-CA"/>
        </w:rPr>
        <w:t xml:space="preserve">, p72-80,9p. Available at </w:t>
      </w:r>
      <w:hyperlink r:id="rId2" w:history="1">
        <w:r w:rsidRPr="00F95B77">
          <w:rPr>
            <w:rStyle w:val="Hyperlink"/>
            <w:lang w:val="en-CA"/>
          </w:rPr>
          <w:t>https://ezproxy.uwtsd.ac.uk/login?url=http://search.ebscohost.com/login.aspx?direct=true&amp;db=hus&amp;AN=509502347&amp;site=ehost-live</w:t>
        </w:r>
      </w:hyperlink>
      <w:r>
        <w:rPr>
          <w:lang w:val="en-CA"/>
        </w:rPr>
        <w:t xml:space="preserve"> (Accessed: November 6, 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139D"/>
    <w:rsid w:val="00013C03"/>
    <w:rsid w:val="00050375"/>
    <w:rsid w:val="0008712A"/>
    <w:rsid w:val="00091285"/>
    <w:rsid w:val="0009706F"/>
    <w:rsid w:val="000B15CD"/>
    <w:rsid w:val="000B548E"/>
    <w:rsid w:val="001045B1"/>
    <w:rsid w:val="001242CF"/>
    <w:rsid w:val="00126B7F"/>
    <w:rsid w:val="00151BE1"/>
    <w:rsid w:val="001C2613"/>
    <w:rsid w:val="001C39A3"/>
    <w:rsid w:val="001C530E"/>
    <w:rsid w:val="001D1769"/>
    <w:rsid w:val="001E1C82"/>
    <w:rsid w:val="001E57E3"/>
    <w:rsid w:val="002019F1"/>
    <w:rsid w:val="00202B09"/>
    <w:rsid w:val="002314FC"/>
    <w:rsid w:val="00255803"/>
    <w:rsid w:val="00297585"/>
    <w:rsid w:val="002B4AA5"/>
    <w:rsid w:val="002E3261"/>
    <w:rsid w:val="00314F29"/>
    <w:rsid w:val="003731E5"/>
    <w:rsid w:val="00384985"/>
    <w:rsid w:val="003A0C8D"/>
    <w:rsid w:val="003A2B08"/>
    <w:rsid w:val="003E384F"/>
    <w:rsid w:val="003F2704"/>
    <w:rsid w:val="00400CE8"/>
    <w:rsid w:val="00441D9F"/>
    <w:rsid w:val="0045774E"/>
    <w:rsid w:val="004577B2"/>
    <w:rsid w:val="00490763"/>
    <w:rsid w:val="004A1897"/>
    <w:rsid w:val="004B38C5"/>
    <w:rsid w:val="004C0567"/>
    <w:rsid w:val="004C5480"/>
    <w:rsid w:val="005036AF"/>
    <w:rsid w:val="00504E93"/>
    <w:rsid w:val="005135F7"/>
    <w:rsid w:val="005348BE"/>
    <w:rsid w:val="00550186"/>
    <w:rsid w:val="00562F0A"/>
    <w:rsid w:val="00577570"/>
    <w:rsid w:val="00594CDD"/>
    <w:rsid w:val="005A39EA"/>
    <w:rsid w:val="005D4AC9"/>
    <w:rsid w:val="00613097"/>
    <w:rsid w:val="00625B7B"/>
    <w:rsid w:val="00636CAE"/>
    <w:rsid w:val="0064128F"/>
    <w:rsid w:val="006418F9"/>
    <w:rsid w:val="006844EA"/>
    <w:rsid w:val="00686078"/>
    <w:rsid w:val="00691EA4"/>
    <w:rsid w:val="006B3244"/>
    <w:rsid w:val="006D75A7"/>
    <w:rsid w:val="00703F6C"/>
    <w:rsid w:val="00714AB8"/>
    <w:rsid w:val="00735182"/>
    <w:rsid w:val="00751697"/>
    <w:rsid w:val="007633FE"/>
    <w:rsid w:val="007964B0"/>
    <w:rsid w:val="007F0576"/>
    <w:rsid w:val="007F64AA"/>
    <w:rsid w:val="0080363E"/>
    <w:rsid w:val="00804FA6"/>
    <w:rsid w:val="00815AAC"/>
    <w:rsid w:val="00832107"/>
    <w:rsid w:val="00843807"/>
    <w:rsid w:val="00850080"/>
    <w:rsid w:val="008626C8"/>
    <w:rsid w:val="00876585"/>
    <w:rsid w:val="00877248"/>
    <w:rsid w:val="008C3BC4"/>
    <w:rsid w:val="00930BBD"/>
    <w:rsid w:val="009525CD"/>
    <w:rsid w:val="0095512B"/>
    <w:rsid w:val="009617B1"/>
    <w:rsid w:val="009756DB"/>
    <w:rsid w:val="00985027"/>
    <w:rsid w:val="00997C79"/>
    <w:rsid w:val="009A118F"/>
    <w:rsid w:val="009B5BE7"/>
    <w:rsid w:val="009B67BD"/>
    <w:rsid w:val="009C4BCC"/>
    <w:rsid w:val="009F2AEE"/>
    <w:rsid w:val="009F2D8D"/>
    <w:rsid w:val="009F39B1"/>
    <w:rsid w:val="00A32C76"/>
    <w:rsid w:val="00A37CCE"/>
    <w:rsid w:val="00A50F10"/>
    <w:rsid w:val="00A6200D"/>
    <w:rsid w:val="00A8285D"/>
    <w:rsid w:val="00A93D38"/>
    <w:rsid w:val="00AA4498"/>
    <w:rsid w:val="00AD6189"/>
    <w:rsid w:val="00AE0B97"/>
    <w:rsid w:val="00B02067"/>
    <w:rsid w:val="00B12CA3"/>
    <w:rsid w:val="00B23CA6"/>
    <w:rsid w:val="00B33072"/>
    <w:rsid w:val="00B408ED"/>
    <w:rsid w:val="00B6058C"/>
    <w:rsid w:val="00B87954"/>
    <w:rsid w:val="00BD34E5"/>
    <w:rsid w:val="00BE4758"/>
    <w:rsid w:val="00C0748E"/>
    <w:rsid w:val="00C12441"/>
    <w:rsid w:val="00C379D2"/>
    <w:rsid w:val="00C510AF"/>
    <w:rsid w:val="00C965D8"/>
    <w:rsid w:val="00CA0DFA"/>
    <w:rsid w:val="00CC6508"/>
    <w:rsid w:val="00CE59E4"/>
    <w:rsid w:val="00CE6E9E"/>
    <w:rsid w:val="00CF71CB"/>
    <w:rsid w:val="00D25FB3"/>
    <w:rsid w:val="00D5139D"/>
    <w:rsid w:val="00D62B45"/>
    <w:rsid w:val="00D716CB"/>
    <w:rsid w:val="00D81771"/>
    <w:rsid w:val="00D95823"/>
    <w:rsid w:val="00DA4DF5"/>
    <w:rsid w:val="00DB6463"/>
    <w:rsid w:val="00DE5CAD"/>
    <w:rsid w:val="00DE7463"/>
    <w:rsid w:val="00DF5F6D"/>
    <w:rsid w:val="00E0472D"/>
    <w:rsid w:val="00E21E91"/>
    <w:rsid w:val="00E80C7D"/>
    <w:rsid w:val="00E91078"/>
    <w:rsid w:val="00EB15C3"/>
    <w:rsid w:val="00EE4F6A"/>
    <w:rsid w:val="00EF2066"/>
    <w:rsid w:val="00F12C28"/>
    <w:rsid w:val="00F55A2D"/>
    <w:rsid w:val="00F942BA"/>
    <w:rsid w:val="00FC0CC1"/>
    <w:rsid w:val="00FD6B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F015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51697"/>
  </w:style>
  <w:style w:type="character" w:styleId="CommentReference">
    <w:name w:val="annotation reference"/>
    <w:basedOn w:val="DefaultParagraphFont"/>
    <w:uiPriority w:val="99"/>
    <w:semiHidden/>
    <w:unhideWhenUsed/>
    <w:rsid w:val="00930BBD"/>
    <w:rPr>
      <w:sz w:val="16"/>
      <w:szCs w:val="16"/>
    </w:rPr>
  </w:style>
  <w:style w:type="paragraph" w:styleId="CommentText">
    <w:name w:val="annotation text"/>
    <w:basedOn w:val="Normal"/>
    <w:link w:val="CommentTextChar"/>
    <w:uiPriority w:val="99"/>
    <w:semiHidden/>
    <w:unhideWhenUsed/>
    <w:rsid w:val="00930BBD"/>
    <w:rPr>
      <w:sz w:val="20"/>
      <w:szCs w:val="20"/>
    </w:rPr>
  </w:style>
  <w:style w:type="character" w:customStyle="1" w:styleId="CommentTextChar">
    <w:name w:val="Comment Text Char"/>
    <w:basedOn w:val="DefaultParagraphFont"/>
    <w:link w:val="CommentText"/>
    <w:uiPriority w:val="99"/>
    <w:semiHidden/>
    <w:rsid w:val="00930BBD"/>
    <w:rPr>
      <w:sz w:val="20"/>
      <w:szCs w:val="20"/>
    </w:rPr>
  </w:style>
  <w:style w:type="paragraph" w:styleId="CommentSubject">
    <w:name w:val="annotation subject"/>
    <w:basedOn w:val="CommentText"/>
    <w:next w:val="CommentText"/>
    <w:link w:val="CommentSubjectChar"/>
    <w:uiPriority w:val="99"/>
    <w:semiHidden/>
    <w:unhideWhenUsed/>
    <w:rsid w:val="00930BBD"/>
    <w:rPr>
      <w:b/>
      <w:bCs/>
    </w:rPr>
  </w:style>
  <w:style w:type="character" w:customStyle="1" w:styleId="CommentSubjectChar">
    <w:name w:val="Comment Subject Char"/>
    <w:basedOn w:val="CommentTextChar"/>
    <w:link w:val="CommentSubject"/>
    <w:uiPriority w:val="99"/>
    <w:semiHidden/>
    <w:rsid w:val="00930BBD"/>
    <w:rPr>
      <w:b/>
      <w:bCs/>
      <w:sz w:val="20"/>
      <w:szCs w:val="20"/>
    </w:rPr>
  </w:style>
  <w:style w:type="paragraph" w:styleId="BalloonText">
    <w:name w:val="Balloon Text"/>
    <w:basedOn w:val="Normal"/>
    <w:link w:val="BalloonTextChar"/>
    <w:uiPriority w:val="99"/>
    <w:semiHidden/>
    <w:unhideWhenUsed/>
    <w:rsid w:val="00930BB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0BBD"/>
    <w:rPr>
      <w:rFonts w:ascii="Segoe UI" w:hAnsi="Segoe UI" w:cs="Segoe UI"/>
      <w:sz w:val="18"/>
      <w:szCs w:val="18"/>
    </w:rPr>
  </w:style>
  <w:style w:type="paragraph" w:styleId="FootnoteText">
    <w:name w:val="footnote text"/>
    <w:basedOn w:val="Normal"/>
    <w:link w:val="FootnoteTextChar"/>
    <w:uiPriority w:val="99"/>
    <w:unhideWhenUsed/>
    <w:rsid w:val="00985027"/>
  </w:style>
  <w:style w:type="character" w:customStyle="1" w:styleId="FootnoteTextChar">
    <w:name w:val="Footnote Text Char"/>
    <w:basedOn w:val="DefaultParagraphFont"/>
    <w:link w:val="FootnoteText"/>
    <w:uiPriority w:val="99"/>
    <w:rsid w:val="00985027"/>
  </w:style>
  <w:style w:type="character" w:styleId="FootnoteReference">
    <w:name w:val="footnote reference"/>
    <w:basedOn w:val="DefaultParagraphFont"/>
    <w:uiPriority w:val="99"/>
    <w:unhideWhenUsed/>
    <w:rsid w:val="00985027"/>
    <w:rPr>
      <w:vertAlign w:val="superscript"/>
    </w:rPr>
  </w:style>
  <w:style w:type="character" w:styleId="Hyperlink">
    <w:name w:val="Hyperlink"/>
    <w:basedOn w:val="DefaultParagraphFont"/>
    <w:uiPriority w:val="99"/>
    <w:unhideWhenUsed/>
    <w:rsid w:val="00FD6BBE"/>
    <w:rPr>
      <w:color w:val="0563C1" w:themeColor="hyperlink"/>
      <w:u w:val="single"/>
    </w:rPr>
  </w:style>
  <w:style w:type="character" w:styleId="FollowedHyperlink">
    <w:name w:val="FollowedHyperlink"/>
    <w:basedOn w:val="DefaultParagraphFont"/>
    <w:uiPriority w:val="99"/>
    <w:semiHidden/>
    <w:unhideWhenUsed/>
    <w:rsid w:val="002E32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2139128">
      <w:bodyDiv w:val="1"/>
      <w:marLeft w:val="0"/>
      <w:marRight w:val="0"/>
      <w:marTop w:val="0"/>
      <w:marBottom w:val="0"/>
      <w:divBdr>
        <w:top w:val="none" w:sz="0" w:space="0" w:color="auto"/>
        <w:left w:val="none" w:sz="0" w:space="0" w:color="auto"/>
        <w:bottom w:val="none" w:sz="0" w:space="0" w:color="auto"/>
        <w:right w:val="none" w:sz="0" w:space="0" w:color="auto"/>
      </w:divBdr>
    </w:div>
    <w:div w:id="1140925273">
      <w:bodyDiv w:val="1"/>
      <w:marLeft w:val="0"/>
      <w:marRight w:val="0"/>
      <w:marTop w:val="0"/>
      <w:marBottom w:val="0"/>
      <w:divBdr>
        <w:top w:val="none" w:sz="0" w:space="0" w:color="auto"/>
        <w:left w:val="none" w:sz="0" w:space="0" w:color="auto"/>
        <w:bottom w:val="none" w:sz="0" w:space="0" w:color="auto"/>
        <w:right w:val="none" w:sz="0" w:space="0" w:color="auto"/>
      </w:divBdr>
    </w:div>
    <w:div w:id="14278428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9" Type="http://schemas.microsoft.com/office/2016/09/relationships/commentsIds" Target="commentsIds.xml"/><Relationship Id="rId1" Type="http://schemas.openxmlformats.org/officeDocument/2006/relationships/customXml" Target="../customXml/item1.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ezproxy.uwtsd.ac.uk/login?url=http://search.ebscohost.com/login.aspx?direct=true&amp;db=hus&amp;AN=509502347&amp;site=ehost-live" TargetMode="External"/><Relationship Id="rId2" Type="http://schemas.openxmlformats.org/officeDocument/2006/relationships/hyperlink" Target="https://ezproxy.uwtsd.ac.uk/login?url=http://search.ebscohost.com/login.aspx?direct=true&amp;db=hus&amp;AN=509502347&amp;site=ehost-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0402203-150D-1446-A17A-AAC2CCB95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1259</Words>
  <Characters>7178</Characters>
  <Application>Microsoft Macintosh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Bryce Robinson</dc:creator>
  <cp:keywords/>
  <dc:description/>
  <cp:lastModifiedBy>Bryce Robinson</cp:lastModifiedBy>
  <cp:revision>4</cp:revision>
  <dcterms:created xsi:type="dcterms:W3CDTF">2017-11-10T15:54:00Z</dcterms:created>
  <dcterms:modified xsi:type="dcterms:W3CDTF">2017-11-10T15:58:00Z</dcterms:modified>
</cp:coreProperties>
</file>