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077801" w14:textId="77777777" w:rsidR="00AF0697" w:rsidRDefault="00AF0697" w:rsidP="00604F5E">
      <w:pPr>
        <w:jc w:val="both"/>
        <w:rPr>
          <w:rFonts w:cstheme="minorHAnsi"/>
          <w:b/>
          <w:bCs/>
        </w:rPr>
      </w:pPr>
    </w:p>
    <w:p w14:paraId="23E88CCA" w14:textId="77777777" w:rsidR="00506E40" w:rsidRDefault="00506E40" w:rsidP="00604F5E">
      <w:pPr>
        <w:jc w:val="both"/>
        <w:rPr>
          <w:rFonts w:cstheme="minorHAnsi"/>
          <w:b/>
          <w:bCs/>
        </w:rPr>
      </w:pPr>
    </w:p>
    <w:p w14:paraId="32EA26CC" w14:textId="77777777" w:rsidR="00506E40" w:rsidRPr="00F92E21" w:rsidRDefault="00506E40" w:rsidP="00604F5E">
      <w:pPr>
        <w:jc w:val="both"/>
        <w:rPr>
          <w:rFonts w:cstheme="minorHAnsi"/>
          <w:b/>
          <w:bCs/>
        </w:rPr>
      </w:pPr>
    </w:p>
    <w:p w14:paraId="66F2582E" w14:textId="625797C4" w:rsidR="00AF0697" w:rsidRPr="00F92E21" w:rsidRDefault="00AF0697" w:rsidP="00AF0697">
      <w:pPr>
        <w:tabs>
          <w:tab w:val="left" w:pos="2080"/>
        </w:tabs>
        <w:jc w:val="both"/>
        <w:rPr>
          <w:rFonts w:cstheme="minorHAnsi"/>
          <w:b/>
          <w:bCs/>
        </w:rPr>
      </w:pPr>
      <w:r w:rsidRPr="00F92E21">
        <w:rPr>
          <w:rFonts w:cstheme="minorHAnsi"/>
          <w:b/>
          <w:bCs/>
        </w:rPr>
        <w:tab/>
      </w:r>
    </w:p>
    <w:p w14:paraId="4BB39249" w14:textId="77777777" w:rsidR="00AF0697" w:rsidRPr="00F92E21" w:rsidRDefault="00AF0697" w:rsidP="00AF0697">
      <w:pPr>
        <w:tabs>
          <w:tab w:val="left" w:pos="2080"/>
        </w:tabs>
        <w:jc w:val="both"/>
        <w:rPr>
          <w:rFonts w:cstheme="minorHAnsi"/>
          <w:b/>
          <w:bCs/>
        </w:rPr>
      </w:pPr>
    </w:p>
    <w:p w14:paraId="694978B3" w14:textId="77777777" w:rsidR="00AF0697" w:rsidRPr="00F92E21" w:rsidRDefault="00AF0697" w:rsidP="006745C3">
      <w:pPr>
        <w:tabs>
          <w:tab w:val="left" w:pos="2080"/>
        </w:tabs>
        <w:jc w:val="center"/>
        <w:rPr>
          <w:rFonts w:cstheme="minorHAnsi"/>
          <w:color w:val="7F7F7F" w:themeColor="text1" w:themeTint="80"/>
        </w:rPr>
      </w:pPr>
    </w:p>
    <w:p w14:paraId="5FC028C1" w14:textId="40FE9DA9" w:rsidR="00AF0697" w:rsidRPr="00F92E21" w:rsidRDefault="00AF0697" w:rsidP="006745C3">
      <w:pPr>
        <w:tabs>
          <w:tab w:val="left" w:pos="2080"/>
        </w:tabs>
        <w:jc w:val="center"/>
        <w:rPr>
          <w:rFonts w:cstheme="minorHAnsi"/>
          <w:color w:val="7F7F7F" w:themeColor="text1" w:themeTint="80"/>
          <w:sz w:val="40"/>
          <w:szCs w:val="40"/>
        </w:rPr>
      </w:pPr>
      <w:r w:rsidRPr="00F92E21">
        <w:rPr>
          <w:rFonts w:cstheme="minorHAnsi"/>
          <w:color w:val="7F7F7F" w:themeColor="text1" w:themeTint="80"/>
          <w:sz w:val="40"/>
          <w:szCs w:val="40"/>
        </w:rPr>
        <w:t xml:space="preserve">Understanding </w:t>
      </w:r>
      <w:r w:rsidR="00B81281" w:rsidRPr="00F92E21">
        <w:rPr>
          <w:rFonts w:cstheme="minorHAnsi"/>
          <w:color w:val="7F7F7F" w:themeColor="text1" w:themeTint="80"/>
          <w:sz w:val="40"/>
          <w:szCs w:val="40"/>
        </w:rPr>
        <w:t xml:space="preserve">the </w:t>
      </w:r>
      <w:r w:rsidRPr="00F92E21">
        <w:rPr>
          <w:rFonts w:cstheme="minorHAnsi"/>
          <w:color w:val="7F7F7F" w:themeColor="text1" w:themeTint="80"/>
          <w:sz w:val="40"/>
          <w:szCs w:val="40"/>
        </w:rPr>
        <w:t xml:space="preserve">Business </w:t>
      </w:r>
      <w:r w:rsidR="00B108EB" w:rsidRPr="00F92E21">
        <w:rPr>
          <w:rFonts w:cstheme="minorHAnsi"/>
          <w:color w:val="7F7F7F" w:themeColor="text1" w:themeTint="80"/>
          <w:sz w:val="40"/>
          <w:szCs w:val="40"/>
        </w:rPr>
        <w:t>Context</w:t>
      </w:r>
    </w:p>
    <w:p w14:paraId="7E607C82" w14:textId="77777777" w:rsidR="003B5D9A" w:rsidRPr="00F92E21" w:rsidRDefault="003B5D9A" w:rsidP="006745C3">
      <w:pPr>
        <w:tabs>
          <w:tab w:val="left" w:pos="2080"/>
        </w:tabs>
        <w:jc w:val="center"/>
        <w:rPr>
          <w:rFonts w:cstheme="minorHAnsi"/>
          <w:color w:val="7F7F7F" w:themeColor="text1" w:themeTint="80"/>
          <w:sz w:val="40"/>
          <w:szCs w:val="40"/>
        </w:rPr>
      </w:pPr>
    </w:p>
    <w:p w14:paraId="346BB575" w14:textId="1C8B975F" w:rsidR="006745C3" w:rsidRPr="00F92E21" w:rsidRDefault="006745C3" w:rsidP="006745C3">
      <w:pPr>
        <w:tabs>
          <w:tab w:val="left" w:pos="2080"/>
        </w:tabs>
        <w:jc w:val="center"/>
        <w:rPr>
          <w:rFonts w:cstheme="minorHAnsi"/>
          <w:color w:val="7F7F7F" w:themeColor="text1" w:themeTint="80"/>
          <w:sz w:val="40"/>
          <w:szCs w:val="40"/>
        </w:rPr>
      </w:pPr>
      <w:r w:rsidRPr="00F92E21">
        <w:rPr>
          <w:rFonts w:cstheme="minorHAnsi"/>
          <w:color w:val="7F7F7F" w:themeColor="text1" w:themeTint="80"/>
          <w:sz w:val="40"/>
          <w:szCs w:val="40"/>
        </w:rPr>
        <w:t>Module Course: BMHR7012</w:t>
      </w:r>
    </w:p>
    <w:p w14:paraId="432B6541" w14:textId="77777777" w:rsidR="003B5D9A" w:rsidRPr="00F92E21" w:rsidRDefault="003B5D9A" w:rsidP="006745C3">
      <w:pPr>
        <w:tabs>
          <w:tab w:val="left" w:pos="2080"/>
        </w:tabs>
        <w:jc w:val="center"/>
        <w:rPr>
          <w:rFonts w:cstheme="minorHAnsi"/>
          <w:color w:val="7F7F7F" w:themeColor="text1" w:themeTint="80"/>
          <w:sz w:val="40"/>
          <w:szCs w:val="40"/>
        </w:rPr>
      </w:pPr>
    </w:p>
    <w:p w14:paraId="12E625F5" w14:textId="6FF87F00" w:rsidR="006745C3" w:rsidRPr="00F92E21" w:rsidRDefault="00B108EB" w:rsidP="006745C3">
      <w:pPr>
        <w:tabs>
          <w:tab w:val="left" w:pos="2080"/>
        </w:tabs>
        <w:jc w:val="center"/>
        <w:rPr>
          <w:rFonts w:cstheme="minorHAnsi"/>
          <w:color w:val="7F7F7F" w:themeColor="text1" w:themeTint="80"/>
          <w:sz w:val="40"/>
          <w:szCs w:val="40"/>
        </w:rPr>
      </w:pPr>
      <w:r w:rsidRPr="00F92E21">
        <w:rPr>
          <w:rFonts w:cstheme="minorHAnsi"/>
          <w:color w:val="7F7F7F" w:themeColor="text1" w:themeTint="80"/>
          <w:sz w:val="40"/>
          <w:szCs w:val="40"/>
        </w:rPr>
        <w:t>Nia Milcoy</w:t>
      </w:r>
    </w:p>
    <w:p w14:paraId="03193E72" w14:textId="55FDF568" w:rsidR="00B108EB" w:rsidRDefault="005C03FD" w:rsidP="005C03FD">
      <w:pPr>
        <w:tabs>
          <w:tab w:val="left" w:pos="2080"/>
          <w:tab w:val="center" w:pos="4513"/>
          <w:tab w:val="left" w:pos="6290"/>
        </w:tabs>
        <w:rPr>
          <w:rFonts w:cstheme="minorHAnsi"/>
          <w:color w:val="7F7F7F" w:themeColor="text1" w:themeTint="80"/>
          <w:sz w:val="40"/>
          <w:szCs w:val="40"/>
        </w:rPr>
      </w:pPr>
      <w:r>
        <w:rPr>
          <w:rFonts w:cstheme="minorHAnsi"/>
          <w:color w:val="7F7F7F" w:themeColor="text1" w:themeTint="80"/>
          <w:sz w:val="40"/>
          <w:szCs w:val="40"/>
        </w:rPr>
        <w:tab/>
      </w:r>
      <w:r>
        <w:rPr>
          <w:rFonts w:cstheme="minorHAnsi"/>
          <w:color w:val="7F7F7F" w:themeColor="text1" w:themeTint="80"/>
          <w:sz w:val="40"/>
          <w:szCs w:val="40"/>
        </w:rPr>
        <w:tab/>
      </w:r>
      <w:r w:rsidR="006745C3" w:rsidRPr="00F92E21">
        <w:rPr>
          <w:rFonts w:cstheme="minorHAnsi"/>
          <w:color w:val="7F7F7F" w:themeColor="text1" w:themeTint="80"/>
          <w:sz w:val="40"/>
          <w:szCs w:val="40"/>
        </w:rPr>
        <w:t>0600733</w:t>
      </w:r>
      <w:r>
        <w:rPr>
          <w:rFonts w:cstheme="minorHAnsi"/>
          <w:color w:val="7F7F7F" w:themeColor="text1" w:themeTint="80"/>
          <w:sz w:val="40"/>
          <w:szCs w:val="40"/>
        </w:rPr>
        <w:tab/>
      </w:r>
    </w:p>
    <w:p w14:paraId="7C8F3A88" w14:textId="77777777" w:rsidR="005C03FD" w:rsidRDefault="005C03FD" w:rsidP="005C03FD">
      <w:pPr>
        <w:tabs>
          <w:tab w:val="left" w:pos="2080"/>
          <w:tab w:val="center" w:pos="4513"/>
          <w:tab w:val="left" w:pos="6290"/>
        </w:tabs>
        <w:rPr>
          <w:rFonts w:cstheme="minorHAnsi"/>
          <w:color w:val="7F7F7F" w:themeColor="text1" w:themeTint="80"/>
          <w:sz w:val="40"/>
          <w:szCs w:val="40"/>
        </w:rPr>
      </w:pPr>
    </w:p>
    <w:p w14:paraId="38E5D0F5" w14:textId="77777777" w:rsidR="005C03FD" w:rsidRDefault="005C03FD" w:rsidP="005C03FD">
      <w:pPr>
        <w:tabs>
          <w:tab w:val="left" w:pos="2080"/>
          <w:tab w:val="center" w:pos="4513"/>
          <w:tab w:val="left" w:pos="6290"/>
        </w:tabs>
        <w:rPr>
          <w:rFonts w:cstheme="minorHAnsi"/>
          <w:color w:val="7F7F7F" w:themeColor="text1" w:themeTint="80"/>
          <w:sz w:val="40"/>
          <w:szCs w:val="40"/>
        </w:rPr>
      </w:pPr>
    </w:p>
    <w:p w14:paraId="2038A5BC" w14:textId="77777777" w:rsidR="00B108EB" w:rsidRPr="00F92E21" w:rsidRDefault="00B108EB" w:rsidP="00AF0697">
      <w:pPr>
        <w:tabs>
          <w:tab w:val="left" w:pos="2080"/>
        </w:tabs>
        <w:jc w:val="both"/>
        <w:rPr>
          <w:rFonts w:cstheme="minorHAnsi"/>
          <w:b/>
          <w:bCs/>
        </w:rPr>
      </w:pPr>
    </w:p>
    <w:p w14:paraId="164F9885" w14:textId="77777777" w:rsidR="00AF0697" w:rsidRPr="00F92E21" w:rsidRDefault="00AF0697" w:rsidP="00AF0697">
      <w:pPr>
        <w:tabs>
          <w:tab w:val="left" w:pos="2080"/>
        </w:tabs>
        <w:jc w:val="both"/>
        <w:rPr>
          <w:rFonts w:cstheme="minorHAnsi"/>
          <w:b/>
          <w:bCs/>
        </w:rPr>
      </w:pPr>
    </w:p>
    <w:p w14:paraId="118489FC" w14:textId="2A0F602D" w:rsidR="00AF0697" w:rsidRPr="00F92E21" w:rsidRDefault="005C03FD" w:rsidP="005C03FD">
      <w:pPr>
        <w:tabs>
          <w:tab w:val="left" w:pos="5360"/>
        </w:tabs>
        <w:jc w:val="both"/>
        <w:rPr>
          <w:rFonts w:cstheme="minorHAnsi"/>
          <w:b/>
          <w:bCs/>
        </w:rPr>
      </w:pPr>
      <w:r>
        <w:rPr>
          <w:rFonts w:cstheme="minorHAnsi"/>
          <w:b/>
          <w:bCs/>
        </w:rPr>
        <w:tab/>
      </w:r>
    </w:p>
    <w:p w14:paraId="4EAB5C89" w14:textId="77777777" w:rsidR="00AF0697" w:rsidRPr="00F92E21" w:rsidRDefault="00AF0697" w:rsidP="00604F5E">
      <w:pPr>
        <w:jc w:val="both"/>
        <w:rPr>
          <w:rFonts w:cstheme="minorHAnsi"/>
          <w:b/>
          <w:bCs/>
        </w:rPr>
      </w:pPr>
    </w:p>
    <w:p w14:paraId="580A555B" w14:textId="77777777" w:rsidR="00AF0697" w:rsidRPr="00F92E21" w:rsidRDefault="00AF0697" w:rsidP="00604F5E">
      <w:pPr>
        <w:jc w:val="both"/>
        <w:rPr>
          <w:rFonts w:cstheme="minorHAnsi"/>
          <w:b/>
          <w:bCs/>
        </w:rPr>
      </w:pPr>
    </w:p>
    <w:p w14:paraId="1241621F" w14:textId="77777777" w:rsidR="00AF0697" w:rsidRPr="00F92E21" w:rsidRDefault="00AF0697" w:rsidP="00604F5E">
      <w:pPr>
        <w:jc w:val="both"/>
        <w:rPr>
          <w:rFonts w:cstheme="minorHAnsi"/>
          <w:b/>
          <w:bCs/>
        </w:rPr>
      </w:pPr>
    </w:p>
    <w:p w14:paraId="3C5E4C86" w14:textId="77777777" w:rsidR="00AF0697" w:rsidRPr="00F92E21" w:rsidRDefault="00AF0697" w:rsidP="00604F5E">
      <w:pPr>
        <w:jc w:val="both"/>
        <w:rPr>
          <w:rFonts w:cstheme="minorHAnsi"/>
          <w:b/>
          <w:bCs/>
        </w:rPr>
      </w:pPr>
    </w:p>
    <w:p w14:paraId="0E9A0422" w14:textId="77777777" w:rsidR="00AF0697" w:rsidRPr="00F92E21" w:rsidRDefault="00AF0697" w:rsidP="00604F5E">
      <w:pPr>
        <w:jc w:val="both"/>
        <w:rPr>
          <w:rFonts w:cstheme="minorHAnsi"/>
          <w:b/>
          <w:bCs/>
        </w:rPr>
      </w:pPr>
    </w:p>
    <w:p w14:paraId="3EA622AB" w14:textId="77777777" w:rsidR="00AF0697" w:rsidRPr="00F92E21" w:rsidRDefault="00AF0697" w:rsidP="00604F5E">
      <w:pPr>
        <w:jc w:val="both"/>
        <w:rPr>
          <w:rFonts w:cstheme="minorHAnsi"/>
          <w:b/>
          <w:bCs/>
        </w:rPr>
      </w:pPr>
    </w:p>
    <w:p w14:paraId="62E8DED5" w14:textId="77777777" w:rsidR="00AF0697" w:rsidRPr="00F92E21" w:rsidRDefault="00AF0697" w:rsidP="00604F5E">
      <w:pPr>
        <w:jc w:val="both"/>
        <w:rPr>
          <w:rFonts w:cstheme="minorHAnsi"/>
          <w:b/>
          <w:bCs/>
        </w:rPr>
      </w:pPr>
    </w:p>
    <w:p w14:paraId="5802419E" w14:textId="77777777" w:rsidR="00AF0697" w:rsidRPr="00F92E21" w:rsidRDefault="00AF0697" w:rsidP="00604F5E">
      <w:pPr>
        <w:jc w:val="both"/>
        <w:rPr>
          <w:rFonts w:cstheme="minorHAnsi"/>
          <w:b/>
          <w:bCs/>
        </w:rPr>
      </w:pPr>
    </w:p>
    <w:p w14:paraId="256F121C" w14:textId="77777777" w:rsidR="00AF0697" w:rsidRPr="00F92E21" w:rsidRDefault="00AF0697" w:rsidP="00604F5E">
      <w:pPr>
        <w:jc w:val="both"/>
        <w:rPr>
          <w:rFonts w:cstheme="minorHAnsi"/>
          <w:b/>
          <w:bCs/>
        </w:rPr>
      </w:pPr>
    </w:p>
    <w:p w14:paraId="49BC8BD0" w14:textId="77777777" w:rsidR="00AF0697" w:rsidRPr="00F92E21" w:rsidRDefault="00AF0697" w:rsidP="00604F5E">
      <w:pPr>
        <w:jc w:val="both"/>
        <w:rPr>
          <w:rFonts w:cstheme="minorHAnsi"/>
          <w:b/>
          <w:bCs/>
        </w:rPr>
      </w:pPr>
    </w:p>
    <w:p w14:paraId="709D390C" w14:textId="77777777" w:rsidR="004C62A3" w:rsidRPr="00F92E21" w:rsidRDefault="004C62A3" w:rsidP="004C62A3">
      <w:pPr>
        <w:tabs>
          <w:tab w:val="left" w:pos="2080"/>
          <w:tab w:val="center" w:pos="4513"/>
          <w:tab w:val="left" w:pos="6290"/>
        </w:tabs>
        <w:rPr>
          <w:rFonts w:cstheme="minorHAnsi"/>
          <w:color w:val="7F7F7F" w:themeColor="text1" w:themeTint="80"/>
          <w:sz w:val="40"/>
          <w:szCs w:val="40"/>
        </w:rPr>
      </w:pPr>
      <w:r>
        <w:rPr>
          <w:rFonts w:cstheme="minorHAnsi"/>
          <w:color w:val="7F7F7F" w:themeColor="text1" w:themeTint="80"/>
          <w:sz w:val="40"/>
          <w:szCs w:val="40"/>
        </w:rPr>
        <w:lastRenderedPageBreak/>
        <w:t xml:space="preserve">Task 1 </w:t>
      </w:r>
    </w:p>
    <w:p w14:paraId="3B667DB9" w14:textId="3183045A" w:rsidR="007861A6" w:rsidRPr="00F92E21" w:rsidRDefault="007861A6" w:rsidP="00604F5E">
      <w:pPr>
        <w:jc w:val="both"/>
        <w:rPr>
          <w:rFonts w:cstheme="minorHAnsi"/>
          <w:b/>
          <w:bCs/>
        </w:rPr>
      </w:pPr>
      <w:r w:rsidRPr="00F92E21">
        <w:rPr>
          <w:rFonts w:cstheme="minorHAnsi"/>
          <w:b/>
          <w:bCs/>
        </w:rPr>
        <w:t>Introduction</w:t>
      </w:r>
    </w:p>
    <w:p w14:paraId="3A13E117" w14:textId="5B09B562" w:rsidR="007861A6" w:rsidRPr="00F92E21" w:rsidRDefault="007861A6" w:rsidP="00604F5E">
      <w:pPr>
        <w:jc w:val="both"/>
        <w:rPr>
          <w:rFonts w:cstheme="minorHAnsi"/>
        </w:rPr>
      </w:pPr>
      <w:r w:rsidRPr="00F92E21">
        <w:rPr>
          <w:rFonts w:cstheme="minorHAnsi"/>
        </w:rPr>
        <w:t xml:space="preserve">Organisations operate in a dynamic environment </w:t>
      </w:r>
      <w:r w:rsidR="002A1380" w:rsidRPr="00F92E21">
        <w:rPr>
          <w:rFonts w:cstheme="minorHAnsi"/>
        </w:rPr>
        <w:t>influenced</w:t>
      </w:r>
      <w:r w:rsidRPr="00F92E21">
        <w:rPr>
          <w:rFonts w:cstheme="minorHAnsi"/>
        </w:rPr>
        <w:t xml:space="preserve"> by external factors that shape strategic management activities, making adaptability essential </w:t>
      </w:r>
      <w:r w:rsidR="000101CD" w:rsidRPr="00F92E21">
        <w:rPr>
          <w:rFonts w:cstheme="minorHAnsi"/>
        </w:rPr>
        <w:t>(</w:t>
      </w:r>
      <w:r w:rsidRPr="00F92E21">
        <w:rPr>
          <w:rFonts w:cstheme="minorHAnsi"/>
        </w:rPr>
        <w:t>Mason</w:t>
      </w:r>
      <w:r w:rsidR="000101CD" w:rsidRPr="00F92E21">
        <w:rPr>
          <w:rFonts w:cstheme="minorHAnsi"/>
        </w:rPr>
        <w:t>,</w:t>
      </w:r>
      <w:r w:rsidRPr="00F92E21">
        <w:rPr>
          <w:rFonts w:cstheme="minorHAnsi"/>
        </w:rPr>
        <w:t xml:space="preserve">2007). Businesses </w:t>
      </w:r>
      <w:r w:rsidR="000556A7" w:rsidRPr="00F92E21">
        <w:rPr>
          <w:rFonts w:cstheme="minorHAnsi"/>
        </w:rPr>
        <w:t>currently</w:t>
      </w:r>
      <w:r w:rsidRPr="00F92E21">
        <w:rPr>
          <w:rFonts w:cstheme="minorHAnsi"/>
        </w:rPr>
        <w:t xml:space="preserve"> can no longer rely solely on traditional management techniques due to the rapidly evolving nature of the business landscape</w:t>
      </w:r>
      <w:r w:rsidR="000556A7" w:rsidRPr="00F92E21">
        <w:rPr>
          <w:rFonts w:cstheme="minorHAnsi"/>
        </w:rPr>
        <w:t xml:space="preserve"> </w:t>
      </w:r>
      <w:r w:rsidR="00D7445C">
        <w:rPr>
          <w:rFonts w:cstheme="minorHAnsi"/>
        </w:rPr>
        <w:t>(</w:t>
      </w:r>
      <w:r w:rsidR="00D7445C" w:rsidRPr="00D24F88">
        <w:t>Chen, Xie</w:t>
      </w:r>
      <w:r w:rsidR="00D7445C">
        <w:t xml:space="preserve"> </w:t>
      </w:r>
      <w:r w:rsidR="00D7445C" w:rsidRPr="00D24F88">
        <w:t>&amp; Liu</w:t>
      </w:r>
      <w:r w:rsidR="002F2344">
        <w:t xml:space="preserve">, </w:t>
      </w:r>
      <w:r w:rsidR="00D7445C" w:rsidRPr="00D24F88">
        <w:t xml:space="preserve">2021). </w:t>
      </w:r>
      <w:r w:rsidRPr="00F92E21">
        <w:rPr>
          <w:rFonts w:cstheme="minorHAnsi"/>
        </w:rPr>
        <w:t xml:space="preserve">Achieving success requires a business model rooted in sustainability, resilience, and collaboration, supported by tools like the PESTLE analysis </w:t>
      </w:r>
      <w:r w:rsidR="002029C9" w:rsidRPr="00F92E21">
        <w:rPr>
          <w:rFonts w:cstheme="minorHAnsi"/>
        </w:rPr>
        <w:t>(</w:t>
      </w:r>
      <w:r w:rsidRPr="00F92E21">
        <w:rPr>
          <w:rFonts w:cstheme="minorHAnsi"/>
        </w:rPr>
        <w:t>Tatjana</w:t>
      </w:r>
      <w:r w:rsidR="002029C9" w:rsidRPr="00F92E21">
        <w:rPr>
          <w:rFonts w:cstheme="minorHAnsi"/>
        </w:rPr>
        <w:t>,</w:t>
      </w:r>
      <w:r w:rsidRPr="00F92E21">
        <w:rPr>
          <w:rFonts w:cstheme="minorHAnsi"/>
        </w:rPr>
        <w:t>2024).</w:t>
      </w:r>
    </w:p>
    <w:p w14:paraId="27AF05AD" w14:textId="7124EF15" w:rsidR="007861A6" w:rsidRPr="00F92E21" w:rsidRDefault="007861A6" w:rsidP="00604F5E">
      <w:pPr>
        <w:jc w:val="both"/>
        <w:rPr>
          <w:rFonts w:cstheme="minorHAnsi"/>
        </w:rPr>
      </w:pPr>
      <w:r w:rsidRPr="00F92E21">
        <w:rPr>
          <w:rFonts w:cstheme="minorHAnsi"/>
        </w:rPr>
        <w:t>PESTLE</w:t>
      </w:r>
      <w:r w:rsidR="00052874" w:rsidRPr="00F92E21">
        <w:rPr>
          <w:rFonts w:cstheme="minorHAnsi"/>
        </w:rPr>
        <w:t xml:space="preserve"> tools support</w:t>
      </w:r>
      <w:r w:rsidRPr="00F92E21">
        <w:rPr>
          <w:rFonts w:cstheme="minorHAnsi"/>
        </w:rPr>
        <w:t xml:space="preserve"> organisations identify external forces impacting their operations, offering early warnings of potential threats and opportunities </w:t>
      </w:r>
      <w:r w:rsidR="000556A7" w:rsidRPr="00F92E21">
        <w:rPr>
          <w:rFonts w:cstheme="minorHAnsi"/>
        </w:rPr>
        <w:t>(</w:t>
      </w:r>
      <w:r w:rsidRPr="00F92E21">
        <w:rPr>
          <w:rFonts w:cstheme="minorHAnsi"/>
        </w:rPr>
        <w:t xml:space="preserve">Rastogi and Trivedi,2016). For example, businesses can gain insights into regulations or trends that might influence strategic decisions. However, the </w:t>
      </w:r>
      <w:r w:rsidR="000556A7" w:rsidRPr="00F92E21">
        <w:rPr>
          <w:rFonts w:cstheme="minorHAnsi"/>
        </w:rPr>
        <w:t xml:space="preserve">PESTLE </w:t>
      </w:r>
      <w:r w:rsidRPr="00F92E21">
        <w:rPr>
          <w:rFonts w:cstheme="minorHAnsi"/>
        </w:rPr>
        <w:t xml:space="preserve">model's simplicity can be a limitation, as it reduces complex scenarios to basic categories without considering internal factors </w:t>
      </w:r>
      <w:r w:rsidR="000556A7" w:rsidRPr="00F92E21">
        <w:rPr>
          <w:rFonts w:cstheme="minorHAnsi"/>
        </w:rPr>
        <w:t>(</w:t>
      </w:r>
      <w:r w:rsidRPr="00F92E21">
        <w:rPr>
          <w:rFonts w:cstheme="minorHAnsi"/>
        </w:rPr>
        <w:t>Amega et al., 2024; CIPD, 2024).</w:t>
      </w:r>
    </w:p>
    <w:p w14:paraId="00797AEB" w14:textId="74BFBC18" w:rsidR="007861A6" w:rsidRPr="00F92E21" w:rsidRDefault="007861A6" w:rsidP="00604F5E">
      <w:pPr>
        <w:jc w:val="both"/>
        <w:rPr>
          <w:rFonts w:cstheme="minorHAnsi"/>
        </w:rPr>
      </w:pPr>
      <w:r w:rsidRPr="00F92E21">
        <w:rPr>
          <w:rFonts w:cstheme="minorHAnsi"/>
        </w:rPr>
        <w:t xml:space="preserve">To effectively use PESTLE, businesses should keep up to date with external changes through government publications and periodic reviews (Walsh, 2024). These insights feed into a SWOT analysis, further refining strategic planning by linking external factors to organisational strengths and weaknesses </w:t>
      </w:r>
      <w:r w:rsidR="000556A7" w:rsidRPr="00F92E21">
        <w:rPr>
          <w:rFonts w:cstheme="minorHAnsi"/>
        </w:rPr>
        <w:t>(</w:t>
      </w:r>
      <w:r w:rsidRPr="00F92E21">
        <w:rPr>
          <w:rFonts w:cstheme="minorHAnsi"/>
        </w:rPr>
        <w:t xml:space="preserve">Kokemuller, 2019). SWOT, introduced in the 1960s, evaluates internal and external factors through four categories: strengths, weaknesses, opportunities, and threats </w:t>
      </w:r>
      <w:r w:rsidR="00A715B5" w:rsidRPr="00F92E21">
        <w:rPr>
          <w:rFonts w:cstheme="minorHAnsi"/>
        </w:rPr>
        <w:t>(</w:t>
      </w:r>
      <w:r w:rsidRPr="00F92E21">
        <w:rPr>
          <w:rFonts w:cstheme="minorHAnsi"/>
        </w:rPr>
        <w:t>Learned et al., 1982; Lozano &amp; Vallés,2007). Combining SWOT with PESTLE analysis offers a comprehensive framework, particularly for complex systems requiring detailed evaluations</w:t>
      </w:r>
      <w:r w:rsidR="00023EC1">
        <w:rPr>
          <w:rFonts w:cstheme="minorHAnsi"/>
        </w:rPr>
        <w:t xml:space="preserve"> </w:t>
      </w:r>
      <w:r w:rsidR="00A715B5" w:rsidRPr="00F92E21">
        <w:rPr>
          <w:rFonts w:cstheme="minorHAnsi"/>
        </w:rPr>
        <w:t>(</w:t>
      </w:r>
      <w:r w:rsidRPr="00F92E21">
        <w:rPr>
          <w:rFonts w:cstheme="minorHAnsi"/>
        </w:rPr>
        <w:t xml:space="preserve"> Hill &amp; Westbrook, 1997; Menon et al., 1999).</w:t>
      </w:r>
    </w:p>
    <w:p w14:paraId="4F6D3E45" w14:textId="7B01A2AB" w:rsidR="007861A6" w:rsidRPr="00F92E21" w:rsidRDefault="00D97A97" w:rsidP="00604F5E">
      <w:pPr>
        <w:jc w:val="both"/>
        <w:rPr>
          <w:rFonts w:cstheme="minorHAnsi"/>
        </w:rPr>
      </w:pPr>
      <w:r>
        <w:rPr>
          <w:rFonts w:cstheme="minorHAnsi"/>
        </w:rPr>
        <w:t>(</w:t>
      </w:r>
      <w:r w:rsidR="00516B4F" w:rsidRPr="00EE4412">
        <w:rPr>
          <w:rFonts w:cstheme="minorHAnsi"/>
        </w:rPr>
        <w:t>Madureira</w:t>
      </w:r>
      <w:r>
        <w:rPr>
          <w:rFonts w:cstheme="minorHAnsi"/>
        </w:rPr>
        <w:t xml:space="preserve"> et al</w:t>
      </w:r>
      <w:r w:rsidR="00516B4F" w:rsidRPr="00EE4412">
        <w:rPr>
          <w:rFonts w:cstheme="minorHAnsi"/>
        </w:rPr>
        <w:t>, 2024)</w:t>
      </w:r>
      <w:r w:rsidR="00516B4F" w:rsidRPr="00F92E21">
        <w:rPr>
          <w:rFonts w:cstheme="minorHAnsi"/>
        </w:rPr>
        <w:t xml:space="preserve"> mention while</w:t>
      </w:r>
      <w:r w:rsidR="007861A6" w:rsidRPr="00F92E21">
        <w:rPr>
          <w:rFonts w:cstheme="minorHAnsi"/>
        </w:rPr>
        <w:t xml:space="preserve"> SWOT focuses on internal factors, PESTLE categorises external factors into Political, Economic, Social, Technological, Legal, and Environmental dimensions. Together, these analys</w:t>
      </w:r>
      <w:r w:rsidR="00A715B5" w:rsidRPr="00F92E21">
        <w:rPr>
          <w:rFonts w:cstheme="minorHAnsi"/>
        </w:rPr>
        <w:t>i</w:t>
      </w:r>
      <w:r w:rsidR="007861A6" w:rsidRPr="00F92E21">
        <w:rPr>
          <w:rFonts w:cstheme="minorHAnsi"/>
        </w:rPr>
        <w:t xml:space="preserve">s help organisations align their internal capabilities with external demands. </w:t>
      </w:r>
      <w:r>
        <w:rPr>
          <w:rFonts w:cstheme="minorHAnsi"/>
        </w:rPr>
        <w:t>(</w:t>
      </w:r>
      <w:r w:rsidR="007861A6" w:rsidRPr="00F92E21">
        <w:rPr>
          <w:rFonts w:cstheme="minorHAnsi"/>
        </w:rPr>
        <w:t>Srdjevic et al.</w:t>
      </w:r>
      <w:r w:rsidR="00A715B5" w:rsidRPr="00F92E21">
        <w:rPr>
          <w:rFonts w:cstheme="minorHAnsi"/>
        </w:rPr>
        <w:t>,</w:t>
      </w:r>
      <w:r w:rsidR="007861A6" w:rsidRPr="00F92E21">
        <w:rPr>
          <w:rFonts w:cstheme="minorHAnsi"/>
        </w:rPr>
        <w:t xml:space="preserve"> 2012) highlight that this integrated approach enables businesses to account for external uncertainties while leveraging internal strengths.</w:t>
      </w:r>
    </w:p>
    <w:p w14:paraId="2CFAC00D" w14:textId="172ECDE0" w:rsidR="007861A6" w:rsidRPr="00F92E21" w:rsidRDefault="007861A6" w:rsidP="00604F5E">
      <w:pPr>
        <w:jc w:val="both"/>
        <w:rPr>
          <w:rFonts w:cstheme="minorHAnsi"/>
        </w:rPr>
      </w:pPr>
      <w:r w:rsidRPr="00F92E21">
        <w:rPr>
          <w:rFonts w:cstheme="minorHAnsi"/>
        </w:rPr>
        <w:t>Defining the scenario under review is crucial before applying the PESTLE framework</w:t>
      </w:r>
      <w:r w:rsidR="00A715B5" w:rsidRPr="00F92E21">
        <w:rPr>
          <w:rFonts w:cstheme="minorHAnsi"/>
        </w:rPr>
        <w:t>,</w:t>
      </w:r>
      <w:r w:rsidRPr="00F92E21">
        <w:rPr>
          <w:rFonts w:cstheme="minorHAnsi"/>
        </w:rPr>
        <w:t xml:space="preserve"> </w:t>
      </w:r>
      <w:r w:rsidR="00A715B5" w:rsidRPr="00F92E21">
        <w:rPr>
          <w:rFonts w:cstheme="minorHAnsi"/>
        </w:rPr>
        <w:t>f</w:t>
      </w:r>
      <w:r w:rsidRPr="00F92E21">
        <w:rPr>
          <w:rFonts w:cstheme="minorHAnsi"/>
        </w:rPr>
        <w:t xml:space="preserve">or instance, whether evaluating a potential investment or exploring market opportunities, businesses must tailor their analysis to relevant external influences </w:t>
      </w:r>
      <w:r w:rsidR="00A715B5" w:rsidRPr="00F92E21">
        <w:rPr>
          <w:rFonts w:cstheme="minorHAnsi"/>
        </w:rPr>
        <w:t>(</w:t>
      </w:r>
      <w:r w:rsidRPr="00F92E21">
        <w:rPr>
          <w:rFonts w:cstheme="minorHAnsi"/>
        </w:rPr>
        <w:t xml:space="preserve">Carruthers, 2009). Specific examples include assessing the impact of sustainability and globalisation, emerging concerns that necessitate continuous refinement of PESTLE analysis to remain effective </w:t>
      </w:r>
      <w:r w:rsidR="00A715B5" w:rsidRPr="00F92E21">
        <w:rPr>
          <w:rFonts w:cstheme="minorHAnsi"/>
        </w:rPr>
        <w:t>(</w:t>
      </w:r>
      <w:r w:rsidRPr="00F92E21">
        <w:rPr>
          <w:rFonts w:cstheme="minorHAnsi"/>
        </w:rPr>
        <w:t>Taylor &amp; Perkins, 2021; Brandl, Chore &amp; Junker, 2024).</w:t>
      </w:r>
    </w:p>
    <w:p w14:paraId="2AA66FA4" w14:textId="231490A7" w:rsidR="007861A6" w:rsidRPr="001F65AE" w:rsidRDefault="00D97A97" w:rsidP="00604F5E">
      <w:pPr>
        <w:jc w:val="both"/>
        <w:rPr>
          <w:rFonts w:cstheme="minorHAnsi"/>
        </w:rPr>
      </w:pPr>
      <w:r>
        <w:rPr>
          <w:rFonts w:cstheme="minorHAnsi"/>
        </w:rPr>
        <w:t>(</w:t>
      </w:r>
      <w:r w:rsidR="00516B4F" w:rsidRPr="00F92E21">
        <w:rPr>
          <w:rFonts w:cstheme="minorHAnsi"/>
        </w:rPr>
        <w:t>Helm</w:t>
      </w:r>
      <w:r>
        <w:rPr>
          <w:rFonts w:cstheme="minorHAnsi"/>
        </w:rPr>
        <w:t xml:space="preserve">, </w:t>
      </w:r>
      <w:r w:rsidR="00516B4F" w:rsidRPr="00F92E21">
        <w:rPr>
          <w:rFonts w:cstheme="minorHAnsi"/>
        </w:rPr>
        <w:t xml:space="preserve">2014) </w:t>
      </w:r>
      <w:r w:rsidR="00A715B5" w:rsidRPr="00F92E21">
        <w:rPr>
          <w:rFonts w:cstheme="minorHAnsi"/>
        </w:rPr>
        <w:t xml:space="preserve">considered that </w:t>
      </w:r>
      <w:r w:rsidR="00516B4F" w:rsidRPr="00F92E21">
        <w:rPr>
          <w:rFonts w:cstheme="minorHAnsi"/>
        </w:rPr>
        <w:t>P</w:t>
      </w:r>
      <w:r w:rsidR="007861A6" w:rsidRPr="00F92E21">
        <w:rPr>
          <w:rFonts w:cstheme="minorHAnsi"/>
        </w:rPr>
        <w:t>ESTLE analysis supports strategic thinking by helping organisations evaluate current conditions and develop forward-looking strategies. The strength of this combined approach lies in its ability to balance internal considerations with external complexities, providing actionable insights for sustainable growth. For instance, it allows businesses to identify opportunities for innovation while mitigating risks associated with external disruptions</w:t>
      </w:r>
      <w:r w:rsidR="00206F49">
        <w:rPr>
          <w:rFonts w:cstheme="minorHAnsi"/>
        </w:rPr>
        <w:t xml:space="preserve"> </w:t>
      </w:r>
      <w:r w:rsidR="00206F49" w:rsidRPr="001F65AE">
        <w:rPr>
          <w:rFonts w:cstheme="minorHAnsi"/>
        </w:rPr>
        <w:t>(</w:t>
      </w:r>
      <w:r w:rsidR="00206F49" w:rsidRPr="001F65AE">
        <w:t>Sun, Tavakoli, Khalilpour, Voinov, &amp; Marshall,</w:t>
      </w:r>
      <w:r>
        <w:t xml:space="preserve"> </w:t>
      </w:r>
      <w:r w:rsidR="00206F49" w:rsidRPr="001F65AE">
        <w:t>2024)</w:t>
      </w:r>
      <w:r w:rsidR="00A715B5" w:rsidRPr="001F65AE">
        <w:rPr>
          <w:rFonts w:cstheme="minorHAnsi"/>
        </w:rPr>
        <w:t xml:space="preserve"> </w:t>
      </w:r>
    </w:p>
    <w:p w14:paraId="4E15B3E7" w14:textId="27C2BFD9" w:rsidR="007861A6" w:rsidRPr="00F92E21" w:rsidRDefault="007861A6" w:rsidP="00604F5E">
      <w:pPr>
        <w:jc w:val="both"/>
        <w:rPr>
          <w:rFonts w:cstheme="minorHAnsi"/>
        </w:rPr>
      </w:pPr>
      <w:r w:rsidRPr="00F92E21">
        <w:rPr>
          <w:rFonts w:cstheme="minorHAnsi"/>
        </w:rPr>
        <w:t xml:space="preserve">By adopting </w:t>
      </w:r>
      <w:r w:rsidR="00557B4D" w:rsidRPr="00F92E21">
        <w:rPr>
          <w:rFonts w:cstheme="minorHAnsi"/>
        </w:rPr>
        <w:t xml:space="preserve">the </w:t>
      </w:r>
      <w:r w:rsidR="00066A9F" w:rsidRPr="00F92E21">
        <w:rPr>
          <w:rFonts w:cstheme="minorHAnsi"/>
        </w:rPr>
        <w:t xml:space="preserve">PESTLE tool </w:t>
      </w:r>
      <w:r w:rsidRPr="00F92E21">
        <w:rPr>
          <w:rFonts w:cstheme="minorHAnsi"/>
        </w:rPr>
        <w:t xml:space="preserve">and integrating </w:t>
      </w:r>
      <w:r w:rsidR="00557B4D" w:rsidRPr="00F92E21">
        <w:rPr>
          <w:rFonts w:cstheme="minorHAnsi"/>
        </w:rPr>
        <w:t>it</w:t>
      </w:r>
      <w:r w:rsidRPr="00F92E21">
        <w:rPr>
          <w:rFonts w:cstheme="minorHAnsi"/>
        </w:rPr>
        <w:t xml:space="preserve"> with internal-focused methods like SWOT, organisations can proactively adapt to change, strengthen resilience, and seize growth opportunities. This dual approach not only supports strategic planning but also ensures businesses remain agile in a competitive and ever-changing </w:t>
      </w:r>
      <w:r w:rsidRPr="00EE4412">
        <w:rPr>
          <w:rFonts w:cstheme="minorHAnsi"/>
        </w:rPr>
        <w:t>environment</w:t>
      </w:r>
      <w:r w:rsidR="00B1379A" w:rsidRPr="00EE4412">
        <w:rPr>
          <w:rFonts w:cstheme="minorHAnsi"/>
        </w:rPr>
        <w:t xml:space="preserve"> </w:t>
      </w:r>
      <w:r w:rsidR="00557B4D" w:rsidRPr="00EE4412">
        <w:rPr>
          <w:rFonts w:cstheme="minorHAnsi"/>
        </w:rPr>
        <w:t>(</w:t>
      </w:r>
      <w:r w:rsidR="00B1379A" w:rsidRPr="00EE4412">
        <w:rPr>
          <w:rFonts w:cstheme="minorHAnsi"/>
        </w:rPr>
        <w:t>Carreño, 2024).</w:t>
      </w:r>
      <w:r w:rsidR="00B1379A" w:rsidRPr="00F92E21">
        <w:rPr>
          <w:rFonts w:cstheme="minorHAnsi"/>
        </w:rPr>
        <w:t xml:space="preserve"> </w:t>
      </w:r>
    </w:p>
    <w:p w14:paraId="31A39024" w14:textId="338137B0" w:rsidR="007861A6" w:rsidRPr="00F92E21" w:rsidRDefault="00066A9F" w:rsidP="00604F5E">
      <w:pPr>
        <w:jc w:val="both"/>
        <w:rPr>
          <w:rFonts w:cstheme="minorHAnsi"/>
        </w:rPr>
      </w:pPr>
      <w:r w:rsidRPr="00F92E21">
        <w:rPr>
          <w:rFonts w:cstheme="minorHAnsi"/>
        </w:rPr>
        <w:lastRenderedPageBreak/>
        <w:t>W</w:t>
      </w:r>
      <w:r w:rsidR="007861A6" w:rsidRPr="00F92E21">
        <w:rPr>
          <w:rFonts w:cstheme="minorHAnsi"/>
        </w:rPr>
        <w:t>hile traditional models offer valuable insights, integrating tools like PESTLE enables organisations to address both external and internal factors effectively. This strategic alignment is key to navigating the complexities of modern business and sustaining long-term success.</w:t>
      </w:r>
      <w:r w:rsidR="00B1379A" w:rsidRPr="00F92E21">
        <w:rPr>
          <w:rFonts w:cstheme="minorHAnsi"/>
        </w:rPr>
        <w:t xml:space="preserve"> Program management plays a critical role in guiding and structuring change initiatives, ensuring that these efforts align with the organisation’s broader strategic vision </w:t>
      </w:r>
      <w:r w:rsidR="00557B4D" w:rsidRPr="009012AD">
        <w:rPr>
          <w:rFonts w:cstheme="minorHAnsi"/>
        </w:rPr>
        <w:t>(</w:t>
      </w:r>
      <w:r w:rsidR="00B1379A" w:rsidRPr="009012AD">
        <w:rPr>
          <w:rFonts w:cstheme="minorHAnsi"/>
        </w:rPr>
        <w:t>BenMahmoud-Jouini &amp; Charue-Duboc, 2022).</w:t>
      </w:r>
    </w:p>
    <w:p w14:paraId="6BDB3448" w14:textId="53A0799D" w:rsidR="007861A6" w:rsidRPr="00F92E21" w:rsidRDefault="007861A6" w:rsidP="00604F5E">
      <w:pPr>
        <w:jc w:val="both"/>
        <w:rPr>
          <w:rFonts w:cstheme="minorHAnsi"/>
        </w:rPr>
      </w:pPr>
      <w:r w:rsidRPr="00F92E21">
        <w:rPr>
          <w:rFonts w:cstheme="minorHAnsi"/>
        </w:rPr>
        <w:t xml:space="preserve">The </w:t>
      </w:r>
      <w:r w:rsidRPr="00F92E21">
        <w:rPr>
          <w:rFonts w:cstheme="minorHAnsi"/>
          <w:b/>
          <w:bCs/>
        </w:rPr>
        <w:t xml:space="preserve">social </w:t>
      </w:r>
      <w:r w:rsidRPr="00F92E21">
        <w:rPr>
          <w:rFonts w:cstheme="minorHAnsi"/>
        </w:rPr>
        <w:t xml:space="preserve">aspect of the PESTLE analysis is particularly relevant to the current organisational challenges as social changes have significantly influenced recruitment processes. Over the past decade, hiring skilled talent has become increasingly challenging </w:t>
      </w:r>
      <w:r w:rsidR="00557B4D" w:rsidRPr="00F92E21">
        <w:rPr>
          <w:rFonts w:cstheme="minorHAnsi"/>
        </w:rPr>
        <w:t>(</w:t>
      </w:r>
      <w:r w:rsidRPr="00F92E21">
        <w:rPr>
          <w:rFonts w:cstheme="minorHAnsi"/>
        </w:rPr>
        <w:t xml:space="preserve">Renesch &amp; Chawla, 2006). The growing skills shortage has re-emerged as a critical issue, significantly impacting the UK economy </w:t>
      </w:r>
      <w:r w:rsidR="00557B4D" w:rsidRPr="00F92E21">
        <w:rPr>
          <w:rFonts w:cstheme="minorHAnsi"/>
        </w:rPr>
        <w:t>(</w:t>
      </w:r>
      <w:r w:rsidRPr="00F92E21">
        <w:rPr>
          <w:rFonts w:cstheme="minorHAnsi"/>
        </w:rPr>
        <w:t xml:space="preserve">Davies, 2021). Census data from 2021 revealed a population increase of 3.5 million in England and Wales over the preceding decade. However, in areas like Ceredigion, the population decreased by 5.8%, highlighting geographic disparities in workforce </w:t>
      </w:r>
      <w:r w:rsidRPr="00FF364C">
        <w:rPr>
          <w:rFonts w:cstheme="minorHAnsi"/>
        </w:rPr>
        <w:t>availability (ONS, 202</w:t>
      </w:r>
      <w:r w:rsidR="00FF364C" w:rsidRPr="00FF364C">
        <w:rPr>
          <w:rFonts w:cstheme="minorHAnsi"/>
        </w:rPr>
        <w:t>3</w:t>
      </w:r>
      <w:r w:rsidRPr="00FF364C">
        <w:rPr>
          <w:rFonts w:cstheme="minorHAnsi"/>
        </w:rPr>
        <w:t>).</w:t>
      </w:r>
    </w:p>
    <w:p w14:paraId="1C7D79AC" w14:textId="6F8B4637" w:rsidR="00B9620D" w:rsidRDefault="007861A6" w:rsidP="00604F5E">
      <w:pPr>
        <w:jc w:val="both"/>
        <w:rPr>
          <w:rFonts w:cstheme="minorHAnsi"/>
        </w:rPr>
      </w:pPr>
      <w:r w:rsidRPr="00F92E21">
        <w:rPr>
          <w:rFonts w:cstheme="minorHAnsi"/>
        </w:rPr>
        <w:t xml:space="preserve">This issue directly impacts our organisation, as the decreasing local population has reduced the available talent pool, presenting risks to our manufacturing operations. The business must explore innovative strategies to address this challenge. </w:t>
      </w:r>
      <w:r w:rsidR="009D0E59">
        <w:rPr>
          <w:rFonts w:cstheme="minorHAnsi"/>
        </w:rPr>
        <w:t>(</w:t>
      </w:r>
      <w:r w:rsidRPr="00F92E21">
        <w:rPr>
          <w:rFonts w:cstheme="minorHAnsi"/>
        </w:rPr>
        <w:t>Chakraborty and Tripathi</w:t>
      </w:r>
      <w:r w:rsidR="009D0E59">
        <w:rPr>
          <w:rFonts w:cstheme="minorHAnsi"/>
        </w:rPr>
        <w:t xml:space="preserve">, </w:t>
      </w:r>
      <w:r w:rsidRPr="00F92E21">
        <w:rPr>
          <w:rFonts w:cstheme="minorHAnsi"/>
        </w:rPr>
        <w:t>2024) emphasi</w:t>
      </w:r>
      <w:r w:rsidR="00066A9F" w:rsidRPr="00F92E21">
        <w:rPr>
          <w:rFonts w:cstheme="minorHAnsi"/>
        </w:rPr>
        <w:t>s</w:t>
      </w:r>
      <w:r w:rsidRPr="00F92E21">
        <w:rPr>
          <w:rFonts w:cstheme="minorHAnsi"/>
        </w:rPr>
        <w:t>e that organisations should adopt creative methods to upskill employees and attract talent through continuous development plans. Education is crucial in equipping the next generation with workplace skills, but recent studies show a decline in time spent on workplace learning. In 2020, workers spent only 22% of their hours on learning activities compared to 31% in 2004</w:t>
      </w:r>
      <w:r w:rsidR="00BD3E96">
        <w:rPr>
          <w:rFonts w:cstheme="minorHAnsi"/>
        </w:rPr>
        <w:t>.b</w:t>
      </w:r>
      <w:r w:rsidRPr="00F92E21">
        <w:rPr>
          <w:rFonts w:cstheme="minorHAnsi"/>
        </w:rPr>
        <w:t xml:space="preserve"> </w:t>
      </w:r>
      <w:r w:rsidR="00BD3E96">
        <w:rPr>
          <w:rFonts w:cstheme="minorHAnsi"/>
        </w:rPr>
        <w:t>(</w:t>
      </w:r>
      <w:r w:rsidR="00BD3E96" w:rsidRPr="004004F7">
        <w:rPr>
          <w:rFonts w:cstheme="minorHAnsi"/>
        </w:rPr>
        <w:t>Cronin-Golomb and Bauer,</w:t>
      </w:r>
      <w:r w:rsidR="00BD3E96">
        <w:rPr>
          <w:rFonts w:cstheme="minorHAnsi"/>
        </w:rPr>
        <w:t xml:space="preserve"> </w:t>
      </w:r>
      <w:r w:rsidR="00BD3E96" w:rsidRPr="004004F7">
        <w:rPr>
          <w:rFonts w:cstheme="minorHAnsi"/>
        </w:rPr>
        <w:t>2023</w:t>
      </w:r>
      <w:r w:rsidR="00BD3E96">
        <w:rPr>
          <w:rFonts w:cstheme="minorHAnsi"/>
        </w:rPr>
        <w:t>)</w:t>
      </w:r>
      <w:r w:rsidR="00BD3E96" w:rsidRPr="004004F7">
        <w:rPr>
          <w:rFonts w:cstheme="minorHAnsi"/>
        </w:rPr>
        <w:t xml:space="preserve"> </w:t>
      </w:r>
      <w:r w:rsidRPr="00F92E21">
        <w:rPr>
          <w:rFonts w:cstheme="minorHAnsi"/>
        </w:rPr>
        <w:t xml:space="preserve">Despite the decline, informal learning remains a vital part of professional development </w:t>
      </w:r>
      <w:r w:rsidR="00BD3E96">
        <w:rPr>
          <w:rFonts w:cstheme="minorHAnsi"/>
        </w:rPr>
        <w:t>(</w:t>
      </w:r>
      <w:r w:rsidR="00BD3E96" w:rsidRPr="00555853">
        <w:rPr>
          <w:rFonts w:cstheme="minorHAnsi"/>
        </w:rPr>
        <w:t>De Grip,</w:t>
      </w:r>
      <w:r w:rsidR="00BD3E96">
        <w:rPr>
          <w:rFonts w:cstheme="minorHAnsi"/>
        </w:rPr>
        <w:t xml:space="preserve"> </w:t>
      </w:r>
      <w:r w:rsidR="00BD3E96" w:rsidRPr="00555853">
        <w:rPr>
          <w:rFonts w:cstheme="minorHAnsi"/>
        </w:rPr>
        <w:t>2024</w:t>
      </w:r>
      <w:r w:rsidR="00BD3E96">
        <w:rPr>
          <w:rFonts w:cstheme="minorHAnsi"/>
        </w:rPr>
        <w:t>).</w:t>
      </w:r>
    </w:p>
    <w:p w14:paraId="4B0CD33D" w14:textId="542F63FC" w:rsidR="007861A6" w:rsidRPr="00F92E21" w:rsidRDefault="00B9620D" w:rsidP="00604F5E">
      <w:pPr>
        <w:jc w:val="both"/>
        <w:rPr>
          <w:rFonts w:cstheme="minorHAnsi"/>
        </w:rPr>
      </w:pPr>
      <w:r w:rsidRPr="00F92E21">
        <w:rPr>
          <w:rFonts w:cstheme="minorHAnsi"/>
        </w:rPr>
        <w:t xml:space="preserve">Education prepares people to be a responsible leader in the future </w:t>
      </w:r>
      <w:r w:rsidR="00B86C53" w:rsidRPr="00F92E21">
        <w:rPr>
          <w:rFonts w:cstheme="minorHAnsi"/>
        </w:rPr>
        <w:t>to come</w:t>
      </w:r>
      <w:r w:rsidRPr="00F92E21">
        <w:rPr>
          <w:rFonts w:cstheme="minorHAnsi"/>
        </w:rPr>
        <w:t xml:space="preserve">.  Strong characters, </w:t>
      </w:r>
      <w:r w:rsidR="00B86C53" w:rsidRPr="00F92E21">
        <w:rPr>
          <w:rFonts w:cstheme="minorHAnsi"/>
        </w:rPr>
        <w:t>such as integrity, fairness and</w:t>
      </w:r>
      <w:r w:rsidRPr="00F92E21">
        <w:rPr>
          <w:rFonts w:cstheme="minorHAnsi"/>
        </w:rPr>
        <w:t xml:space="preserve"> responsibility, are highly valued and respected in the world of work and leadership </w:t>
      </w:r>
      <w:r w:rsidR="003E4241" w:rsidRPr="00F92E21">
        <w:rPr>
          <w:rFonts w:cstheme="minorHAnsi"/>
        </w:rPr>
        <w:t>(</w:t>
      </w:r>
      <w:r w:rsidRPr="00F92E21">
        <w:rPr>
          <w:rFonts w:cstheme="minorHAnsi"/>
        </w:rPr>
        <w:t xml:space="preserve">Metcalf &amp; Heller, 2022).  </w:t>
      </w:r>
      <w:r w:rsidR="007861A6" w:rsidRPr="00F92E21">
        <w:rPr>
          <w:rFonts w:cstheme="minorHAnsi"/>
        </w:rPr>
        <w:t>Establishing relationships with local schools and colleges can help recruit non-skilled talent and support their internal development. This approach would not only benefit the organisation by expanding its talent pipeline but also positively impact the local community by encouraging individuals to stay in the area. As a leading whey protein manufacturer requiring specialised expertise, partnering with universities and promoting apprenticeship programs are practical solutions for skill development in Ceredigion, where the population challenges are pronounced (ONS, June 2022).</w:t>
      </w:r>
    </w:p>
    <w:p w14:paraId="4610A0BA" w14:textId="6956E170" w:rsidR="007861A6" w:rsidRPr="00F92E21" w:rsidRDefault="007861A6" w:rsidP="00604F5E">
      <w:pPr>
        <w:jc w:val="both"/>
        <w:rPr>
          <w:rFonts w:cstheme="minorHAnsi"/>
        </w:rPr>
      </w:pPr>
      <w:r w:rsidRPr="00F92E21">
        <w:rPr>
          <w:rFonts w:cstheme="minorHAnsi"/>
        </w:rPr>
        <w:t xml:space="preserve">An apprenticeship program is a promising initiative for addressing the skills gap, providing employees with structured development opportunities and young people with access to the labour market. Apprenticeships allow individuals to </w:t>
      </w:r>
      <w:r w:rsidR="00303FC9" w:rsidRPr="00F92E21">
        <w:rPr>
          <w:rFonts w:cstheme="minorHAnsi"/>
        </w:rPr>
        <w:t>gain practical experience</w:t>
      </w:r>
      <w:r w:rsidRPr="00F92E21">
        <w:rPr>
          <w:rFonts w:cstheme="minorHAnsi"/>
        </w:rPr>
        <w:t xml:space="preserve"> while earning qualifications, promoting career longevity and succession planning within the organisation </w:t>
      </w:r>
      <w:r w:rsidR="00095EC4" w:rsidRPr="00F92E21">
        <w:rPr>
          <w:rFonts w:cstheme="minorHAnsi"/>
        </w:rPr>
        <w:t>(</w:t>
      </w:r>
      <w:r w:rsidRPr="00F92E21">
        <w:rPr>
          <w:rFonts w:cstheme="minorHAnsi"/>
        </w:rPr>
        <w:t>James Relly &amp; Laczik, 202</w:t>
      </w:r>
      <w:r w:rsidR="006978A3" w:rsidRPr="00F92E21">
        <w:rPr>
          <w:rFonts w:cstheme="minorHAnsi"/>
        </w:rPr>
        <w:t>1</w:t>
      </w:r>
      <w:r w:rsidRPr="00F92E21">
        <w:rPr>
          <w:rFonts w:cstheme="minorHAnsi"/>
        </w:rPr>
        <w:t>; Brandl et al., 2024). Furthermore, these programs enable organisations to mitigate the skills shortage while adapting to the demands of the evolving workforce.</w:t>
      </w:r>
    </w:p>
    <w:p w14:paraId="06F2EA0C" w14:textId="0BD3C9D3" w:rsidR="007861A6" w:rsidRPr="00F92E21" w:rsidRDefault="007861A6" w:rsidP="00604F5E">
      <w:pPr>
        <w:jc w:val="both"/>
        <w:rPr>
          <w:rFonts w:cstheme="minorHAnsi"/>
        </w:rPr>
      </w:pPr>
      <w:r w:rsidRPr="00F92E21">
        <w:rPr>
          <w:rFonts w:cstheme="minorHAnsi"/>
        </w:rPr>
        <w:t xml:space="preserve">To develop a robust strategy, the organisation must thoroughly assess the causes of labour shortages. </w:t>
      </w:r>
      <w:r w:rsidR="009D0E59">
        <w:rPr>
          <w:rFonts w:cstheme="minorHAnsi"/>
        </w:rPr>
        <w:t>(</w:t>
      </w:r>
      <w:r w:rsidRPr="00F92E21">
        <w:rPr>
          <w:rFonts w:cstheme="minorHAnsi"/>
        </w:rPr>
        <w:t>Davies</w:t>
      </w:r>
      <w:r w:rsidR="009D0E59">
        <w:rPr>
          <w:rFonts w:cstheme="minorHAnsi"/>
        </w:rPr>
        <w:t>,</w:t>
      </w:r>
      <w:r w:rsidRPr="00F92E21">
        <w:rPr>
          <w:rFonts w:cstheme="minorHAnsi"/>
        </w:rPr>
        <w:t xml:space="preserve"> 2021) notes that these shortages often focus on low-wage sectors, but quality and availability issues extend across industries. Reviewing HR strategies and recruitment processes can uncover areas for improvement, helping organisations attract and retain talent effectively. Moreover, the organisation must address challenges posed by the aging population. In Wales, over 21% of the population was aged 65 years and older in 2021, while the proportion of people aged 15–64 decreased by 12.2% (ONS, June 2022).</w:t>
      </w:r>
    </w:p>
    <w:p w14:paraId="3009861B" w14:textId="3D1A98DA" w:rsidR="007861A6" w:rsidRPr="00F92E21" w:rsidRDefault="007861A6" w:rsidP="00604F5E">
      <w:pPr>
        <w:jc w:val="both"/>
        <w:rPr>
          <w:rFonts w:cstheme="minorHAnsi"/>
        </w:rPr>
      </w:pPr>
      <w:r w:rsidRPr="00F92E21">
        <w:rPr>
          <w:rFonts w:cstheme="minorHAnsi"/>
        </w:rPr>
        <w:lastRenderedPageBreak/>
        <w:t xml:space="preserve">Upskilling employees remains a crucial challenge for organisations. As highlighted by Ravenscroft, founder of The Skills Builder Partnership, a lack of essential, transferable skills hinders long-term success. Modern workplaces demand not only technical skills but also interpersonal and critical thinking abilities. Today’s workforce is increasingly career-driven, requiring organisations to provide growth opportunities that encourage creativity and engagement </w:t>
      </w:r>
      <w:r w:rsidR="00095EC4" w:rsidRPr="00F92E21">
        <w:rPr>
          <w:rFonts w:cstheme="minorHAnsi"/>
        </w:rPr>
        <w:t>(</w:t>
      </w:r>
      <w:r w:rsidRPr="00E85A17">
        <w:rPr>
          <w:rFonts w:cstheme="minorHAnsi"/>
        </w:rPr>
        <w:t xml:space="preserve">Ravenscroft, 2021). </w:t>
      </w:r>
      <w:r w:rsidR="009D0E59">
        <w:rPr>
          <w:rFonts w:cstheme="minorHAnsi"/>
        </w:rPr>
        <w:t>(</w:t>
      </w:r>
      <w:r w:rsidRPr="00E85A17">
        <w:rPr>
          <w:rFonts w:cstheme="minorHAnsi"/>
        </w:rPr>
        <w:t>McMahon and Oketch</w:t>
      </w:r>
      <w:r w:rsidR="009D0E59">
        <w:rPr>
          <w:rFonts w:cstheme="minorHAnsi"/>
        </w:rPr>
        <w:t xml:space="preserve">, </w:t>
      </w:r>
      <w:r w:rsidRPr="00E85A17">
        <w:rPr>
          <w:rFonts w:cstheme="minorHAnsi"/>
        </w:rPr>
        <w:t>2013) argue that the benefits of education and human capital extend beyond earnings, impacting personal health, longevity, community well-being, and even political stability</w:t>
      </w:r>
      <w:r w:rsidRPr="00F92E21">
        <w:rPr>
          <w:rFonts w:cstheme="minorHAnsi"/>
        </w:rPr>
        <w:t>.</w:t>
      </w:r>
    </w:p>
    <w:p w14:paraId="786A990A" w14:textId="456D00B0" w:rsidR="007861A6" w:rsidRPr="00F92E21" w:rsidRDefault="007861A6" w:rsidP="00604F5E">
      <w:pPr>
        <w:jc w:val="both"/>
        <w:rPr>
          <w:rFonts w:cstheme="minorHAnsi"/>
        </w:rPr>
      </w:pPr>
      <w:r w:rsidRPr="00F92E21">
        <w:rPr>
          <w:rFonts w:cstheme="minorHAnsi"/>
        </w:rPr>
        <w:t>HR metrics underscore the urgency of addressing these challenges. Current recruitment turnaround times are three times longer than usual, indicating inefficiencies in sourcing skilled workers. Implementing a comprehensive HR strategy that manages the recruitment lifecycle, from sourcing to retention, is critical This strategy should prioritise attracting diverse talent while fostering an inclusive workplace culture.</w:t>
      </w:r>
    </w:p>
    <w:p w14:paraId="2C7E0FAB" w14:textId="4A6A43CE" w:rsidR="007861A6" w:rsidRPr="00F92E21" w:rsidRDefault="007861A6" w:rsidP="00604F5E">
      <w:pPr>
        <w:jc w:val="both"/>
        <w:rPr>
          <w:rFonts w:cstheme="minorHAnsi"/>
        </w:rPr>
      </w:pPr>
      <w:r w:rsidRPr="00F92E21">
        <w:rPr>
          <w:rFonts w:cstheme="minorHAnsi"/>
        </w:rPr>
        <w:t xml:space="preserve">Organisations must also adopt forward-looking approaches to remain competitive. Developing apprenticeship schemes and partnering with educational institutions enable businesses to nurture talent while addressing regional workforce challenges. For instance, creating tailored training programs ensures that employees acquire the skills needed for both current roles and future career advancement. </w:t>
      </w:r>
      <w:r w:rsidR="009D0E59">
        <w:rPr>
          <w:rFonts w:cstheme="minorHAnsi"/>
        </w:rPr>
        <w:t>(</w:t>
      </w:r>
      <w:r w:rsidRPr="00F92E21">
        <w:rPr>
          <w:rFonts w:cstheme="minorHAnsi"/>
        </w:rPr>
        <w:t>Brandl et al</w:t>
      </w:r>
      <w:r w:rsidR="009D0E59">
        <w:rPr>
          <w:rFonts w:cstheme="minorHAnsi"/>
        </w:rPr>
        <w:t xml:space="preserve">, </w:t>
      </w:r>
      <w:r w:rsidRPr="00F92E21">
        <w:rPr>
          <w:rFonts w:cstheme="minorHAnsi"/>
        </w:rPr>
        <w:t>2024) note that such initiatives also promote organisational sustainability and resilience by aligning workforce development with long-term business goals.</w:t>
      </w:r>
    </w:p>
    <w:p w14:paraId="7B2BD07C" w14:textId="692DB58F" w:rsidR="007861A6" w:rsidRPr="00F92E21" w:rsidRDefault="007861A6" w:rsidP="00604F5E">
      <w:pPr>
        <w:jc w:val="both"/>
        <w:rPr>
          <w:rFonts w:cstheme="minorHAnsi"/>
          <w:color w:val="FF0000"/>
        </w:rPr>
      </w:pPr>
      <w:r w:rsidRPr="00F92E21">
        <w:rPr>
          <w:rFonts w:cstheme="minorHAnsi"/>
        </w:rPr>
        <w:t>Moreover, businesses must leverage data-driven insights to anticipate workforce trends and adapt to changing market conditions. For example, monitoring geographic and demographic shifts can help organisations identify emerging talent sources and tailor recruitment strategies accordingly. Encouraging employees to engage in lifelong learning fosters a culture of adaptability and innovation, positioning the organisation as an employer of</w:t>
      </w:r>
      <w:r w:rsidRPr="00152BD1">
        <w:rPr>
          <w:rFonts w:cstheme="minorHAnsi"/>
        </w:rPr>
        <w:t xml:space="preserve"> choice</w:t>
      </w:r>
      <w:r w:rsidR="002B1FEA" w:rsidRPr="00152BD1">
        <w:rPr>
          <w:rFonts w:cstheme="minorHAnsi"/>
        </w:rPr>
        <w:t xml:space="preserve"> </w:t>
      </w:r>
      <w:r w:rsidR="004332BA" w:rsidRPr="005F6D4A">
        <w:rPr>
          <w:rFonts w:cstheme="minorHAnsi"/>
        </w:rPr>
        <w:t>(</w:t>
      </w:r>
      <w:r w:rsidR="002B1FEA" w:rsidRPr="005F6D4A">
        <w:rPr>
          <w:rFonts w:cstheme="minorHAnsi"/>
        </w:rPr>
        <w:t>Nuraini, 2024</w:t>
      </w:r>
      <w:r w:rsidR="004332BA" w:rsidRPr="005F6D4A">
        <w:rPr>
          <w:rFonts w:cstheme="minorHAnsi"/>
        </w:rPr>
        <w:t>)</w:t>
      </w:r>
      <w:r w:rsidR="005F6D4A" w:rsidRPr="005F6D4A">
        <w:rPr>
          <w:rFonts w:cstheme="minorHAnsi"/>
        </w:rPr>
        <w:t>.</w:t>
      </w:r>
    </w:p>
    <w:p w14:paraId="350BD3B5" w14:textId="7646CC86" w:rsidR="007861A6" w:rsidRPr="00F92E21" w:rsidRDefault="0009177B" w:rsidP="00604F5E">
      <w:pPr>
        <w:jc w:val="both"/>
        <w:rPr>
          <w:rFonts w:cstheme="minorHAnsi"/>
        </w:rPr>
      </w:pPr>
      <w:r w:rsidRPr="005F6D4A">
        <w:rPr>
          <w:rFonts w:cstheme="minorHAnsi"/>
        </w:rPr>
        <w:t>(</w:t>
      </w:r>
      <w:r w:rsidR="007861A6" w:rsidRPr="005F6D4A">
        <w:rPr>
          <w:rFonts w:cstheme="minorHAnsi"/>
        </w:rPr>
        <w:t>The Employment Rights Bill</w:t>
      </w:r>
      <w:r w:rsidR="00DC7DC2" w:rsidRPr="005F6D4A">
        <w:rPr>
          <w:rFonts w:cstheme="minorHAnsi"/>
        </w:rPr>
        <w:t>,</w:t>
      </w:r>
      <w:r w:rsidRPr="005F6D4A">
        <w:rPr>
          <w:rFonts w:cstheme="minorHAnsi"/>
        </w:rPr>
        <w:t xml:space="preserve"> CIPD 2024)</w:t>
      </w:r>
      <w:r w:rsidR="007861A6" w:rsidRPr="005F6D4A">
        <w:rPr>
          <w:rFonts w:cstheme="minorHAnsi"/>
        </w:rPr>
        <w:t xml:space="preserve">, </w:t>
      </w:r>
      <w:r w:rsidR="007861A6" w:rsidRPr="00F92E21">
        <w:rPr>
          <w:rFonts w:cstheme="minorHAnsi"/>
        </w:rPr>
        <w:t xml:space="preserve">falling under the political dimension of PESTLE analysis, significantly impacts organisations by simplifying trade union recognition processes. It removes the need for unions to prove majority support at the application stage and mandates employers to inform workers of their right to join unions. These changes underscore the need for organisations to stay informed and adapt to new regulations </w:t>
      </w:r>
      <w:r w:rsidR="00AC3D4D" w:rsidRPr="00F92E21">
        <w:rPr>
          <w:rFonts w:cstheme="minorHAnsi"/>
        </w:rPr>
        <w:t>(</w:t>
      </w:r>
      <w:r w:rsidR="007861A6" w:rsidRPr="00F92E21">
        <w:rPr>
          <w:rFonts w:cstheme="minorHAnsi"/>
        </w:rPr>
        <w:t>Aoki, Delbridge &amp; Endo, 2014).</w:t>
      </w:r>
    </w:p>
    <w:p w14:paraId="21C587B8" w14:textId="7D1BF93E" w:rsidR="007861A6" w:rsidRPr="00F92E21" w:rsidRDefault="00753628" w:rsidP="00604F5E">
      <w:pPr>
        <w:jc w:val="both"/>
        <w:rPr>
          <w:rFonts w:cstheme="minorHAnsi"/>
        </w:rPr>
      </w:pPr>
      <w:r>
        <w:rPr>
          <w:rFonts w:cstheme="minorHAnsi"/>
        </w:rPr>
        <w:t>(</w:t>
      </w:r>
      <w:r w:rsidR="007861A6" w:rsidRPr="00F92E21">
        <w:rPr>
          <w:rFonts w:cstheme="minorHAnsi"/>
        </w:rPr>
        <w:t>Aoki, Delbridge</w:t>
      </w:r>
      <w:r>
        <w:rPr>
          <w:rFonts w:cstheme="minorHAnsi"/>
        </w:rPr>
        <w:t xml:space="preserve"> </w:t>
      </w:r>
      <w:r w:rsidR="007861A6" w:rsidRPr="00F92E21">
        <w:rPr>
          <w:rFonts w:cstheme="minorHAnsi"/>
        </w:rPr>
        <w:t>and Endo</w:t>
      </w:r>
      <w:r>
        <w:rPr>
          <w:rFonts w:cstheme="minorHAnsi"/>
        </w:rPr>
        <w:t xml:space="preserve">, </w:t>
      </w:r>
      <w:r w:rsidR="007861A6" w:rsidRPr="00F92E21">
        <w:rPr>
          <w:rFonts w:cstheme="minorHAnsi"/>
        </w:rPr>
        <w:t xml:space="preserve">2014) highlight the critical role of collaboration between trade unions and HR in addressing workforce dynamics. While unions traditionally represent regular employees, they often exclude agency workers employed through staffing agencies, limiting their influence on company-wide decisions. However, unions have maintained leverage </w:t>
      </w:r>
      <w:r w:rsidR="00BB63FA" w:rsidRPr="00F92E21">
        <w:rPr>
          <w:rFonts w:cstheme="minorHAnsi"/>
        </w:rPr>
        <w:t>over pay</w:t>
      </w:r>
      <w:r w:rsidR="007861A6" w:rsidRPr="00F92E21">
        <w:rPr>
          <w:rFonts w:cstheme="minorHAnsi"/>
        </w:rPr>
        <w:t xml:space="preserve"> and working conditions, resisting detrimental changes and negotiating key policies. Despite this, unions have minimal influence over work pace and processes, which remain management-controlled under systems like </w:t>
      </w:r>
      <w:r w:rsidR="007861A6" w:rsidRPr="00152BD1">
        <w:rPr>
          <w:rFonts w:cstheme="minorHAnsi"/>
        </w:rPr>
        <w:t>kaizen</w:t>
      </w:r>
      <w:r w:rsidR="00935473" w:rsidRPr="00152BD1">
        <w:rPr>
          <w:rFonts w:cstheme="minorHAnsi"/>
        </w:rPr>
        <w:t xml:space="preserve"> </w:t>
      </w:r>
      <w:r w:rsidR="00935473" w:rsidRPr="00152BD1">
        <w:rPr>
          <w:rFonts w:cstheme="minorHAnsi"/>
          <w:i/>
          <w:iCs/>
        </w:rPr>
        <w:t>(</w:t>
      </w:r>
      <w:r w:rsidR="00935473" w:rsidRPr="00152BD1">
        <w:t>Shimada, 2024)</w:t>
      </w:r>
      <w:r w:rsidR="00023EC1" w:rsidRPr="00152BD1">
        <w:t xml:space="preserve">. Kaizen, a method of business management aiming for continuous operational improvements through a bottom-up, hands-on, participatory approach, has been adopted by many Japanese companies. For example, Toyota, one of Japan’s leading automobile manufacturers, has adopted kaizen and calls it the Toyota Production </w:t>
      </w:r>
      <w:r w:rsidR="00C46EE8" w:rsidRPr="00152BD1">
        <w:t>System</w:t>
      </w:r>
      <w:r w:rsidR="00C46EE8" w:rsidRPr="00152BD1">
        <w:rPr>
          <w:rFonts w:cstheme="minorHAnsi"/>
          <w:i/>
          <w:iCs/>
        </w:rPr>
        <w:t>,</w:t>
      </w:r>
      <w:r w:rsidR="00023EC1" w:rsidRPr="00152BD1">
        <w:rPr>
          <w:rFonts w:cstheme="minorHAnsi"/>
        </w:rPr>
        <w:t xml:space="preserve"> which </w:t>
      </w:r>
      <w:r w:rsidR="00BA07D9" w:rsidRPr="00152BD1">
        <w:rPr>
          <w:rFonts w:cstheme="minorHAnsi"/>
        </w:rPr>
        <w:t>s</w:t>
      </w:r>
      <w:r w:rsidR="007861A6" w:rsidRPr="00152BD1">
        <w:rPr>
          <w:rFonts w:cstheme="minorHAnsi"/>
        </w:rPr>
        <w:t>trengthe</w:t>
      </w:r>
      <w:r w:rsidR="00023EC1" w:rsidRPr="00152BD1">
        <w:rPr>
          <w:rFonts w:cstheme="minorHAnsi"/>
        </w:rPr>
        <w:t>ns</w:t>
      </w:r>
      <w:r w:rsidR="007861A6" w:rsidRPr="00023EC1">
        <w:rPr>
          <w:rFonts w:cstheme="minorHAnsi"/>
          <w:color w:val="4472C4" w:themeColor="accent1"/>
        </w:rPr>
        <w:t xml:space="preserve"> </w:t>
      </w:r>
      <w:r w:rsidR="007861A6" w:rsidRPr="00F92E21">
        <w:rPr>
          <w:rFonts w:cstheme="minorHAnsi"/>
        </w:rPr>
        <w:t>partnerships with unions can foster a more inclusive environment and ensure alignment with continuous improvement goals.</w:t>
      </w:r>
    </w:p>
    <w:p w14:paraId="31F463D4" w14:textId="5DA1E90E" w:rsidR="007861A6" w:rsidRPr="00F92E21" w:rsidRDefault="00FC0522" w:rsidP="00604F5E">
      <w:pPr>
        <w:jc w:val="both"/>
        <w:rPr>
          <w:rFonts w:cstheme="minorHAnsi"/>
        </w:rPr>
      </w:pPr>
      <w:r>
        <w:rPr>
          <w:rFonts w:cstheme="minorHAnsi"/>
        </w:rPr>
        <w:t>(</w:t>
      </w:r>
      <w:r w:rsidR="007861A6" w:rsidRPr="00F92E21">
        <w:rPr>
          <w:rFonts w:cstheme="minorHAnsi"/>
        </w:rPr>
        <w:t>Orr</w:t>
      </w:r>
      <w:r>
        <w:rPr>
          <w:rFonts w:cstheme="minorHAnsi"/>
        </w:rPr>
        <w:t xml:space="preserve">, </w:t>
      </w:r>
      <w:r w:rsidR="007861A6" w:rsidRPr="00F92E21">
        <w:rPr>
          <w:rFonts w:cstheme="minorHAnsi"/>
        </w:rPr>
        <w:t>202</w:t>
      </w:r>
      <w:r w:rsidR="00F031D5">
        <w:rPr>
          <w:rFonts w:cstheme="minorHAnsi"/>
        </w:rPr>
        <w:t>1</w:t>
      </w:r>
      <w:r w:rsidR="007861A6" w:rsidRPr="00F92E21">
        <w:rPr>
          <w:rFonts w:cstheme="minorHAnsi"/>
        </w:rPr>
        <w:t>) argues that reviving worker education alone is insufficient to rejuvenate the labo</w:t>
      </w:r>
      <w:r w:rsidR="006E2178" w:rsidRPr="00F92E21">
        <w:rPr>
          <w:rFonts w:cstheme="minorHAnsi"/>
        </w:rPr>
        <w:t>u</w:t>
      </w:r>
      <w:r w:rsidR="007861A6" w:rsidRPr="00F92E21">
        <w:rPr>
          <w:rFonts w:cstheme="minorHAnsi"/>
        </w:rPr>
        <w:t xml:space="preserve">r movement. Building robust worker organisations and fostering collective action among both organised and unorganised workers are essential. The CIPD further emphasises the importance of fostering effective partnerships with trade unions. </w:t>
      </w:r>
      <w:r w:rsidR="00AC3D4D" w:rsidRPr="00F92E21">
        <w:rPr>
          <w:rFonts w:cstheme="minorHAnsi"/>
        </w:rPr>
        <w:t>This is because</w:t>
      </w:r>
      <w:r w:rsidR="007861A6" w:rsidRPr="00F92E21">
        <w:rPr>
          <w:rFonts w:cstheme="minorHAnsi"/>
        </w:rPr>
        <w:t xml:space="preserve"> industrial action increasingly disrupts sectors like healthcare, transport, and postal services, collaborative strategies between HR professionals and </w:t>
      </w:r>
      <w:r w:rsidR="007861A6" w:rsidRPr="00F92E21">
        <w:rPr>
          <w:rFonts w:cstheme="minorHAnsi"/>
        </w:rPr>
        <w:lastRenderedPageBreak/>
        <w:t xml:space="preserve">unions become more critical. Historical evidence, as outlined by </w:t>
      </w:r>
      <w:r w:rsidR="00753628">
        <w:rPr>
          <w:rFonts w:cstheme="minorHAnsi"/>
        </w:rPr>
        <w:t>(</w:t>
      </w:r>
      <w:r w:rsidR="007861A6" w:rsidRPr="00BD3E96">
        <w:rPr>
          <w:rFonts w:cstheme="minorHAnsi"/>
        </w:rPr>
        <w:t>Morris</w:t>
      </w:r>
      <w:r w:rsidR="00753628">
        <w:rPr>
          <w:rFonts w:cstheme="minorHAnsi"/>
        </w:rPr>
        <w:t>,</w:t>
      </w:r>
      <w:r w:rsidR="007861A6" w:rsidRPr="00BD3E96">
        <w:rPr>
          <w:rFonts w:cstheme="minorHAnsi"/>
        </w:rPr>
        <w:t xml:space="preserve"> 2024), shows</w:t>
      </w:r>
      <w:r w:rsidR="007861A6" w:rsidRPr="00F92E21">
        <w:rPr>
          <w:rFonts w:cstheme="minorHAnsi"/>
        </w:rPr>
        <w:t xml:space="preserve"> that the late 20th century's industrial unrest led to legislative efforts to stabilise labour relations while protecting workers’ rights.</w:t>
      </w:r>
    </w:p>
    <w:p w14:paraId="07A68885" w14:textId="1A419A18" w:rsidR="007861A6" w:rsidRPr="00F92E21" w:rsidRDefault="007861A6" w:rsidP="00604F5E">
      <w:pPr>
        <w:jc w:val="both"/>
        <w:rPr>
          <w:rFonts w:cstheme="minorHAnsi"/>
        </w:rPr>
      </w:pPr>
      <w:r w:rsidRPr="00F92E21">
        <w:rPr>
          <w:rFonts w:cstheme="minorHAnsi"/>
        </w:rPr>
        <w:t xml:space="preserve">Trade unions, integral to the UK’s history, have seen significant membership declines since their 1970s peak. However, they continue to provide employees with a collective voice, playing a vital role in employment relations. Building strong relationships with union representatives can foster a positive and cooperative workplace environment. Research highlights that recognising trade unions facilitates smooth transitions during organisational changes by ensuring clear communication and bargaining agreements. Failure to engage with unions can lead to strained employee relations, increased industrial action risks, legal complications, and lower employee morale and productivity </w:t>
      </w:r>
      <w:r w:rsidR="00226029" w:rsidRPr="00F92E21">
        <w:rPr>
          <w:rFonts w:cstheme="minorHAnsi"/>
        </w:rPr>
        <w:t>(</w:t>
      </w:r>
      <w:r w:rsidRPr="00F92E21">
        <w:rPr>
          <w:rFonts w:cstheme="minorHAnsi"/>
        </w:rPr>
        <w:t>Morris, 2024).</w:t>
      </w:r>
      <w:r w:rsidR="004F1C87" w:rsidRPr="00F92E21">
        <w:rPr>
          <w:rFonts w:cstheme="minorHAnsi"/>
        </w:rPr>
        <w:t xml:space="preserve"> </w:t>
      </w:r>
    </w:p>
    <w:p w14:paraId="1AD01B41" w14:textId="0A7B64B3" w:rsidR="007861A6" w:rsidRPr="00F92E21" w:rsidRDefault="005D3F82" w:rsidP="00604F5E">
      <w:pPr>
        <w:jc w:val="both"/>
        <w:rPr>
          <w:rFonts w:cstheme="minorHAnsi"/>
        </w:rPr>
      </w:pPr>
      <w:r w:rsidRPr="00F92E21">
        <w:rPr>
          <w:rFonts w:cstheme="minorHAnsi"/>
        </w:rPr>
        <w:t>Arguably</w:t>
      </w:r>
      <w:r>
        <w:rPr>
          <w:rFonts w:cstheme="minorHAnsi"/>
        </w:rPr>
        <w:t>,</w:t>
      </w:r>
      <w:r w:rsidRPr="00F92E21">
        <w:rPr>
          <w:rFonts w:cstheme="minorHAnsi"/>
        </w:rPr>
        <w:t xml:space="preserve"> </w:t>
      </w:r>
      <w:r>
        <w:rPr>
          <w:rFonts w:cstheme="minorHAnsi"/>
        </w:rPr>
        <w:t>c</w:t>
      </w:r>
      <w:r w:rsidR="007861A6" w:rsidRPr="00F92E21">
        <w:rPr>
          <w:rFonts w:cstheme="minorHAnsi"/>
        </w:rPr>
        <w:t>ase studies, such as those from the automotive industry, demonstrate the tangible benefits of union engagement. Companies like Ford and Land Rover have used collective bargaining agreements to ensure stability during economic challenges. These agreements have supported clear terms for wages, benefits, and job security, fostering cooperative solutions to labour issues and benefiting both employers and employees (Morris, 2024).</w:t>
      </w:r>
    </w:p>
    <w:p w14:paraId="3CB24449" w14:textId="4070B482" w:rsidR="007861A6" w:rsidRPr="00F92E21" w:rsidRDefault="007861A6" w:rsidP="00604F5E">
      <w:pPr>
        <w:jc w:val="both"/>
        <w:rPr>
          <w:rFonts w:cstheme="minorHAnsi"/>
          <w:color w:val="FF0000"/>
        </w:rPr>
      </w:pPr>
      <w:r w:rsidRPr="00F92E21">
        <w:rPr>
          <w:rFonts w:cstheme="minorHAnsi"/>
        </w:rPr>
        <w:t>For our organisation, recognising trade unions can yield numerous advantages. A partnership with a trade union ensures clear channels for negotiation, leading to less bureaucracy, fewer tribunal cases, and reduced absenteeism. Such collaboration also boosts staff retention, facilitates high-quality recruitment, and improves decision-making processes. ACAS notes that having a recognised union allows smoother transitions during changes, as it provides a single point of contact for negotiations</w:t>
      </w:r>
      <w:r w:rsidR="0000177C">
        <w:rPr>
          <w:rFonts w:cstheme="minorHAnsi"/>
        </w:rPr>
        <w:t xml:space="preserve"> </w:t>
      </w:r>
      <w:r w:rsidR="0000177C" w:rsidRPr="00152BD1">
        <w:rPr>
          <w:rFonts w:cstheme="minorHAnsi"/>
        </w:rPr>
        <w:t>(A</w:t>
      </w:r>
      <w:r w:rsidR="00D01934" w:rsidRPr="00152BD1">
        <w:rPr>
          <w:rFonts w:cstheme="minorHAnsi"/>
        </w:rPr>
        <w:t>CAS, 2024)</w:t>
      </w:r>
      <w:r w:rsidR="00152BD1" w:rsidRPr="00152BD1">
        <w:rPr>
          <w:rFonts w:cstheme="minorHAnsi"/>
        </w:rPr>
        <w:t>.</w:t>
      </w:r>
      <w:r w:rsidR="00D01934" w:rsidRPr="00152BD1">
        <w:rPr>
          <w:rFonts w:cstheme="minorHAnsi"/>
        </w:rPr>
        <w:t xml:space="preserve"> </w:t>
      </w:r>
      <w:r w:rsidR="00521D78" w:rsidRPr="00F92E21">
        <w:rPr>
          <w:rFonts w:cstheme="minorHAnsi"/>
        </w:rPr>
        <w:t xml:space="preserve">Arguably </w:t>
      </w:r>
      <w:r w:rsidR="00B04784" w:rsidRPr="00F92E21">
        <w:rPr>
          <w:rFonts w:cstheme="minorHAnsi"/>
        </w:rPr>
        <w:t>having union representatives at our workplace has enabled effective dialogue to take place</w:t>
      </w:r>
      <w:r w:rsidR="00566187" w:rsidRPr="00F92E21">
        <w:rPr>
          <w:rFonts w:cstheme="minorHAnsi"/>
        </w:rPr>
        <w:t xml:space="preserve"> between management and employees during the </w:t>
      </w:r>
      <w:r w:rsidR="0025231D" w:rsidRPr="00F92E21">
        <w:rPr>
          <w:rFonts w:cstheme="minorHAnsi"/>
        </w:rPr>
        <w:t xml:space="preserve">potentially </w:t>
      </w:r>
      <w:r w:rsidR="00566187" w:rsidRPr="00F92E21">
        <w:rPr>
          <w:rFonts w:cstheme="minorHAnsi"/>
        </w:rPr>
        <w:t xml:space="preserve">unsettling transition </w:t>
      </w:r>
      <w:r w:rsidR="0015309F" w:rsidRPr="00F92E21">
        <w:rPr>
          <w:rFonts w:cstheme="minorHAnsi"/>
        </w:rPr>
        <w:t xml:space="preserve">when it was announced that another company was taking over the business. </w:t>
      </w:r>
    </w:p>
    <w:p w14:paraId="1DF27CCA" w14:textId="552657CE" w:rsidR="007861A6" w:rsidRPr="00F92E21" w:rsidRDefault="007861A6" w:rsidP="00604F5E">
      <w:pPr>
        <w:jc w:val="both"/>
        <w:rPr>
          <w:rFonts w:cstheme="minorHAnsi"/>
        </w:rPr>
      </w:pPr>
      <w:r w:rsidRPr="00F92E21">
        <w:rPr>
          <w:rFonts w:cstheme="minorHAnsi"/>
        </w:rPr>
        <w:t xml:space="preserve">Additionally, open communication with trade unions—via scheduled meetings, newsletters, and informal check-ins—can build trust and maintain transparency. Including unions in workplace decision-making and addressing employee concerns early can prevent conflicts, improve morale, and foster a collaborative work environment. </w:t>
      </w:r>
      <w:r w:rsidR="000417E4">
        <w:rPr>
          <w:rFonts w:cstheme="minorHAnsi"/>
        </w:rPr>
        <w:t>(</w:t>
      </w:r>
      <w:r w:rsidR="00D749B3" w:rsidRPr="00152BD1">
        <w:t>Rudman</w:t>
      </w:r>
      <w:r w:rsidR="000417E4">
        <w:t xml:space="preserve"> </w:t>
      </w:r>
      <w:r w:rsidR="00D749B3" w:rsidRPr="00152BD1">
        <w:t>&amp; Ellem</w:t>
      </w:r>
      <w:r w:rsidR="000417E4">
        <w:t>,</w:t>
      </w:r>
      <w:r w:rsidR="00D749B3" w:rsidRPr="00152BD1">
        <w:t xml:space="preserve"> 2024) state</w:t>
      </w:r>
      <w:r w:rsidRPr="00152BD1">
        <w:rPr>
          <w:rFonts w:cstheme="minorHAnsi"/>
        </w:rPr>
        <w:t xml:space="preserve"> </w:t>
      </w:r>
      <w:r w:rsidRPr="00F92E21">
        <w:rPr>
          <w:rFonts w:cstheme="minorHAnsi"/>
        </w:rPr>
        <w:t>measures align with our organisational goals of maintaining a committed and motivated workforce</w:t>
      </w:r>
      <w:r w:rsidR="00214FDF" w:rsidRPr="00F92E21">
        <w:rPr>
          <w:rFonts w:cstheme="minorHAnsi"/>
        </w:rPr>
        <w:t xml:space="preserve"> by </w:t>
      </w:r>
      <w:r w:rsidR="00641325" w:rsidRPr="00F92E21">
        <w:rPr>
          <w:rFonts w:cstheme="minorHAnsi"/>
        </w:rPr>
        <w:t xml:space="preserve">creating a democratic environment which </w:t>
      </w:r>
      <w:r w:rsidR="007F50B7" w:rsidRPr="00F92E21">
        <w:rPr>
          <w:rFonts w:cstheme="minorHAnsi"/>
        </w:rPr>
        <w:t xml:space="preserve">is arguably representative of the aims of the political landscape.  </w:t>
      </w:r>
    </w:p>
    <w:p w14:paraId="6589BF91" w14:textId="4B0DE350" w:rsidR="007861A6" w:rsidRPr="005F6D4A" w:rsidRDefault="007861A6" w:rsidP="0037467E">
      <w:pPr>
        <w:jc w:val="both"/>
        <w:rPr>
          <w:rFonts w:cstheme="minorHAnsi"/>
          <w:color w:val="FF0000"/>
        </w:rPr>
      </w:pPr>
      <w:r w:rsidRPr="00F92E21">
        <w:rPr>
          <w:rFonts w:cstheme="minorHAnsi"/>
        </w:rPr>
        <w:t xml:space="preserve">Recognising unions also offers measurable financial benefits. Key performance indicators (KPIs) from staff surveys, retention rates, sickness levels, and learning and development metrics can demonstrate the positive impacts of </w:t>
      </w:r>
      <w:r w:rsidRPr="00152BD1">
        <w:rPr>
          <w:rFonts w:cstheme="minorHAnsi"/>
        </w:rPr>
        <w:t xml:space="preserve">union recognition </w:t>
      </w:r>
      <w:r w:rsidR="00D15363" w:rsidRPr="00152BD1">
        <w:rPr>
          <w:rFonts w:cstheme="minorHAnsi"/>
        </w:rPr>
        <w:t>(</w:t>
      </w:r>
      <w:r w:rsidR="00D15363" w:rsidRPr="00152BD1">
        <w:t xml:space="preserve">Australian Bureau of Statistics 2024). </w:t>
      </w:r>
      <w:r w:rsidRPr="00152BD1">
        <w:rPr>
          <w:rFonts w:cstheme="minorHAnsi"/>
        </w:rPr>
        <w:t xml:space="preserve">For </w:t>
      </w:r>
      <w:r w:rsidRPr="00F92E21">
        <w:rPr>
          <w:rFonts w:cstheme="minorHAnsi"/>
        </w:rPr>
        <w:t>example, creating career development pathways through union collaboration supports future succession planning and reduces turnover. Employees who feel secure and valued are more likely to remain engaged and productive, which ultimately benefits organisational performance</w:t>
      </w:r>
      <w:r w:rsidR="00364F13">
        <w:rPr>
          <w:rFonts w:cstheme="minorHAnsi"/>
        </w:rPr>
        <w:t>s</w:t>
      </w:r>
      <w:r w:rsidR="00152BD1">
        <w:rPr>
          <w:rFonts w:cstheme="minorHAnsi"/>
          <w:color w:val="4472C4" w:themeColor="accent1"/>
        </w:rPr>
        <w:t>,</w:t>
      </w:r>
      <w:r w:rsidR="005F6D4A" w:rsidRPr="005F6D4A">
        <w:rPr>
          <w:rFonts w:cstheme="minorHAnsi"/>
        </w:rPr>
        <w:t xml:space="preserve"> s</w:t>
      </w:r>
      <w:r w:rsidR="00364F13" w:rsidRPr="005F6D4A">
        <w:rPr>
          <w:rFonts w:cstheme="minorHAnsi"/>
        </w:rPr>
        <w:t xml:space="preserve">uch as </w:t>
      </w:r>
      <w:r w:rsidR="002F1939">
        <w:rPr>
          <w:rFonts w:cstheme="minorHAnsi"/>
        </w:rPr>
        <w:t>r</w:t>
      </w:r>
      <w:r w:rsidRPr="005F6D4A">
        <w:rPr>
          <w:rFonts w:cstheme="minorHAnsi"/>
        </w:rPr>
        <w:t>educed bureaucracy and tribunal cases</w:t>
      </w:r>
      <w:r w:rsidR="0037467E" w:rsidRPr="005F6D4A">
        <w:rPr>
          <w:rFonts w:cstheme="minorHAnsi"/>
        </w:rPr>
        <w:t>, i</w:t>
      </w:r>
      <w:r w:rsidRPr="005F6D4A">
        <w:rPr>
          <w:rFonts w:cstheme="minorHAnsi"/>
        </w:rPr>
        <w:t>mproved staff retention and recruitment of high-quality talent</w:t>
      </w:r>
      <w:r w:rsidR="0037467E" w:rsidRPr="005F6D4A">
        <w:rPr>
          <w:rFonts w:cstheme="minorHAnsi"/>
        </w:rPr>
        <w:t>, l</w:t>
      </w:r>
      <w:r w:rsidRPr="005F6D4A">
        <w:rPr>
          <w:rFonts w:cstheme="minorHAnsi"/>
        </w:rPr>
        <w:t>ower absenteeism and conflict levels</w:t>
      </w:r>
      <w:r w:rsidR="0037467E" w:rsidRPr="005F6D4A">
        <w:rPr>
          <w:rFonts w:cstheme="minorHAnsi"/>
        </w:rPr>
        <w:t>, e</w:t>
      </w:r>
      <w:r w:rsidRPr="005F6D4A">
        <w:rPr>
          <w:rFonts w:cstheme="minorHAnsi"/>
        </w:rPr>
        <w:t>nhanced decision-making processes</w:t>
      </w:r>
      <w:r w:rsidR="0037467E" w:rsidRPr="005F6D4A">
        <w:rPr>
          <w:rFonts w:cstheme="minorHAnsi"/>
        </w:rPr>
        <w:t xml:space="preserve"> and it also i</w:t>
      </w:r>
      <w:r w:rsidRPr="005F6D4A">
        <w:rPr>
          <w:rFonts w:cstheme="minorHAnsi"/>
        </w:rPr>
        <w:t xml:space="preserve">ncreased employee morale and organisational </w:t>
      </w:r>
      <w:r w:rsidR="0037467E" w:rsidRPr="005F6D4A">
        <w:rPr>
          <w:rFonts w:cstheme="minorHAnsi"/>
        </w:rPr>
        <w:t>trust</w:t>
      </w:r>
      <w:r w:rsidR="005F6D4A">
        <w:rPr>
          <w:rFonts w:cstheme="minorHAnsi"/>
        </w:rPr>
        <w:t xml:space="preserve"> </w:t>
      </w:r>
      <w:r w:rsidR="00681338" w:rsidRPr="00614138">
        <w:rPr>
          <w:rFonts w:cstheme="minorHAnsi"/>
        </w:rPr>
        <w:t>(Taylor</w:t>
      </w:r>
      <w:r w:rsidR="00681338">
        <w:rPr>
          <w:rFonts w:cstheme="minorHAnsi"/>
        </w:rPr>
        <w:t xml:space="preserve"> &amp; Perkins</w:t>
      </w:r>
      <w:r w:rsidR="00681338" w:rsidRPr="00614138">
        <w:rPr>
          <w:rFonts w:cstheme="minorHAnsi"/>
        </w:rPr>
        <w:t>, 2021).</w:t>
      </w:r>
    </w:p>
    <w:p w14:paraId="7087029A" w14:textId="7F622E82" w:rsidR="007861A6" w:rsidRPr="00F92E21" w:rsidRDefault="007861A6" w:rsidP="00604F5E">
      <w:pPr>
        <w:jc w:val="both"/>
        <w:rPr>
          <w:rFonts w:cstheme="minorHAnsi"/>
          <w:color w:val="FF0000"/>
        </w:rPr>
      </w:pPr>
      <w:r w:rsidRPr="00F92E21">
        <w:rPr>
          <w:rFonts w:cstheme="minorHAnsi"/>
        </w:rPr>
        <w:t>The absence of union recognition can lead to potential drawbacks. These include strained employee relations, increased likelihood of industrial action, and reduced capacity to address workplace concerns effectively. Such issues can negatively affect organisational reputation, both internally and externally</w:t>
      </w:r>
      <w:r w:rsidR="002C479C">
        <w:rPr>
          <w:rFonts w:cstheme="minorHAnsi"/>
        </w:rPr>
        <w:t xml:space="preserve"> </w:t>
      </w:r>
      <w:r w:rsidR="002C479C" w:rsidRPr="005F6D4A">
        <w:rPr>
          <w:rFonts w:cstheme="minorHAnsi"/>
        </w:rPr>
        <w:t>(</w:t>
      </w:r>
      <w:r w:rsidR="002C479C" w:rsidRPr="005F6D4A">
        <w:t>Pérez,</w:t>
      </w:r>
      <w:r w:rsidR="00625A1B" w:rsidRPr="005F6D4A">
        <w:t xml:space="preserve"> </w:t>
      </w:r>
      <w:r w:rsidR="002C479C" w:rsidRPr="005F6D4A">
        <w:t>2024</w:t>
      </w:r>
      <w:r w:rsidR="00625A1B" w:rsidRPr="005F6D4A">
        <w:t>)</w:t>
      </w:r>
      <w:r w:rsidR="005F6D4A" w:rsidRPr="005F6D4A">
        <w:t>,</w:t>
      </w:r>
      <w:r w:rsidR="00AD5C0F" w:rsidRPr="005F6D4A">
        <w:rPr>
          <w:rFonts w:cstheme="minorHAnsi"/>
        </w:rPr>
        <w:t xml:space="preserve"> and </w:t>
      </w:r>
      <w:r w:rsidR="00AD5C0F" w:rsidRPr="00F92E21">
        <w:rPr>
          <w:rFonts w:cstheme="minorHAnsi"/>
        </w:rPr>
        <w:t xml:space="preserve">this was important when negotiations began with the takeover company </w:t>
      </w:r>
      <w:r w:rsidR="009F4B30" w:rsidRPr="00F92E21">
        <w:rPr>
          <w:rFonts w:cstheme="minorHAnsi"/>
        </w:rPr>
        <w:lastRenderedPageBreak/>
        <w:t xml:space="preserve">as they were provided with a comprehensive </w:t>
      </w:r>
      <w:r w:rsidR="00EE3095" w:rsidRPr="00F92E21">
        <w:rPr>
          <w:rFonts w:cstheme="minorHAnsi"/>
        </w:rPr>
        <w:t>profile of the company as well as the expectations of the employees in terms of them have a voice</w:t>
      </w:r>
    </w:p>
    <w:p w14:paraId="067BC17D" w14:textId="10449D61" w:rsidR="007861A6" w:rsidRPr="00F92E21" w:rsidRDefault="00BE1B07" w:rsidP="00604F5E">
      <w:pPr>
        <w:jc w:val="both"/>
        <w:rPr>
          <w:rFonts w:cstheme="minorHAnsi"/>
        </w:rPr>
      </w:pPr>
      <w:r w:rsidRPr="005F6D4A">
        <w:rPr>
          <w:rFonts w:cstheme="minorHAnsi"/>
        </w:rPr>
        <w:t xml:space="preserve">(The Employment Rights Bill, CIPD 2024), </w:t>
      </w:r>
      <w:r w:rsidR="007861A6" w:rsidRPr="00F92E21">
        <w:rPr>
          <w:rFonts w:cstheme="minorHAnsi"/>
        </w:rPr>
        <w:t>underscores the importance of fostering cooperative relationships with trade unions. Recognising unions not only ensures compliance with legal obligations but also strengthens organisational stability. By engaging collaboratively with unions, our organisation can navigate workforce challenges effectively while building a resilient and inclusive workplace culture.</w:t>
      </w:r>
    </w:p>
    <w:p w14:paraId="7C0E4E02" w14:textId="580A99B4" w:rsidR="00052874" w:rsidRPr="00F92E21" w:rsidRDefault="00052874" w:rsidP="00604F5E">
      <w:pPr>
        <w:jc w:val="both"/>
        <w:rPr>
          <w:rFonts w:cstheme="minorHAnsi"/>
        </w:rPr>
      </w:pPr>
      <w:r w:rsidRPr="00F92E21">
        <w:rPr>
          <w:rFonts w:cstheme="minorHAnsi"/>
        </w:rPr>
        <w:t xml:space="preserve">Finaly the impact of the law changes </w:t>
      </w:r>
      <w:r w:rsidRPr="00F92E21">
        <w:rPr>
          <w:rFonts w:cstheme="minorHAnsi"/>
          <w:b/>
          <w:bCs/>
        </w:rPr>
        <w:t>(Legal)</w:t>
      </w:r>
      <w:r w:rsidRPr="00F92E21">
        <w:rPr>
          <w:rFonts w:cstheme="minorHAnsi"/>
        </w:rPr>
        <w:t xml:space="preserve"> under the new Sexual harassment</w:t>
      </w:r>
      <w:r w:rsidR="00681338">
        <w:rPr>
          <w:rFonts w:cstheme="minorHAnsi"/>
        </w:rPr>
        <w:t xml:space="preserve"> laws</w:t>
      </w:r>
      <w:r w:rsidRPr="00F92E21">
        <w:rPr>
          <w:rFonts w:cstheme="minorHAnsi"/>
        </w:rPr>
        <w:t xml:space="preserve">. As outlined in the Employment right bill, Employers to take all reasonable steps to prevent sexual harassment </w:t>
      </w:r>
      <w:r w:rsidR="00BE1B07" w:rsidRPr="00F92E21">
        <w:rPr>
          <w:rFonts w:cstheme="minorHAnsi"/>
        </w:rPr>
        <w:t>in</w:t>
      </w:r>
      <w:r w:rsidRPr="00F92E21">
        <w:rPr>
          <w:rFonts w:cstheme="minorHAnsi"/>
        </w:rPr>
        <w:t xml:space="preserve"> section 40A of the Equality Act 2010 (employer duty to prevent sexual 10 harassment of employees), in subsection (1), before “reasonable steps” insert “all”. </w:t>
      </w:r>
    </w:p>
    <w:p w14:paraId="12158B17" w14:textId="0B236D60" w:rsidR="00052874" w:rsidRPr="00F92E21" w:rsidRDefault="00052874" w:rsidP="00604F5E">
      <w:pPr>
        <w:jc w:val="both"/>
        <w:rPr>
          <w:rFonts w:cstheme="minorHAnsi"/>
        </w:rPr>
      </w:pPr>
      <w:r w:rsidRPr="00F92E21">
        <w:rPr>
          <w:rFonts w:cstheme="minorHAnsi"/>
        </w:rPr>
        <w:t>With Ethical and moral obligations with recent negative press of addressing sexual harassment claims has a very damming reputational effect on an organisation’s status</w:t>
      </w:r>
      <w:r w:rsidR="00A9153C" w:rsidRPr="00F92E21">
        <w:rPr>
          <w:rFonts w:cstheme="minorHAnsi"/>
        </w:rPr>
        <w:t xml:space="preserve"> and as an </w:t>
      </w:r>
      <w:r w:rsidR="00E221BC" w:rsidRPr="00F92E21">
        <w:rPr>
          <w:rFonts w:cstheme="minorHAnsi"/>
        </w:rPr>
        <w:t>organisation</w:t>
      </w:r>
      <w:r w:rsidR="00A9153C" w:rsidRPr="00F92E21">
        <w:rPr>
          <w:rFonts w:cstheme="minorHAnsi"/>
        </w:rPr>
        <w:t xml:space="preserve"> we </w:t>
      </w:r>
      <w:r w:rsidR="00A002BF" w:rsidRPr="00F92E21">
        <w:rPr>
          <w:rFonts w:cstheme="minorHAnsi"/>
        </w:rPr>
        <w:t xml:space="preserve">had to ensure the working environment for all our employees </w:t>
      </w:r>
      <w:r w:rsidR="00E221BC" w:rsidRPr="00F92E21">
        <w:rPr>
          <w:rFonts w:cstheme="minorHAnsi"/>
        </w:rPr>
        <w:t>so that they felt comfortable with management policy and confident that concerns would be addressed effectively</w:t>
      </w:r>
      <w:r w:rsidR="009367D8" w:rsidRPr="00F92E21">
        <w:rPr>
          <w:rFonts w:cstheme="minorHAnsi"/>
        </w:rPr>
        <w:t>.</w:t>
      </w:r>
      <w:r w:rsidR="00E221BC" w:rsidRPr="00F92E21">
        <w:rPr>
          <w:rFonts w:cstheme="minorHAnsi"/>
        </w:rPr>
        <w:t xml:space="preserve"> </w:t>
      </w:r>
    </w:p>
    <w:p w14:paraId="5F85A235" w14:textId="2E842442" w:rsidR="00052874" w:rsidRPr="00F92E21" w:rsidRDefault="00052874" w:rsidP="00604F5E">
      <w:pPr>
        <w:tabs>
          <w:tab w:val="left" w:pos="5170"/>
        </w:tabs>
        <w:jc w:val="both"/>
        <w:rPr>
          <w:rFonts w:cstheme="minorHAnsi"/>
          <w:color w:val="FF0000"/>
        </w:rPr>
      </w:pPr>
      <w:r w:rsidRPr="00F92E21">
        <w:rPr>
          <w:rFonts w:cstheme="minorHAnsi"/>
        </w:rPr>
        <w:t>Sexual harassment, often dismissed as workplace "banter," can take many forms, which are addressed in a new, comprehensive guide. The guide examines the impact on victims and provides best practices to help eliminate sexual harassment in the workplace. Developed in close partnership with the LRA and fully supported by Women in Business, it was created after years of advocacy by the trade union movement and consultations with various staff groups</w:t>
      </w:r>
      <w:r w:rsidR="00481002">
        <w:rPr>
          <w:rFonts w:cstheme="minorHAnsi"/>
        </w:rPr>
        <w:t xml:space="preserve"> </w:t>
      </w:r>
      <w:r w:rsidR="00EF7F86">
        <w:rPr>
          <w:rFonts w:cstheme="minorHAnsi"/>
        </w:rPr>
        <w:t>(</w:t>
      </w:r>
      <w:r w:rsidR="00481002" w:rsidRPr="00481002">
        <w:rPr>
          <w:rFonts w:cstheme="minorHAnsi"/>
        </w:rPr>
        <w:t>Hersch, 2024</w:t>
      </w:r>
      <w:r w:rsidR="00EF7F86">
        <w:rPr>
          <w:rFonts w:cstheme="minorHAnsi"/>
        </w:rPr>
        <w:t>)</w:t>
      </w:r>
      <w:r w:rsidR="000043A4">
        <w:rPr>
          <w:rFonts w:cstheme="minorHAnsi"/>
        </w:rPr>
        <w:t>.</w:t>
      </w:r>
    </w:p>
    <w:p w14:paraId="24ACB594" w14:textId="41D6D5D7" w:rsidR="00052874" w:rsidRPr="00F92E21" w:rsidRDefault="00052874" w:rsidP="00604F5E">
      <w:pPr>
        <w:tabs>
          <w:tab w:val="left" w:pos="5170"/>
        </w:tabs>
        <w:jc w:val="both"/>
        <w:rPr>
          <w:rFonts w:cstheme="minorHAnsi"/>
        </w:rPr>
      </w:pPr>
      <w:r w:rsidRPr="00F92E21">
        <w:rPr>
          <w:rFonts w:cstheme="minorHAnsi"/>
        </w:rPr>
        <w:t xml:space="preserve">The new guidance also responds </w:t>
      </w:r>
      <w:r w:rsidRPr="002E3554">
        <w:rPr>
          <w:rFonts w:cstheme="minorHAnsi"/>
        </w:rPr>
        <w:t>to a 2016 Trades Union Congress (TUC) survey, which found that more than half of women had experienced some form of sexual harassment or violence at</w:t>
      </w:r>
      <w:r w:rsidRPr="00F92E21">
        <w:rPr>
          <w:rFonts w:cstheme="minorHAnsi"/>
        </w:rPr>
        <w:t xml:space="preserve"> work during their careers, with nearly 80% of those affected choosing not to report the incidents or seek support</w:t>
      </w:r>
      <w:r w:rsidR="00EB032A" w:rsidRPr="00F92E21">
        <w:rPr>
          <w:rFonts w:cstheme="minorHAnsi"/>
        </w:rPr>
        <w:t xml:space="preserve"> and this factor alone indicates the need for union representation in the workplace </w:t>
      </w:r>
      <w:r w:rsidR="00810419" w:rsidRPr="00F92E21">
        <w:rPr>
          <w:rFonts w:cstheme="minorHAnsi"/>
        </w:rPr>
        <w:t>to ensure legal compliance.</w:t>
      </w:r>
    </w:p>
    <w:p w14:paraId="10BEBEF1" w14:textId="75C09E73" w:rsidR="00052874" w:rsidRPr="00F92E21" w:rsidRDefault="00052874" w:rsidP="00604F5E">
      <w:pPr>
        <w:jc w:val="both"/>
        <w:rPr>
          <w:rFonts w:cstheme="minorHAnsi"/>
        </w:rPr>
      </w:pPr>
      <w:r w:rsidRPr="00F92E21">
        <w:rPr>
          <w:rFonts w:cstheme="minorHAnsi"/>
        </w:rPr>
        <w:t xml:space="preserve">As published on BBC News, A toxic culture of sexual assault, harassment, racism and bullying has been alleged by more than 100 current and recent UK staff at outlets of the fast-food chain McDonald's. </w:t>
      </w:r>
      <w:r w:rsidR="000043A4">
        <w:rPr>
          <w:rFonts w:cstheme="minorHAnsi"/>
        </w:rPr>
        <w:t>I</w:t>
      </w:r>
      <w:r w:rsidRPr="00F92E21">
        <w:rPr>
          <w:rFonts w:cstheme="minorHAnsi"/>
        </w:rPr>
        <w:t xml:space="preserve">n the report it </w:t>
      </w:r>
      <w:r w:rsidRPr="002E3554">
        <w:rPr>
          <w:rFonts w:cstheme="minorHAnsi"/>
        </w:rPr>
        <w:t>was outlined that McDonalds’ employees deserved to work in a safe, respectful and inclusive workplace</w:t>
      </w:r>
      <w:r w:rsidR="00810419" w:rsidRPr="002E3554">
        <w:rPr>
          <w:rFonts w:cstheme="minorHAnsi"/>
        </w:rPr>
        <w:t xml:space="preserve"> </w:t>
      </w:r>
      <w:r w:rsidR="00EC056C" w:rsidRPr="002E3554">
        <w:rPr>
          <w:rFonts w:cstheme="minorHAnsi"/>
        </w:rPr>
        <w:t>(Rosenfeld, 2024</w:t>
      </w:r>
      <w:r w:rsidR="00510561" w:rsidRPr="002E3554">
        <w:rPr>
          <w:rFonts w:cstheme="minorHAnsi"/>
        </w:rPr>
        <w:t xml:space="preserve">; </w:t>
      </w:r>
      <w:r w:rsidR="007F260D" w:rsidRPr="002E3554">
        <w:rPr>
          <w:rFonts w:cstheme="minorHAnsi"/>
        </w:rPr>
        <w:t>ACAS,</w:t>
      </w:r>
      <w:r w:rsidR="00432D69" w:rsidRPr="002E3554">
        <w:rPr>
          <w:rFonts w:cstheme="minorHAnsi"/>
        </w:rPr>
        <w:t xml:space="preserve"> 2024</w:t>
      </w:r>
      <w:r w:rsidR="001A475B" w:rsidRPr="002E3554">
        <w:rPr>
          <w:rFonts w:cstheme="minorHAnsi"/>
        </w:rPr>
        <w:t xml:space="preserve">; </w:t>
      </w:r>
      <w:hyperlink r:id="rId7" w:tgtFrame="_blank" w:history="1">
        <w:r w:rsidR="001A475B" w:rsidRPr="002E3554">
          <w:rPr>
            <w:rStyle w:val="Hyperlink"/>
            <w:rFonts w:cstheme="minorHAnsi"/>
            <w:color w:val="auto"/>
            <w:u w:val="none"/>
          </w:rPr>
          <w:t>Willness, and Lee. 2007)</w:t>
        </w:r>
      </w:hyperlink>
      <w:r w:rsidR="001A475B" w:rsidRPr="002E3554">
        <w:rPr>
          <w:rFonts w:cstheme="minorHAnsi"/>
        </w:rPr>
        <w:t>.</w:t>
      </w:r>
    </w:p>
    <w:p w14:paraId="00AFE4AB" w14:textId="12388D02" w:rsidR="00052874" w:rsidRPr="00F92E21" w:rsidRDefault="00052874" w:rsidP="00604F5E">
      <w:pPr>
        <w:jc w:val="both"/>
        <w:rPr>
          <w:rFonts w:cstheme="minorHAnsi"/>
        </w:rPr>
      </w:pPr>
      <w:r w:rsidRPr="00F92E21">
        <w:rPr>
          <w:rFonts w:cstheme="minorHAnsi"/>
        </w:rPr>
        <w:t xml:space="preserve">There are </w:t>
      </w:r>
      <w:r w:rsidR="007F260D" w:rsidRPr="00F92E21">
        <w:rPr>
          <w:rFonts w:cstheme="minorHAnsi"/>
        </w:rPr>
        <w:t>many</w:t>
      </w:r>
      <w:r w:rsidRPr="00F92E21">
        <w:rPr>
          <w:rFonts w:cstheme="minorHAnsi"/>
        </w:rPr>
        <w:t xml:space="preserve"> pros in the new changes, sexual harassment has been largely overlooked until the 1970s, sexual harassment in the workplace is now internationally condemned as a form of sex discrimination and a violation of human rights</w:t>
      </w:r>
      <w:r w:rsidR="003208E4">
        <w:rPr>
          <w:rFonts w:cstheme="minorHAnsi"/>
        </w:rPr>
        <w:t xml:space="preserve"> (</w:t>
      </w:r>
      <w:r w:rsidR="003208E4" w:rsidRPr="008B012D">
        <w:t>Lavi</w:t>
      </w:r>
      <w:r w:rsidR="003208E4">
        <w:t xml:space="preserve"> </w:t>
      </w:r>
      <w:r w:rsidR="003208E4" w:rsidRPr="008B012D">
        <w:t>and Alberstein, 2024</w:t>
      </w:r>
      <w:r w:rsidR="003208E4">
        <w:t>)</w:t>
      </w:r>
      <w:r w:rsidRPr="00F92E21">
        <w:rPr>
          <w:rFonts w:cstheme="minorHAnsi"/>
        </w:rPr>
        <w:t>. And the bans on confidential settlements show promise by incentivi</w:t>
      </w:r>
      <w:r w:rsidR="002C0CBA">
        <w:rPr>
          <w:rFonts w:cstheme="minorHAnsi"/>
        </w:rPr>
        <w:t>s</w:t>
      </w:r>
      <w:r w:rsidRPr="00F92E21">
        <w:rPr>
          <w:rFonts w:cstheme="minorHAnsi"/>
        </w:rPr>
        <w:t xml:space="preserve">ing firms to deter harassment </w:t>
      </w:r>
      <w:r w:rsidR="007F260D" w:rsidRPr="00F92E21">
        <w:rPr>
          <w:rFonts w:cstheme="minorHAnsi"/>
        </w:rPr>
        <w:t>to</w:t>
      </w:r>
      <w:r w:rsidRPr="00F92E21">
        <w:rPr>
          <w:rFonts w:cstheme="minorHAnsi"/>
        </w:rPr>
        <w:t xml:space="preserve"> avoid reputational damage</w:t>
      </w:r>
      <w:r w:rsidR="001472EF">
        <w:rPr>
          <w:rFonts w:cstheme="minorHAnsi"/>
        </w:rPr>
        <w:t xml:space="preserve"> </w:t>
      </w:r>
      <w:r w:rsidR="001472EF" w:rsidRPr="005F6D4A">
        <w:rPr>
          <w:rFonts w:cstheme="minorHAnsi"/>
        </w:rPr>
        <w:t>(</w:t>
      </w:r>
      <w:r w:rsidR="00F82B70" w:rsidRPr="005F6D4A">
        <w:t>Hersch, 2024).</w:t>
      </w:r>
    </w:p>
    <w:p w14:paraId="76E421AD" w14:textId="0AD4E0DF" w:rsidR="00052874" w:rsidRPr="00F92E21" w:rsidRDefault="007F260D" w:rsidP="00604F5E">
      <w:pPr>
        <w:jc w:val="both"/>
        <w:rPr>
          <w:rFonts w:cstheme="minorHAnsi"/>
        </w:rPr>
      </w:pPr>
      <w:r w:rsidRPr="00F92E21">
        <w:rPr>
          <w:rFonts w:cstheme="minorHAnsi"/>
        </w:rPr>
        <w:t>Sexual harassment</w:t>
      </w:r>
      <w:r w:rsidR="00052874" w:rsidRPr="00F92E21">
        <w:rPr>
          <w:rFonts w:cstheme="minorHAnsi"/>
        </w:rPr>
        <w:t xml:space="preserve"> is costly to workers and organisations. Yet it remains pervasive and underreported. Legislation and organisational policies have been insufficient to eradicate workplace sexual harassment. Success may require policies to enhance market and legal incentives by raising the costs to organizations of tolerating an adverse work environment. Promising measures include banning confidential settlements so that harassing firms and individuals risk reputational harm, raising caps on damages awards, denial of coverage by insurers of wilful illegal acts, and a complaints process that protects workers from retaliation</w:t>
      </w:r>
      <w:r w:rsidR="009B1A62" w:rsidRPr="00F92E21">
        <w:rPr>
          <w:rFonts w:cstheme="minorHAnsi"/>
        </w:rPr>
        <w:t xml:space="preserve"> </w:t>
      </w:r>
      <w:r w:rsidR="007D1C86" w:rsidRPr="00F92E21">
        <w:rPr>
          <w:rFonts w:cstheme="minorHAnsi"/>
        </w:rPr>
        <w:t>(Mohammed</w:t>
      </w:r>
      <w:r w:rsidR="00052874" w:rsidRPr="00F92E21">
        <w:rPr>
          <w:rFonts w:cstheme="minorHAnsi"/>
        </w:rPr>
        <w:t>, Ansah and Apaak</w:t>
      </w:r>
      <w:r w:rsidR="009B1A62" w:rsidRPr="00F92E21">
        <w:rPr>
          <w:rFonts w:cstheme="minorHAnsi"/>
        </w:rPr>
        <w:t xml:space="preserve">, </w:t>
      </w:r>
      <w:r w:rsidR="00052874" w:rsidRPr="00F92E21">
        <w:rPr>
          <w:rFonts w:cstheme="minorHAnsi"/>
        </w:rPr>
        <w:t>2023).</w:t>
      </w:r>
    </w:p>
    <w:p w14:paraId="209FF742" w14:textId="757C2150" w:rsidR="00052874" w:rsidRPr="00F92E21" w:rsidRDefault="00052874" w:rsidP="00604F5E">
      <w:pPr>
        <w:jc w:val="both"/>
        <w:rPr>
          <w:rFonts w:cstheme="minorHAnsi"/>
        </w:rPr>
      </w:pPr>
      <w:r w:rsidRPr="00F92E21">
        <w:rPr>
          <w:rFonts w:cstheme="minorHAnsi"/>
        </w:rPr>
        <w:t xml:space="preserve">As changes in sexual harassment legislation come into effect, organisations must take proactive measures to ensure compliance and foster a safe, respectful workplace. While some may assume their workplace is free of issues, this can be misleading. Employees often fail to report harassment due to </w:t>
      </w:r>
      <w:r w:rsidRPr="00F92E21">
        <w:rPr>
          <w:rFonts w:cstheme="minorHAnsi"/>
        </w:rPr>
        <w:lastRenderedPageBreak/>
        <w:t xml:space="preserve">fear of retaliation, lack of awareness, or unclear reporting mechanisms like identified in </w:t>
      </w:r>
      <w:r w:rsidR="009B1A62" w:rsidRPr="00F92E21">
        <w:rPr>
          <w:rFonts w:cstheme="minorHAnsi"/>
        </w:rPr>
        <w:t xml:space="preserve">the </w:t>
      </w:r>
      <w:r w:rsidRPr="008878E9">
        <w:rPr>
          <w:rFonts w:cstheme="minorHAnsi"/>
        </w:rPr>
        <w:t>McDonald</w:t>
      </w:r>
      <w:r w:rsidR="002368CD" w:rsidRPr="008878E9">
        <w:rPr>
          <w:rFonts w:cstheme="minorHAnsi"/>
        </w:rPr>
        <w:t xml:space="preserve">’s case </w:t>
      </w:r>
      <w:r w:rsidRPr="008878E9">
        <w:rPr>
          <w:rFonts w:cstheme="minorHAnsi"/>
        </w:rPr>
        <w:t>(2011)</w:t>
      </w:r>
      <w:r w:rsidR="00F56314" w:rsidRPr="008878E9">
        <w:rPr>
          <w:rFonts w:cstheme="minorHAnsi"/>
        </w:rPr>
        <w:t>.</w:t>
      </w:r>
      <w:r w:rsidRPr="008878E9">
        <w:rPr>
          <w:rFonts w:cstheme="minorHAnsi"/>
        </w:rPr>
        <w:t xml:space="preserve"> Addressing these gaps is essential to mitigate legal risks and protect workplace morale </w:t>
      </w:r>
      <w:r w:rsidR="002368CD" w:rsidRPr="008878E9">
        <w:rPr>
          <w:rFonts w:cstheme="minorHAnsi"/>
        </w:rPr>
        <w:t>(</w:t>
      </w:r>
      <w:r w:rsidRPr="008878E9">
        <w:rPr>
          <w:rFonts w:cstheme="minorHAnsi"/>
        </w:rPr>
        <w:t xml:space="preserve">Solotoff and </w:t>
      </w:r>
      <w:r w:rsidRPr="005F6D4A">
        <w:rPr>
          <w:rFonts w:cstheme="minorHAnsi"/>
        </w:rPr>
        <w:t>Kramer</w:t>
      </w:r>
      <w:r w:rsidR="002368CD" w:rsidRPr="005F6D4A">
        <w:rPr>
          <w:rFonts w:cstheme="minorHAnsi"/>
        </w:rPr>
        <w:t xml:space="preserve">, </w:t>
      </w:r>
      <w:r w:rsidRPr="005F6D4A">
        <w:rPr>
          <w:rFonts w:cstheme="minorHAnsi"/>
        </w:rPr>
        <w:t>2024).</w:t>
      </w:r>
    </w:p>
    <w:p w14:paraId="33DD5587" w14:textId="47E3B4A8" w:rsidR="00052874" w:rsidRPr="00F92E21" w:rsidRDefault="00052874" w:rsidP="00604F5E">
      <w:pPr>
        <w:jc w:val="both"/>
        <w:rPr>
          <w:rFonts w:cstheme="minorHAnsi"/>
        </w:rPr>
      </w:pPr>
      <w:r w:rsidRPr="00F92E21">
        <w:rPr>
          <w:rFonts w:cstheme="minorHAnsi"/>
        </w:rPr>
        <w:t xml:space="preserve">Key actions include educating line managers to recognise and address concerns, providing all employees with training on the updated legislation, and establishing clear and accessible reporting structures. These measures not only ensure compliance but also build trust, improve morale, and enhance the organisation's reputation. Taking proactive steps demonstrates a commitment to creating an inclusive and respectful work environment while minimising potential legal and reputational risks </w:t>
      </w:r>
      <w:r w:rsidR="002368CD" w:rsidRPr="00F92E21">
        <w:rPr>
          <w:rFonts w:cstheme="minorHAnsi"/>
        </w:rPr>
        <w:t>(</w:t>
      </w:r>
      <w:r w:rsidRPr="00F92E21">
        <w:rPr>
          <w:rFonts w:cstheme="minorHAnsi"/>
        </w:rPr>
        <w:t>Supriyadi, Rahmi and Fahrudin</w:t>
      </w:r>
      <w:r w:rsidR="002368CD" w:rsidRPr="00F92E21">
        <w:rPr>
          <w:rFonts w:cstheme="minorHAnsi"/>
        </w:rPr>
        <w:t xml:space="preserve">, </w:t>
      </w:r>
      <w:r w:rsidRPr="00F92E21">
        <w:rPr>
          <w:rFonts w:cstheme="minorHAnsi"/>
        </w:rPr>
        <w:t xml:space="preserve">2024). </w:t>
      </w:r>
    </w:p>
    <w:p w14:paraId="4D26D882" w14:textId="77777777" w:rsidR="00052874" w:rsidRPr="00F92E21" w:rsidRDefault="00052874" w:rsidP="00604F5E">
      <w:pPr>
        <w:jc w:val="both"/>
        <w:rPr>
          <w:rFonts w:cstheme="minorHAnsi"/>
        </w:rPr>
      </w:pPr>
      <w:r w:rsidRPr="00F92E21">
        <w:rPr>
          <w:rFonts w:cstheme="minorHAnsi"/>
        </w:rPr>
        <w:t>Studies emphasise the significance of addressing power differentials and the role of silence in perpetuating harassment (Medeiros &amp; Griffith, 2019). Furthermore, interventions should consider the emotional and mental well-being of individuals affected by sexual harassment, given the psychological distress experienced by victims (Smidt et al., 2023).</w:t>
      </w:r>
    </w:p>
    <w:p w14:paraId="664CE378" w14:textId="3DCA9F1D" w:rsidR="00052874" w:rsidRPr="00F92E21" w:rsidRDefault="00052874" w:rsidP="00604F5E">
      <w:pPr>
        <w:jc w:val="both"/>
        <w:rPr>
          <w:rFonts w:cstheme="minorHAnsi"/>
          <w:color w:val="FF0000"/>
        </w:rPr>
      </w:pPr>
      <w:r w:rsidRPr="00F92E21">
        <w:rPr>
          <w:rFonts w:cstheme="minorHAnsi"/>
        </w:rPr>
        <w:t xml:space="preserve">Proactively addressing these issues not only ensures compliance but also demonstrates the organisation’s commitment to ethical practices.  Additional benefits include many key </w:t>
      </w:r>
      <w:r w:rsidR="00F82B70" w:rsidRPr="00F92E21">
        <w:rPr>
          <w:rFonts w:cstheme="minorHAnsi"/>
        </w:rPr>
        <w:t>considerations</w:t>
      </w:r>
      <w:r w:rsidRPr="00F92E21">
        <w:rPr>
          <w:rFonts w:cstheme="minorHAnsi"/>
        </w:rPr>
        <w:t xml:space="preserve"> such as the enhanced employee rust and moral. And a workplace culture rooted in respect and accountability strengthens the organisations brands image. A clear compliance framework reduces the likelihood of legal disputes. A workplace culture rooted in respect and accountability strengthens the organisation’s brand </w:t>
      </w:r>
      <w:r w:rsidRPr="005F6D4A">
        <w:rPr>
          <w:rFonts w:cstheme="minorHAnsi"/>
        </w:rPr>
        <w:t>image</w:t>
      </w:r>
      <w:r w:rsidR="00D56F83" w:rsidRPr="005F6D4A">
        <w:rPr>
          <w:rFonts w:cstheme="minorHAnsi"/>
        </w:rPr>
        <w:t xml:space="preserve"> </w:t>
      </w:r>
      <w:r w:rsidR="007A219B" w:rsidRPr="005F6D4A">
        <w:rPr>
          <w:rFonts w:cstheme="minorHAnsi"/>
        </w:rPr>
        <w:t>(</w:t>
      </w:r>
      <w:r w:rsidR="00D56F83" w:rsidRPr="005F6D4A">
        <w:t>Gupta and Gupta,</w:t>
      </w:r>
      <w:r w:rsidR="007A219B" w:rsidRPr="005F6D4A">
        <w:t xml:space="preserve"> </w:t>
      </w:r>
      <w:r w:rsidR="00D56F83" w:rsidRPr="005F6D4A">
        <w:t>2021).</w:t>
      </w:r>
    </w:p>
    <w:p w14:paraId="445980A9" w14:textId="2E0EFECD" w:rsidR="002C4F63" w:rsidRPr="002C4F63" w:rsidRDefault="002C4F63" w:rsidP="002C4F63">
      <w:pPr>
        <w:jc w:val="both"/>
        <w:rPr>
          <w:rFonts w:cstheme="minorHAnsi"/>
          <w:color w:val="4472C4" w:themeColor="accent1"/>
        </w:rPr>
      </w:pPr>
      <w:r w:rsidRPr="00575737">
        <w:rPr>
          <w:rFonts w:cstheme="minorHAnsi"/>
        </w:rPr>
        <w:t>Khan, Bibi, Khan, and Ahmad (2023) highlight that the prevalence and forms of sexual violence during war differ across conflicts, with ethnic wars often experiencing widespread abuses such as sexual slavery and detention-related torture. The International Criminal Tribunal for the Former Yugoslavia (ICTY) has been instrumental in addressing such atrocities, prosecuting sexual violence as a war crime, a crime against humanity, and an act of genocide since the mid-1990s. These legal developments underscore the need for organi</w:t>
      </w:r>
      <w:r w:rsidR="00AE630F" w:rsidRPr="00575737">
        <w:rPr>
          <w:rFonts w:cstheme="minorHAnsi"/>
        </w:rPr>
        <w:t>s</w:t>
      </w:r>
      <w:r w:rsidRPr="00575737">
        <w:rPr>
          <w:rFonts w:cstheme="minorHAnsi"/>
        </w:rPr>
        <w:t>ations to recogni</w:t>
      </w:r>
      <w:r w:rsidR="00AE630F" w:rsidRPr="00575737">
        <w:rPr>
          <w:rFonts w:cstheme="minorHAnsi"/>
        </w:rPr>
        <w:t>s</w:t>
      </w:r>
      <w:r w:rsidRPr="00575737">
        <w:rPr>
          <w:rFonts w:cstheme="minorHAnsi"/>
        </w:rPr>
        <w:t xml:space="preserve">e and mitigate the risks faced by their workforce in conflict zones. For instance, businesses operating in Ukraine during the Russian invasion had to confront heightened risks of harassment and exploitation among employees, particularly women </w:t>
      </w:r>
      <w:r w:rsidR="00575737" w:rsidRPr="00575737">
        <w:rPr>
          <w:rFonts w:cstheme="minorHAnsi"/>
        </w:rPr>
        <w:t>(</w:t>
      </w:r>
      <w:r w:rsidRPr="00575737">
        <w:rPr>
          <w:rFonts w:cstheme="minorHAnsi"/>
        </w:rPr>
        <w:t>Perunova</w:t>
      </w:r>
      <w:r w:rsidR="00575737" w:rsidRPr="00575737">
        <w:rPr>
          <w:rFonts w:cstheme="minorHAnsi"/>
        </w:rPr>
        <w:t xml:space="preserve">, </w:t>
      </w:r>
      <w:r w:rsidRPr="00575737">
        <w:rPr>
          <w:rFonts w:cstheme="minorHAnsi"/>
        </w:rPr>
        <w:t>2024). Effective responses included implementing workforce protection measures, collaboration with humanitarian groups, and adherence to international human rights standards, demonstrating how theoretical recognition of sexual violence informs practical strategies in conflict-affected industries</w:t>
      </w:r>
      <w:r w:rsidRPr="002C4F63">
        <w:rPr>
          <w:rFonts w:cstheme="minorHAnsi"/>
          <w:color w:val="4472C4" w:themeColor="accent1"/>
        </w:rPr>
        <w:t>.</w:t>
      </w:r>
    </w:p>
    <w:p w14:paraId="09C367BE" w14:textId="52E367FD" w:rsidR="00052874" w:rsidRPr="00F92E21" w:rsidRDefault="00052874" w:rsidP="00604F5E">
      <w:pPr>
        <w:jc w:val="both"/>
        <w:rPr>
          <w:rFonts w:cstheme="minorHAnsi"/>
        </w:rPr>
      </w:pPr>
      <w:r w:rsidRPr="00F92E21">
        <w:rPr>
          <w:rFonts w:cstheme="minorHAnsi"/>
          <w:b/>
          <w:bCs/>
        </w:rPr>
        <w:t>Conclusion</w:t>
      </w:r>
      <w:r w:rsidRPr="00F92E21">
        <w:rPr>
          <w:rFonts w:cstheme="minorHAnsi"/>
        </w:rPr>
        <w:t xml:space="preserve"> </w:t>
      </w:r>
    </w:p>
    <w:p w14:paraId="286F8BF6" w14:textId="611EA5C7" w:rsidR="00052874" w:rsidRDefault="00052874" w:rsidP="00604F5E">
      <w:pPr>
        <w:jc w:val="both"/>
        <w:rPr>
          <w:rFonts w:cstheme="minorHAnsi"/>
        </w:rPr>
      </w:pPr>
      <w:r w:rsidRPr="00F92E21">
        <w:rPr>
          <w:rFonts w:cstheme="minorHAnsi"/>
        </w:rPr>
        <w:t>In review of the PESTLE factor, there are numerous examples of external opportunities and risks that will affect the organisations success</w:t>
      </w:r>
      <w:r w:rsidR="00187395" w:rsidRPr="00F92E21">
        <w:rPr>
          <w:rFonts w:cstheme="minorHAnsi"/>
        </w:rPr>
        <w:t>.</w:t>
      </w:r>
      <w:r w:rsidRPr="00F92E21">
        <w:rPr>
          <w:rFonts w:cstheme="minorHAnsi"/>
        </w:rPr>
        <w:t xml:space="preserve"> Addressing labour challenges, regulatory changes, and workplace culture is essential for ensuring the sustainability, growth, and integrity of our organisation. The evolving labour market, characterised by skill shortages, demographic shifts, and an aging workforce, requires proactive strategies such as implementing apprenticeship programs, fostering continuous upskilling, and building strong relationships with educational institutions. These efforts will enable us to cultivate talent internally, address skill gaps, and encourage workforce retention in the local community. By focusing on development and innovation, opportunities that align with long-term organisational goals while contributing to the broader socio-economic stability of our region</w:t>
      </w:r>
      <w:r w:rsidR="001B0973" w:rsidRPr="00F92E21">
        <w:rPr>
          <w:rFonts w:cstheme="minorHAnsi"/>
        </w:rPr>
        <w:t xml:space="preserve"> can be created.</w:t>
      </w:r>
    </w:p>
    <w:p w14:paraId="01E8DCBD" w14:textId="0CE4DAE8" w:rsidR="00187395" w:rsidRPr="00F92E21" w:rsidRDefault="00187395" w:rsidP="00187395">
      <w:pPr>
        <w:jc w:val="both"/>
        <w:rPr>
          <w:rFonts w:cstheme="minorHAnsi"/>
        </w:rPr>
      </w:pPr>
      <w:r w:rsidRPr="00F92E21">
        <w:rPr>
          <w:rFonts w:cstheme="minorHAnsi"/>
        </w:rPr>
        <w:t xml:space="preserve">Addressing the challenges associated with a declining and aging population requires innovative strategies such as apprenticeship programs, partnerships with educational institutions, and robust HR </w:t>
      </w:r>
      <w:r w:rsidRPr="00F92E21">
        <w:rPr>
          <w:rFonts w:cstheme="minorHAnsi"/>
        </w:rPr>
        <w:lastRenderedPageBreak/>
        <w:t xml:space="preserve">initiatives. By investing in skill development and fostering an inclusive, future-focused workplace culture, the organisation can mitigate the impact of social and demographic changes while securing long-term growth and success. </w:t>
      </w:r>
    </w:p>
    <w:p w14:paraId="5A592F16" w14:textId="2A6C3A35" w:rsidR="00052874" w:rsidRPr="00F92E21" w:rsidRDefault="00052874" w:rsidP="00604F5E">
      <w:pPr>
        <w:jc w:val="both"/>
        <w:rPr>
          <w:rFonts w:cstheme="minorHAnsi"/>
        </w:rPr>
      </w:pPr>
      <w:r w:rsidRPr="00F92E21">
        <w:rPr>
          <w:rFonts w:cstheme="minorHAnsi"/>
        </w:rPr>
        <w:t xml:space="preserve">Simultaneously, </w:t>
      </w:r>
      <w:r w:rsidR="00AE630F" w:rsidRPr="00575737">
        <w:rPr>
          <w:rFonts w:cstheme="minorHAnsi"/>
        </w:rPr>
        <w:t xml:space="preserve">The Employment Rights Bill, </w:t>
      </w:r>
      <w:r w:rsidR="00575737">
        <w:rPr>
          <w:rFonts w:cstheme="minorHAnsi"/>
        </w:rPr>
        <w:t>(</w:t>
      </w:r>
      <w:r w:rsidR="00AE630F" w:rsidRPr="00575737">
        <w:rPr>
          <w:rFonts w:cstheme="minorHAnsi"/>
        </w:rPr>
        <w:t>CIPD 2024</w:t>
      </w:r>
      <w:r w:rsidR="00EB38B0" w:rsidRPr="00575737">
        <w:rPr>
          <w:rFonts w:cstheme="minorHAnsi"/>
        </w:rPr>
        <w:t xml:space="preserve">) </w:t>
      </w:r>
      <w:r w:rsidRPr="00F92E21">
        <w:rPr>
          <w:rFonts w:cstheme="minorHAnsi"/>
        </w:rPr>
        <w:t>highlights the growing importance of trade unions in shaping fair and inclusive workplace practices. Recognising trade unions and fostering collaborative relationships can lead to smoother transitions during workplace changes, reduced conflicts, and stronger employee morale. Historical evidence, including cases from industries like automotive manufacturing, underscores the advantages of collective bargaining agreements, which promote stability and mutual benefit. By engaging with trade unions regulatory compliance</w:t>
      </w:r>
      <w:r w:rsidR="001B0973" w:rsidRPr="00F92E21">
        <w:rPr>
          <w:rFonts w:cstheme="minorHAnsi"/>
        </w:rPr>
        <w:t xml:space="preserve"> can be navigated effectively</w:t>
      </w:r>
      <w:r w:rsidRPr="00F92E21">
        <w:rPr>
          <w:rFonts w:cstheme="minorHAnsi"/>
        </w:rPr>
        <w:t>, enhanc</w:t>
      </w:r>
      <w:r w:rsidR="001B0973" w:rsidRPr="00F92E21">
        <w:rPr>
          <w:rFonts w:cstheme="minorHAnsi"/>
        </w:rPr>
        <w:t>ing</w:t>
      </w:r>
      <w:r w:rsidRPr="00F92E21">
        <w:rPr>
          <w:rFonts w:cstheme="minorHAnsi"/>
        </w:rPr>
        <w:t xml:space="preserve"> trust and transparency, and demonstrate a commitment to </w:t>
      </w:r>
      <w:r w:rsidR="001B0973" w:rsidRPr="00F92E21">
        <w:rPr>
          <w:rFonts w:cstheme="minorHAnsi"/>
        </w:rPr>
        <w:t xml:space="preserve">the </w:t>
      </w:r>
      <w:r w:rsidRPr="00F92E21">
        <w:rPr>
          <w:rFonts w:cstheme="minorHAnsi"/>
        </w:rPr>
        <w:t>workforce.</w:t>
      </w:r>
    </w:p>
    <w:p w14:paraId="2A704D37" w14:textId="10D41B38" w:rsidR="00052874" w:rsidRPr="00F92E21" w:rsidRDefault="00052874" w:rsidP="00604F5E">
      <w:pPr>
        <w:jc w:val="both"/>
        <w:rPr>
          <w:rFonts w:cstheme="minorHAnsi"/>
        </w:rPr>
      </w:pPr>
      <w:r w:rsidRPr="00F92E21">
        <w:rPr>
          <w:rFonts w:cstheme="minorHAnsi"/>
        </w:rPr>
        <w:t>Additionally, addressing changes in sexual harassment legislation is not merely a legal obligation but an opportunity for organizations to demonstrate leadership and commitment to their workforce. By training line managers, educating staff, and enhancing reporting mechanisms, organisations can proactively mitigate risks and foster a safe, inclusive, and respectful workplace for all employees. This not only ensures compliance but also strengthens the organi</w:t>
      </w:r>
      <w:r w:rsidR="001B0973" w:rsidRPr="00F92E21">
        <w:rPr>
          <w:rFonts w:cstheme="minorHAnsi"/>
        </w:rPr>
        <w:t>s</w:t>
      </w:r>
      <w:r w:rsidRPr="00F92E21">
        <w:rPr>
          <w:rFonts w:cstheme="minorHAnsi"/>
        </w:rPr>
        <w:t>ational culture, reinforcing trust and respect across all levels of the workforce.</w:t>
      </w:r>
    </w:p>
    <w:p w14:paraId="314EF1E0" w14:textId="7AE8B408" w:rsidR="00052874" w:rsidRPr="00F92E21" w:rsidRDefault="00052874" w:rsidP="00604F5E">
      <w:pPr>
        <w:jc w:val="both"/>
        <w:rPr>
          <w:rFonts w:cstheme="minorHAnsi"/>
        </w:rPr>
      </w:pPr>
      <w:r w:rsidRPr="00F92E21">
        <w:rPr>
          <w:rFonts w:cstheme="minorHAnsi"/>
          <w:b/>
          <w:bCs/>
        </w:rPr>
        <w:t>Recommendations:</w:t>
      </w:r>
      <w:r w:rsidRPr="00F92E21">
        <w:rPr>
          <w:rFonts w:cstheme="minorHAnsi"/>
        </w:rPr>
        <w:br/>
        <w:t xml:space="preserve">To remain effective and successful, our organisation must embed HRM as a strategic partner in achieving business objectives. The report </w:t>
      </w:r>
      <w:r w:rsidR="00994B9F" w:rsidRPr="00F92E21">
        <w:rPr>
          <w:rFonts w:cstheme="minorHAnsi"/>
        </w:rPr>
        <w:t xml:space="preserve">has </w:t>
      </w:r>
      <w:r w:rsidRPr="00F92E21">
        <w:rPr>
          <w:rFonts w:cstheme="minorHAnsi"/>
        </w:rPr>
        <w:t>identified opportunities from the PESTLE factor that could allow us as a business to be more proactive on certain opportunities, this involves not only addressing current challenges but also anticipating future needs. By using tools like workforce planning, employee engagement metrics, and external trend analysis, we can create a resilient and adaptable organization. The HRM function will play a central role in sustaining a culture of innovation, inclusivity, and collaboration, ensuring the business remains competitive in a rapidly evolving company environment.</w:t>
      </w:r>
    </w:p>
    <w:p w14:paraId="3CA1EF5F" w14:textId="529EE3C5" w:rsidR="00052874" w:rsidRPr="00F92E21" w:rsidRDefault="00052874" w:rsidP="00604F5E">
      <w:pPr>
        <w:pStyle w:val="NormalWeb"/>
        <w:jc w:val="both"/>
        <w:rPr>
          <w:rFonts w:asciiTheme="minorHAnsi" w:hAnsiTheme="minorHAnsi" w:cstheme="minorHAnsi"/>
          <w:sz w:val="22"/>
          <w:szCs w:val="22"/>
        </w:rPr>
      </w:pPr>
      <w:r w:rsidRPr="00F92E21">
        <w:rPr>
          <w:rFonts w:asciiTheme="minorHAnsi" w:hAnsiTheme="minorHAnsi" w:cstheme="minorHAnsi"/>
          <w:sz w:val="22"/>
          <w:szCs w:val="22"/>
        </w:rPr>
        <w:t>Engaging all stakeholders</w:t>
      </w:r>
      <w:r w:rsidR="00182918">
        <w:rPr>
          <w:rFonts w:asciiTheme="minorHAnsi" w:hAnsiTheme="minorHAnsi" w:cstheme="minorHAnsi"/>
          <w:sz w:val="22"/>
          <w:szCs w:val="22"/>
        </w:rPr>
        <w:t xml:space="preserve">, </w:t>
      </w:r>
      <w:r w:rsidRPr="00F92E21">
        <w:rPr>
          <w:rFonts w:asciiTheme="minorHAnsi" w:hAnsiTheme="minorHAnsi" w:cstheme="minorHAnsi"/>
          <w:sz w:val="22"/>
          <w:szCs w:val="22"/>
        </w:rPr>
        <w:t>employees, trade unions, educational partners, and leadership</w:t>
      </w:r>
      <w:r w:rsidR="00182918">
        <w:rPr>
          <w:rFonts w:asciiTheme="minorHAnsi" w:hAnsiTheme="minorHAnsi" w:cstheme="minorHAnsi"/>
          <w:sz w:val="22"/>
          <w:szCs w:val="22"/>
        </w:rPr>
        <w:t xml:space="preserve"> </w:t>
      </w:r>
      <w:r w:rsidRPr="00F92E21">
        <w:rPr>
          <w:rFonts w:asciiTheme="minorHAnsi" w:hAnsiTheme="minorHAnsi" w:cstheme="minorHAnsi"/>
          <w:sz w:val="22"/>
          <w:szCs w:val="22"/>
        </w:rPr>
        <w:t>is key to fostering alignment and collective commitment to these goals. A robust and forward-looking HRM strategy will enable the business to navigate challenges effectively, strengthen its workforce, and build a sustainable future.</w:t>
      </w:r>
    </w:p>
    <w:p w14:paraId="2B68F6EA" w14:textId="331B6B06" w:rsidR="00052874" w:rsidRPr="00F92E21" w:rsidRDefault="00052874" w:rsidP="00604F5E">
      <w:pPr>
        <w:jc w:val="both"/>
        <w:rPr>
          <w:rFonts w:cstheme="minorHAnsi"/>
        </w:rPr>
      </w:pPr>
      <w:r w:rsidRPr="00F92E21">
        <w:rPr>
          <w:rFonts w:cstheme="minorHAnsi"/>
        </w:rPr>
        <w:t xml:space="preserve">Integrating these strategies will position our organisation to address both immediate and long-term challenges. From skill development and labour relations to workplace safety and inclusivity, adopting a comprehensive approach will create a resilient, motivated workforce. This dual focus will drive productivity, reduce absenteeism, and improve retention, ultimately strengthening our competitive edge in the dynamic </w:t>
      </w:r>
      <w:r w:rsidR="005151D0" w:rsidRPr="00F92E21">
        <w:rPr>
          <w:rFonts w:cstheme="minorHAnsi"/>
        </w:rPr>
        <w:t>labour</w:t>
      </w:r>
      <w:r w:rsidRPr="00F92E21">
        <w:rPr>
          <w:rFonts w:cstheme="minorHAnsi"/>
        </w:rPr>
        <w:t xml:space="preserve"> market. By investing in our employees, fostering collaboration, and prioriti</w:t>
      </w:r>
      <w:r w:rsidR="00A876FF">
        <w:rPr>
          <w:rFonts w:cstheme="minorHAnsi"/>
        </w:rPr>
        <w:t>s</w:t>
      </w:r>
      <w:r w:rsidRPr="00F92E21">
        <w:rPr>
          <w:rFonts w:cstheme="minorHAnsi"/>
        </w:rPr>
        <w:t>ing respect and safety, we can ensure sustainable success for our organi</w:t>
      </w:r>
      <w:r w:rsidR="00A876FF">
        <w:rPr>
          <w:rFonts w:cstheme="minorHAnsi"/>
        </w:rPr>
        <w:t>s</w:t>
      </w:r>
      <w:r w:rsidRPr="00F92E21">
        <w:rPr>
          <w:rFonts w:cstheme="minorHAnsi"/>
        </w:rPr>
        <w:t>ation and the communities we serve.</w:t>
      </w:r>
    </w:p>
    <w:p w14:paraId="74D53BF5" w14:textId="49D7489E" w:rsidR="00052874" w:rsidRDefault="00052874" w:rsidP="00604F5E">
      <w:pPr>
        <w:jc w:val="both"/>
        <w:rPr>
          <w:rFonts w:cstheme="minorHAnsi"/>
        </w:rPr>
      </w:pPr>
      <w:r w:rsidRPr="00F92E21">
        <w:rPr>
          <w:rFonts w:cstheme="minorHAnsi"/>
        </w:rPr>
        <w:t>Moreover, the issue of workplace inclusivity and safety, particularly concerning sexual harassment legislation, underscores the importance of creating an environment that is safe and respectful for all employees. Strengthening training for managers, educating staff, and improving reporting mechanisms are essential steps to mitigate risks and uphold a positive workplace culture.</w:t>
      </w:r>
    </w:p>
    <w:p w14:paraId="03C89D87" w14:textId="77777777" w:rsidR="005C03FD" w:rsidRDefault="005C03FD" w:rsidP="00604F5E">
      <w:pPr>
        <w:jc w:val="both"/>
        <w:rPr>
          <w:rFonts w:cstheme="minorHAnsi"/>
        </w:rPr>
      </w:pPr>
    </w:p>
    <w:p w14:paraId="11D4CE32" w14:textId="77777777" w:rsidR="004C62A3" w:rsidRDefault="004C62A3" w:rsidP="000C2621">
      <w:pPr>
        <w:tabs>
          <w:tab w:val="left" w:pos="2080"/>
          <w:tab w:val="center" w:pos="4513"/>
          <w:tab w:val="left" w:pos="6290"/>
        </w:tabs>
        <w:rPr>
          <w:rFonts w:cstheme="minorHAnsi"/>
        </w:rPr>
      </w:pPr>
    </w:p>
    <w:p w14:paraId="11C8CD56" w14:textId="6120CFD8" w:rsidR="000C2621" w:rsidRPr="009418EE" w:rsidRDefault="000C2621" w:rsidP="000C2621">
      <w:pPr>
        <w:tabs>
          <w:tab w:val="left" w:pos="2080"/>
          <w:tab w:val="center" w:pos="4513"/>
          <w:tab w:val="left" w:pos="6290"/>
        </w:tabs>
        <w:rPr>
          <w:rFonts w:cstheme="minorHAnsi"/>
          <w:sz w:val="40"/>
          <w:szCs w:val="40"/>
        </w:rPr>
      </w:pPr>
      <w:r w:rsidRPr="009418EE">
        <w:rPr>
          <w:rFonts w:cstheme="minorHAnsi"/>
          <w:sz w:val="40"/>
          <w:szCs w:val="40"/>
        </w:rPr>
        <w:lastRenderedPageBreak/>
        <w:t>Task 2</w:t>
      </w:r>
    </w:p>
    <w:p w14:paraId="1E2BE3DC" w14:textId="78B690EA"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Infographics are powerful tools</w:t>
      </w:r>
      <w:r>
        <w:rPr>
          <w:rFonts w:cstheme="minorHAnsi"/>
        </w:rPr>
        <w:t xml:space="preserve"> typically used </w:t>
      </w:r>
      <w:r w:rsidR="00110564">
        <w:rPr>
          <w:rFonts w:cstheme="minorHAnsi"/>
        </w:rPr>
        <w:t>to visually communicate</w:t>
      </w:r>
      <w:r w:rsidRPr="00614138">
        <w:rPr>
          <w:rFonts w:cstheme="minorHAnsi"/>
        </w:rPr>
        <w:t>, transforming complex data into visually engaging and easily understandable formats. By integrating visuals like charts, icons, and concise text, infographics highlight essential points and enhance comprehension, fostering quicker decision-making. These tools are particularly useful for presentations, reports, and training sessions, as they create a shared visual reference that boosts collaboration. Diverse teams can better align on objectives and outcomes when key information is presented visually, making infographics indispensable in modern business communication (Jaleniauskiene &amp; Kasperiuniene, 2023).</w:t>
      </w:r>
    </w:p>
    <w:p w14:paraId="14D11ECE" w14:textId="4C5F1342"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Using frameworks like PESTLE to analyse organisational factors is a structured way to assess external influences, including environmental and technological changes. This report focuses on two PESTLE factors</w:t>
      </w:r>
      <w:r>
        <w:rPr>
          <w:rFonts w:cstheme="minorHAnsi"/>
        </w:rPr>
        <w:t xml:space="preserve"> </w:t>
      </w:r>
      <w:r w:rsidRPr="00614138">
        <w:rPr>
          <w:rFonts w:cstheme="minorHAnsi"/>
        </w:rPr>
        <w:t>environmental and technological</w:t>
      </w:r>
      <w:r>
        <w:rPr>
          <w:rFonts w:cstheme="minorHAnsi"/>
        </w:rPr>
        <w:t xml:space="preserve"> </w:t>
      </w:r>
      <w:r w:rsidRPr="00614138">
        <w:rPr>
          <w:rFonts w:cstheme="minorHAnsi"/>
        </w:rPr>
        <w:t xml:space="preserve">and examines how they influence organisational strategy. Additionally, it explores how </w:t>
      </w:r>
      <w:r>
        <w:rPr>
          <w:rFonts w:cstheme="minorHAnsi"/>
        </w:rPr>
        <w:t>business</w:t>
      </w:r>
      <w:r w:rsidRPr="00614138">
        <w:rPr>
          <w:rFonts w:cstheme="minorHAnsi"/>
        </w:rPr>
        <w:t xml:space="preserve"> adapts to these changes and uses infographics to visually communicate strategies effectively</w:t>
      </w:r>
      <w:r w:rsidR="00110564">
        <w:rPr>
          <w:rFonts w:cstheme="minorHAnsi"/>
        </w:rPr>
        <w:t xml:space="preserve"> </w:t>
      </w:r>
      <w:r w:rsidR="00110564" w:rsidRPr="00F92E21">
        <w:rPr>
          <w:rFonts w:cstheme="minorHAnsi"/>
        </w:rPr>
        <w:t>(Tatjana,2024).</w:t>
      </w:r>
      <w:r w:rsidR="00110564">
        <w:rPr>
          <w:rFonts w:cstheme="minorHAnsi"/>
        </w:rPr>
        <w:t xml:space="preserve"> </w:t>
      </w:r>
    </w:p>
    <w:p w14:paraId="0F540236"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Environmental changes are a crucial element in the PESTLE framework, especially as sustainability becomes a global priority. Wales, a leader in recycling within the UK, has introduced strict laws aimed at advancing a circular economy and minimising environmental damage. These regulations focus on improving recycling rates, reducing landfill reliance, and creating sustainable waste management systems (Welsh Government, 2024).</w:t>
      </w:r>
    </w:p>
    <w:p w14:paraId="24E58DDD" w14:textId="3FCF659F"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Wales progressive recycling policies highlight the importance of aligning business practices with sustainability goals. For instance, Wales achieved a 56.5% household recycling rate in 2020, surpassing the UK average of 44.4% and becoming the only UK nation to meet the EU’s minimum 50% target (BBC News, 2024). Climate Change Minister Julie James emphasised the ambition to achieve zero waste by 2050, showcasing Wales long-term commitment to sustainability (Net Zero Reporting Welsh Public Sector, 2023).</w:t>
      </w:r>
    </w:p>
    <w:p w14:paraId="15800C43" w14:textId="560DED66" w:rsidR="00614138" w:rsidRPr="00614138" w:rsidRDefault="002E3554" w:rsidP="00614138">
      <w:pPr>
        <w:spacing w:before="100" w:beforeAutospacing="1" w:after="100" w:afterAutospacing="1" w:line="240" w:lineRule="auto"/>
        <w:jc w:val="both"/>
        <w:rPr>
          <w:rFonts w:cstheme="minorHAnsi"/>
        </w:rPr>
      </w:pPr>
      <w:r>
        <w:rPr>
          <w:rFonts w:cstheme="minorHAnsi"/>
        </w:rPr>
        <w:t>(</w:t>
      </w:r>
      <w:r w:rsidRPr="002E3554">
        <w:rPr>
          <w:rFonts w:cstheme="minorHAnsi"/>
        </w:rPr>
        <w:t xml:space="preserve">Roy, 2023) </w:t>
      </w:r>
      <w:r>
        <w:rPr>
          <w:rFonts w:cstheme="minorHAnsi"/>
        </w:rPr>
        <w:t xml:space="preserve">discussed that the </w:t>
      </w:r>
      <w:r w:rsidR="00614138" w:rsidRPr="00614138">
        <w:rPr>
          <w:rFonts w:cstheme="minorHAnsi"/>
        </w:rPr>
        <w:t>circular economy approach is gaining momentum to address the challenges of low recycling rates and excessive packaging consumption. Initiatives like the EU’s Circular Economy Action Plan emphasise sustainable packaging and waste management (Madden and Florin, 2024). Recycling targets are essential for promoting sustainability globally, with countries such as the UK, Portugal, and South Africa adopting ambitious recycling goals (Carroll, 2020).</w:t>
      </w:r>
      <w:r>
        <w:rPr>
          <w:rFonts w:cstheme="minorHAnsi"/>
        </w:rPr>
        <w:t xml:space="preserve"> </w:t>
      </w:r>
    </w:p>
    <w:p w14:paraId="6C6329EC" w14:textId="28074B62"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These laws have significant implications for businesses, which must adapt their operations to comply with recycling mandates. Companies face challenges such as logistical changes, increased costs for sustainable packaging</w:t>
      </w:r>
      <w:r w:rsidR="008878E9">
        <w:rPr>
          <w:rFonts w:cstheme="minorHAnsi"/>
        </w:rPr>
        <w:t xml:space="preserve"> (</w:t>
      </w:r>
      <w:r w:rsidR="008878E9" w:rsidRPr="002E3554">
        <w:rPr>
          <w:rFonts w:cstheme="minorHAnsi"/>
        </w:rPr>
        <w:t>Roy, 2023)</w:t>
      </w:r>
      <w:r w:rsidRPr="00614138">
        <w:rPr>
          <w:rFonts w:cstheme="minorHAnsi"/>
        </w:rPr>
        <w:t>, and the need for employee training. However, these regulations also present opportunities, including cost savings from efficient waste management and improved brand reputation for meeting corporate social responsibility (CSR) goals (Baker, 2006). Forward-thinking organisations that proactively align with these laws can gain a competitive edge, demonstrating that environmental responsibility is both ethical and financially advantageous (Wales Online, 2024).</w:t>
      </w:r>
    </w:p>
    <w:p w14:paraId="334C3CCB" w14:textId="7D3C3A96"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 xml:space="preserve">HRM is pivotal in helping organisations comply with new recycling laws. </w:t>
      </w:r>
      <w:r w:rsidR="008875EA">
        <w:rPr>
          <w:rFonts w:cstheme="minorHAnsi"/>
        </w:rPr>
        <w:t>The business</w:t>
      </w:r>
      <w:r w:rsidRPr="00614138">
        <w:rPr>
          <w:rFonts w:cstheme="minorHAnsi"/>
        </w:rPr>
        <w:t xml:space="preserve"> must implement training programs to educate employees about the regulations and their importance. They</w:t>
      </w:r>
      <w:r w:rsidR="008875EA">
        <w:rPr>
          <w:rFonts w:cstheme="minorHAnsi"/>
        </w:rPr>
        <w:t xml:space="preserve"> will also need to</w:t>
      </w:r>
      <w:r w:rsidRPr="00614138">
        <w:rPr>
          <w:rFonts w:cstheme="minorHAnsi"/>
        </w:rPr>
        <w:t xml:space="preserve"> update company policies to integrate sustainable practices into daily operations (Taylor</w:t>
      </w:r>
      <w:r w:rsidR="00681338">
        <w:rPr>
          <w:rFonts w:cstheme="minorHAnsi"/>
        </w:rPr>
        <w:t xml:space="preserve"> &amp; Perkins</w:t>
      </w:r>
      <w:r w:rsidRPr="00614138">
        <w:rPr>
          <w:rFonts w:cstheme="minorHAnsi"/>
        </w:rPr>
        <w:t>, 2021).</w:t>
      </w:r>
    </w:p>
    <w:p w14:paraId="0EC50D8B"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lastRenderedPageBreak/>
        <w:t>Recruitment strategies may need adjustments to prioritise candidates with expertise in sustainability or waste management. Furthermore, HRM can establish metrics to monitor compliance and progress toward recycling goals, providing regular feedback to ensure continuous improvement. Beyond compliance, HRM can foster a culture of sustainability by organising events, workshops, or incentives that encourage employees to engage actively in recycling initiatives (Picardi, 2020).</w:t>
      </w:r>
    </w:p>
    <w:p w14:paraId="38A54026"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Employee engagement is a critical factor in the success of environmental programs. When employees feel personally invested in sustainability goals, they are more likely to support and participate in these initiatives. This not only ensures compliance but also boosts morale and reinforces a company’s values (Malcolm, Whiting, and Jackson, 2010).</w:t>
      </w:r>
    </w:p>
    <w:p w14:paraId="6A4CD894"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The second PESTLE factor, technology, plays an equally significant role in shaping modern business practices. Artificial Intelligence (AI) is transforming industries by streamlining processes, enhancing decision-making, and revolutionising training methods.</w:t>
      </w:r>
    </w:p>
    <w:p w14:paraId="211D963C" w14:textId="29798C4A"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AI’s ability to personalise learning experiences addresses the growing demand for new technology skills, which traditional educational methods often fail to meet. As businesses face constant pressure to adapt to digital transformation, AI-driven training programs offer scalable, affordable, and customi</w:t>
      </w:r>
      <w:r w:rsidR="009051FC">
        <w:rPr>
          <w:rFonts w:cstheme="minorHAnsi"/>
        </w:rPr>
        <w:t>s</w:t>
      </w:r>
      <w:r w:rsidRPr="00614138">
        <w:rPr>
          <w:rFonts w:cstheme="minorHAnsi"/>
        </w:rPr>
        <w:t>able solutions. These programs can tailor content to individual learning preferences, skills, and interests, enabling employees to acquire relevant skills efficiently (Sofia, Fraboni, De Angelis, Puzzo, Giusino &amp; Pietrantoni, 2023).</w:t>
      </w:r>
    </w:p>
    <w:p w14:paraId="071947EE" w14:textId="3AC8C43F"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However, the integration of AI is not without challenges. Research indicates that people may alter their behaviour</w:t>
      </w:r>
      <w:r w:rsidR="00E73F75">
        <w:rPr>
          <w:rFonts w:cstheme="minorHAnsi"/>
        </w:rPr>
        <w:t>s</w:t>
      </w:r>
      <w:r w:rsidRPr="00614138">
        <w:rPr>
          <w:rFonts w:cstheme="minorHAnsi"/>
        </w:rPr>
        <w:t xml:space="preserve"> when they know their actions are being used to train AI models, potentially introducing biases into the system. These biases can persist, causing both humans and AI to deviate from optimal behaviour</w:t>
      </w:r>
      <w:r w:rsidR="00E73F75">
        <w:rPr>
          <w:rFonts w:cstheme="minorHAnsi"/>
        </w:rPr>
        <w:t>s</w:t>
      </w:r>
      <w:r w:rsidRPr="00614138">
        <w:rPr>
          <w:rFonts w:cstheme="minorHAnsi"/>
        </w:rPr>
        <w:t xml:space="preserve"> (Treiman &amp; Kool, 2024). To address this, businesses must ensure that AI systems are designed with fairness and transparency in mind.</w:t>
      </w:r>
    </w:p>
    <w:p w14:paraId="6FE9178D"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Despite these challenges, the benefits of AI-driven training are transformative. By enhancing knowledge acquisition, employee collaboration, and productivity, AI empowers organisations to remain competitive in a rapidly evolving digital landscape (Thakkar, Kumar &amp; Sambasivan, 2020).</w:t>
      </w:r>
    </w:p>
    <w:p w14:paraId="5C396EDD"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HRM is instrumental in integrating AI-driven training into the workplace. This includes identifying skills gaps, implementing AI tools, and managing the transition to new training methods. Management can monitor the effectiveness of AI training programs by gathering employee feedback and analysing performance metrics (Ðukić, Mladenović, and Jocić, 2024).</w:t>
      </w:r>
    </w:p>
    <w:p w14:paraId="225EEAD4" w14:textId="6E617B2C"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Moreover, HR</w:t>
      </w:r>
      <w:r w:rsidR="000004E8">
        <w:rPr>
          <w:rFonts w:cstheme="minorHAnsi"/>
        </w:rPr>
        <w:t>M</w:t>
      </w:r>
      <w:r w:rsidRPr="00614138">
        <w:rPr>
          <w:rFonts w:cstheme="minorHAnsi"/>
        </w:rPr>
        <w:t xml:space="preserve"> can address ethical concerns by ensuring that AI systems adhere to data privacy standards and mitigate algorithmic bias. Transparency in how AI processes and uses data is essential to build trust among employees (Taylor &amp; Perkins, 2021). HRM’s role extends to fostering a culture of continuous learning, encouraging employees to embrace AI as a tool for personal and professional growth.</w:t>
      </w:r>
    </w:p>
    <w:p w14:paraId="3DF0F0CF" w14:textId="79A39643"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The infographic accompanying this analysis visually conveys the importance of the environmental and technological PESTLE factors. It highlights key statistics, such as Wales recycling achievements and the impact of AI on workforce development, using charts and icons to simplify complex data (Jaleniauskiene &amp; Kasperiuniene, 2023).</w:t>
      </w:r>
    </w:p>
    <w:p w14:paraId="5F53194D"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 xml:space="preserve">By presenting the connection between these two factors, the infographic helps organisations understand the interplay between environmental regulations and technological advancements. For example, it visually demonstrates how HRM strategies, such as sustainability training and AI adoption, </w:t>
      </w:r>
      <w:r w:rsidRPr="00614138">
        <w:rPr>
          <w:rFonts w:cstheme="minorHAnsi"/>
        </w:rPr>
        <w:lastRenderedPageBreak/>
        <w:t>address these challenges and opportunities. This visual representation ensures that stakeholders can quickly grasp the message and take informed actions (Lorenz, 2022).</w:t>
      </w:r>
    </w:p>
    <w:p w14:paraId="6E4A68BE" w14:textId="5371FB2D" w:rsidR="00614138" w:rsidRPr="00614138" w:rsidRDefault="008878E9" w:rsidP="008878E9">
      <w:pPr>
        <w:spacing w:before="100" w:beforeAutospacing="1" w:after="100" w:afterAutospacing="1" w:line="240" w:lineRule="auto"/>
        <w:jc w:val="both"/>
        <w:outlineLvl w:val="2"/>
        <w:rPr>
          <w:rFonts w:cstheme="minorHAnsi"/>
        </w:rPr>
      </w:pPr>
      <w:r>
        <w:rPr>
          <w:rFonts w:cstheme="minorHAnsi"/>
        </w:rPr>
        <w:t>In conclusion, b</w:t>
      </w:r>
      <w:r w:rsidR="00614138" w:rsidRPr="00614138">
        <w:rPr>
          <w:rFonts w:cstheme="minorHAnsi"/>
        </w:rPr>
        <w:t>usinesses must adapt to environmental and technological changes to remain competitive in a rapidly evolving landscape. Wales</w:t>
      </w:r>
      <w:r w:rsidR="00614138">
        <w:rPr>
          <w:rFonts w:cstheme="minorHAnsi"/>
        </w:rPr>
        <w:t xml:space="preserve"> </w:t>
      </w:r>
      <w:r w:rsidR="00614138" w:rsidRPr="00614138">
        <w:rPr>
          <w:rFonts w:cstheme="minorHAnsi"/>
        </w:rPr>
        <w:t>recycling laws emphasize the need for sustainability, while AI-driven training programs address the growing demand for digital skills. HRM plays a crucial role in managing these transitions, from fostering employee engagement in recycling initiatives to implementing AI tools for personalised training.</w:t>
      </w:r>
    </w:p>
    <w:p w14:paraId="37A14293" w14:textId="77777777" w:rsidR="00614138" w:rsidRPr="00614138" w:rsidRDefault="00614138" w:rsidP="00614138">
      <w:pPr>
        <w:spacing w:before="100" w:beforeAutospacing="1" w:after="100" w:afterAutospacing="1" w:line="240" w:lineRule="auto"/>
        <w:jc w:val="both"/>
        <w:rPr>
          <w:rFonts w:cstheme="minorHAnsi"/>
        </w:rPr>
      </w:pPr>
      <w:r w:rsidRPr="00614138">
        <w:rPr>
          <w:rFonts w:cstheme="minorHAnsi"/>
        </w:rPr>
        <w:t>The PESTLE analysis demonstrates how environmental and technological factors influence organisational strategies, highlighting the importance of proactive planning and adaptability. The use of an infographic enhances this analysis by presenting key insights visually, making complex data accessible and actionable. By embracing sustainability and technological innovation, businesses can navigate these challenges effectively, ensuring long-term success and resilience (Ðukić, Mladenović, and Jocić, 2024).</w:t>
      </w:r>
    </w:p>
    <w:p w14:paraId="26B5E74A" w14:textId="77777777" w:rsidR="008F6590" w:rsidRDefault="008F6590" w:rsidP="00614138">
      <w:pPr>
        <w:spacing w:before="100" w:beforeAutospacing="1" w:after="100" w:afterAutospacing="1" w:line="240" w:lineRule="auto"/>
        <w:jc w:val="both"/>
        <w:rPr>
          <w:rFonts w:cstheme="minorHAnsi"/>
        </w:rPr>
      </w:pPr>
    </w:p>
    <w:p w14:paraId="5DF0425D" w14:textId="77777777" w:rsidR="001E7F1B" w:rsidRPr="00614138" w:rsidRDefault="001E7F1B" w:rsidP="00614138">
      <w:pPr>
        <w:jc w:val="both"/>
        <w:rPr>
          <w:rFonts w:cstheme="minorHAnsi"/>
        </w:rPr>
      </w:pPr>
    </w:p>
    <w:p w14:paraId="2EB19935" w14:textId="77777777" w:rsidR="00DE04D7" w:rsidRDefault="00DE04D7" w:rsidP="00614138">
      <w:pPr>
        <w:spacing w:before="100" w:beforeAutospacing="1" w:after="100" w:afterAutospacing="1" w:line="240" w:lineRule="auto"/>
        <w:jc w:val="both"/>
        <w:rPr>
          <w:rFonts w:cstheme="minorHAnsi"/>
        </w:rPr>
      </w:pPr>
    </w:p>
    <w:p w14:paraId="79A19EB7" w14:textId="77777777" w:rsidR="00643B02" w:rsidRDefault="00643B02" w:rsidP="00614138">
      <w:pPr>
        <w:spacing w:before="100" w:beforeAutospacing="1" w:after="100" w:afterAutospacing="1" w:line="240" w:lineRule="auto"/>
        <w:jc w:val="both"/>
        <w:rPr>
          <w:rFonts w:cstheme="minorHAnsi"/>
        </w:rPr>
      </w:pPr>
    </w:p>
    <w:p w14:paraId="2D6649F1" w14:textId="77777777" w:rsidR="00643B02" w:rsidRDefault="00643B02" w:rsidP="00614138">
      <w:pPr>
        <w:spacing w:before="100" w:beforeAutospacing="1" w:after="100" w:afterAutospacing="1" w:line="240" w:lineRule="auto"/>
        <w:jc w:val="both"/>
        <w:rPr>
          <w:rFonts w:cstheme="minorHAnsi"/>
        </w:rPr>
      </w:pPr>
    </w:p>
    <w:p w14:paraId="5F230CC0" w14:textId="77777777" w:rsidR="00643B02" w:rsidRDefault="00643B02" w:rsidP="00614138">
      <w:pPr>
        <w:spacing w:before="100" w:beforeAutospacing="1" w:after="100" w:afterAutospacing="1" w:line="240" w:lineRule="auto"/>
        <w:jc w:val="both"/>
        <w:rPr>
          <w:rFonts w:cstheme="minorHAnsi"/>
        </w:rPr>
      </w:pPr>
    </w:p>
    <w:p w14:paraId="307B5C27" w14:textId="77777777" w:rsidR="00643B02" w:rsidRDefault="00643B02" w:rsidP="00614138">
      <w:pPr>
        <w:spacing w:before="100" w:beforeAutospacing="1" w:after="100" w:afterAutospacing="1" w:line="240" w:lineRule="auto"/>
        <w:jc w:val="both"/>
        <w:rPr>
          <w:rFonts w:cstheme="minorHAnsi"/>
        </w:rPr>
      </w:pPr>
    </w:p>
    <w:p w14:paraId="7EB7A825" w14:textId="77777777" w:rsidR="00643B02" w:rsidRDefault="00643B02" w:rsidP="00614138">
      <w:pPr>
        <w:spacing w:before="100" w:beforeAutospacing="1" w:after="100" w:afterAutospacing="1" w:line="240" w:lineRule="auto"/>
        <w:jc w:val="both"/>
        <w:rPr>
          <w:rFonts w:cstheme="minorHAnsi"/>
        </w:rPr>
      </w:pPr>
    </w:p>
    <w:p w14:paraId="1F574BC3" w14:textId="77777777" w:rsidR="00643B02" w:rsidRDefault="00643B02" w:rsidP="00614138">
      <w:pPr>
        <w:spacing w:before="100" w:beforeAutospacing="1" w:after="100" w:afterAutospacing="1" w:line="240" w:lineRule="auto"/>
        <w:jc w:val="both"/>
        <w:rPr>
          <w:rFonts w:cstheme="minorHAnsi"/>
        </w:rPr>
      </w:pPr>
    </w:p>
    <w:p w14:paraId="36F6A092" w14:textId="77777777" w:rsidR="00643B02" w:rsidRDefault="00643B02" w:rsidP="00614138">
      <w:pPr>
        <w:spacing w:before="100" w:beforeAutospacing="1" w:after="100" w:afterAutospacing="1" w:line="240" w:lineRule="auto"/>
        <w:jc w:val="both"/>
        <w:rPr>
          <w:rFonts w:cstheme="minorHAnsi"/>
        </w:rPr>
      </w:pPr>
    </w:p>
    <w:p w14:paraId="38D88AAC" w14:textId="77777777" w:rsidR="00643B02" w:rsidRDefault="00643B02" w:rsidP="00614138">
      <w:pPr>
        <w:spacing w:before="100" w:beforeAutospacing="1" w:after="100" w:afterAutospacing="1" w:line="240" w:lineRule="auto"/>
        <w:jc w:val="both"/>
        <w:rPr>
          <w:rFonts w:cstheme="minorHAnsi"/>
        </w:rPr>
      </w:pPr>
    </w:p>
    <w:p w14:paraId="27D95212" w14:textId="77777777" w:rsidR="00643B02" w:rsidRDefault="00643B02" w:rsidP="00614138">
      <w:pPr>
        <w:spacing w:before="100" w:beforeAutospacing="1" w:after="100" w:afterAutospacing="1" w:line="240" w:lineRule="auto"/>
        <w:jc w:val="both"/>
        <w:rPr>
          <w:rFonts w:cstheme="minorHAnsi"/>
        </w:rPr>
      </w:pPr>
    </w:p>
    <w:p w14:paraId="24A0FC59" w14:textId="77777777" w:rsidR="00643B02" w:rsidRDefault="00643B02" w:rsidP="00614138">
      <w:pPr>
        <w:spacing w:before="100" w:beforeAutospacing="1" w:after="100" w:afterAutospacing="1" w:line="240" w:lineRule="auto"/>
        <w:jc w:val="both"/>
        <w:rPr>
          <w:rFonts w:cstheme="minorHAnsi"/>
        </w:rPr>
      </w:pPr>
    </w:p>
    <w:p w14:paraId="73D5DBEF" w14:textId="77777777" w:rsidR="00643B02" w:rsidRDefault="00643B02" w:rsidP="00614138">
      <w:pPr>
        <w:spacing w:before="100" w:beforeAutospacing="1" w:after="100" w:afterAutospacing="1" w:line="240" w:lineRule="auto"/>
        <w:jc w:val="both"/>
        <w:rPr>
          <w:rFonts w:cstheme="minorHAnsi"/>
        </w:rPr>
      </w:pPr>
    </w:p>
    <w:p w14:paraId="742B8C83" w14:textId="77777777" w:rsidR="00643B02" w:rsidRDefault="00643B02" w:rsidP="00614138">
      <w:pPr>
        <w:spacing w:before="100" w:beforeAutospacing="1" w:after="100" w:afterAutospacing="1" w:line="240" w:lineRule="auto"/>
        <w:jc w:val="both"/>
        <w:rPr>
          <w:rFonts w:cstheme="minorHAnsi"/>
        </w:rPr>
      </w:pPr>
    </w:p>
    <w:p w14:paraId="1E676745" w14:textId="77777777" w:rsidR="00643B02" w:rsidRDefault="00643B02" w:rsidP="00614138">
      <w:pPr>
        <w:spacing w:before="100" w:beforeAutospacing="1" w:after="100" w:afterAutospacing="1" w:line="240" w:lineRule="auto"/>
        <w:jc w:val="both"/>
        <w:rPr>
          <w:rFonts w:cstheme="minorHAnsi"/>
        </w:rPr>
      </w:pPr>
    </w:p>
    <w:p w14:paraId="71E5D13D" w14:textId="77777777" w:rsidR="00643B02" w:rsidRDefault="00643B02" w:rsidP="00614138">
      <w:pPr>
        <w:spacing w:before="100" w:beforeAutospacing="1" w:after="100" w:afterAutospacing="1" w:line="240" w:lineRule="auto"/>
        <w:jc w:val="both"/>
        <w:rPr>
          <w:rFonts w:cstheme="minorHAnsi"/>
        </w:rPr>
      </w:pPr>
    </w:p>
    <w:p w14:paraId="3E9BA3D1" w14:textId="77777777" w:rsidR="00643B02" w:rsidRDefault="00643B02" w:rsidP="00614138">
      <w:pPr>
        <w:spacing w:before="100" w:beforeAutospacing="1" w:after="100" w:afterAutospacing="1" w:line="240" w:lineRule="auto"/>
        <w:jc w:val="both"/>
        <w:rPr>
          <w:rFonts w:cstheme="minorHAnsi"/>
        </w:rPr>
      </w:pPr>
    </w:p>
    <w:p w14:paraId="69B51F0C"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lastRenderedPageBreak/>
        <w:t>References</w:t>
      </w:r>
    </w:p>
    <w:p w14:paraId="6474EEAB" w14:textId="77777777" w:rsidR="00643B02" w:rsidRPr="00643B02" w:rsidRDefault="00643B02" w:rsidP="00643B02">
      <w:pPr>
        <w:spacing w:before="100" w:beforeAutospacing="1" w:after="100" w:afterAutospacing="1" w:line="240" w:lineRule="auto"/>
        <w:jc w:val="both"/>
        <w:rPr>
          <w:rFonts w:cstheme="minorHAnsi"/>
          <w:u w:val="single"/>
        </w:rPr>
      </w:pPr>
      <w:hyperlink r:id="rId8" w:history="1">
        <w:r w:rsidRPr="00643B02">
          <w:rPr>
            <w:rStyle w:val="Hyperlink"/>
            <w:rFonts w:cstheme="minorHAnsi"/>
          </w:rPr>
          <w:t>About us | Acas</w:t>
        </w:r>
      </w:hyperlink>
    </w:p>
    <w:p w14:paraId="74F4F1C1" w14:textId="77777777" w:rsidR="00643B02" w:rsidRPr="00643B02" w:rsidRDefault="00643B02" w:rsidP="00643B02">
      <w:pPr>
        <w:spacing w:before="100" w:beforeAutospacing="1" w:after="100" w:afterAutospacing="1" w:line="240" w:lineRule="auto"/>
        <w:jc w:val="both"/>
        <w:rPr>
          <w:rFonts w:cstheme="minorHAnsi"/>
        </w:rPr>
      </w:pPr>
      <w:hyperlink r:id="rId9" w:history="1">
        <w:r w:rsidRPr="00643B02">
          <w:rPr>
            <w:rStyle w:val="Hyperlink"/>
            <w:rFonts w:cstheme="minorHAnsi"/>
          </w:rPr>
          <w:t>Acas welcomes government's focus on workforce relations | Acas</w:t>
        </w:r>
      </w:hyperlink>
      <w:r w:rsidRPr="00643B02">
        <w:rPr>
          <w:rFonts w:cstheme="minorHAnsi"/>
        </w:rPr>
        <w:t xml:space="preserve"> </w:t>
      </w:r>
      <w:hyperlink r:id="rId10" w:history="1">
        <w:r w:rsidRPr="00643B02">
          <w:rPr>
            <w:rStyle w:val="Hyperlink"/>
            <w:rFonts w:cstheme="minorHAnsi"/>
          </w:rPr>
          <w:t>https://www.acas.org.uk/acas-welcomes-governments-focus-on-workforce-relations</w:t>
        </w:r>
      </w:hyperlink>
    </w:p>
    <w:p w14:paraId="73EB7EEF" w14:textId="77777777" w:rsidR="00643B02" w:rsidRPr="00643B02" w:rsidRDefault="00643B02" w:rsidP="00643B02">
      <w:pPr>
        <w:spacing w:before="100" w:beforeAutospacing="1" w:after="100" w:afterAutospacing="1" w:line="240" w:lineRule="auto"/>
        <w:jc w:val="both"/>
        <w:rPr>
          <w:rFonts w:cstheme="minorHAnsi"/>
          <w:u w:val="single"/>
        </w:rPr>
      </w:pPr>
      <w:hyperlink r:id="rId11" w:history="1">
        <w:r w:rsidRPr="00643B02">
          <w:rPr>
            <w:rStyle w:val="Hyperlink"/>
            <w:rFonts w:cstheme="minorHAnsi"/>
          </w:rPr>
          <w:t>Addressing skills and labour shortages post-Brexit research report</w:t>
        </w:r>
      </w:hyperlink>
      <w:r w:rsidRPr="00643B02">
        <w:rPr>
          <w:rFonts w:cstheme="minorHAnsi"/>
        </w:rPr>
        <w:t xml:space="preserve">- </w:t>
      </w:r>
      <w:hyperlink r:id="rId12" w:history="1">
        <w:r w:rsidRPr="00643B02">
          <w:rPr>
            <w:rStyle w:val="Hyperlink"/>
            <w:rFonts w:cstheme="minorHAnsi"/>
          </w:rPr>
          <w:t>https://www.cipd.org/globalassets/media/knowledge/knowledge-hub/reports/addressing-skills-labour-shortages-post-brexit_tcm18-102313.pdf</w:t>
        </w:r>
      </w:hyperlink>
    </w:p>
    <w:p w14:paraId="2C71808D"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i/>
          <w:iCs/>
        </w:rPr>
        <w:t>addressing-skills-labour-shortages-post-brexit_tcm18-102313. </w:t>
      </w:r>
      <w:r w:rsidRPr="00643B02">
        <w:rPr>
          <w:rFonts w:cstheme="minorHAnsi"/>
        </w:rPr>
        <w:t>2021.</w:t>
      </w:r>
    </w:p>
    <w:p w14:paraId="195D6017" w14:textId="77777777" w:rsidR="00643B02" w:rsidRPr="00643B02" w:rsidRDefault="00643B02" w:rsidP="00643B02">
      <w:pPr>
        <w:spacing w:before="100" w:beforeAutospacing="1" w:after="100" w:afterAutospacing="1" w:line="240" w:lineRule="auto"/>
        <w:jc w:val="both"/>
        <w:rPr>
          <w:rFonts w:cstheme="minorHAnsi"/>
        </w:rPr>
      </w:pPr>
      <w:hyperlink r:id="rId13" w:history="1">
        <w:r w:rsidRPr="00643B02">
          <w:rPr>
            <w:rStyle w:val="Hyperlink"/>
            <w:rFonts w:cstheme="minorHAnsi"/>
          </w:rPr>
          <w:t>Advantages Of Waste Management – Indianapolis Food News</w:t>
        </w:r>
      </w:hyperlink>
      <w:r w:rsidRPr="00643B02">
        <w:rPr>
          <w:rFonts w:cstheme="minorHAnsi"/>
        </w:rPr>
        <w:t xml:space="preserve"> - </w:t>
      </w:r>
      <w:hyperlink r:id="rId14" w:history="1">
        <w:r w:rsidRPr="00643B02">
          <w:rPr>
            <w:rStyle w:val="Hyperlink"/>
            <w:rFonts w:cstheme="minorHAnsi"/>
          </w:rPr>
          <w:t>https://indianapolischinesefestival.com/advantages-of-waste-management/</w:t>
        </w:r>
      </w:hyperlink>
    </w:p>
    <w:p w14:paraId="2E3C150B"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Amega, K., Moumouni, Y., Laré, Y., Bhandari, R., Takouda, P. and Madougou, S., (2024). Power system transformation in emerging countries: A SWOT/PESTLE Analysis Approach Towards Resiliency and Reliability. </w:t>
      </w:r>
      <w:r w:rsidRPr="00643B02">
        <w:rPr>
          <w:rFonts w:cstheme="minorHAnsi"/>
          <w:i/>
          <w:iCs/>
        </w:rPr>
        <w:t>Heliyon</w:t>
      </w:r>
      <w:r w:rsidRPr="00643B02">
        <w:rPr>
          <w:rFonts w:cstheme="minorHAnsi"/>
        </w:rPr>
        <w:t>.. Power system transformation in emerging countries: A SWOT/PESTLE Analysis Approach Towards Resiliency and Reliability. </w:t>
      </w:r>
      <w:r w:rsidRPr="00643B02">
        <w:rPr>
          <w:rFonts w:cstheme="minorHAnsi"/>
          <w:i/>
          <w:iCs/>
        </w:rPr>
        <w:t>Heliyon</w:t>
      </w:r>
      <w:r w:rsidRPr="00643B02">
        <w:rPr>
          <w:rFonts w:cstheme="minorHAnsi"/>
        </w:rPr>
        <w:t>.</w:t>
      </w:r>
    </w:p>
    <w:p w14:paraId="520013CC" w14:textId="77777777" w:rsidR="00643B02" w:rsidRPr="00643B02" w:rsidRDefault="00643B02" w:rsidP="00643B02">
      <w:pPr>
        <w:spacing w:before="100" w:beforeAutospacing="1" w:after="100" w:afterAutospacing="1" w:line="240" w:lineRule="auto"/>
        <w:jc w:val="both"/>
        <w:rPr>
          <w:rFonts w:cstheme="minorHAnsi"/>
        </w:rPr>
      </w:pPr>
      <w:bookmarkStart w:id="0" w:name="_Hlk183712494"/>
      <w:r w:rsidRPr="00643B02">
        <w:rPr>
          <w:rFonts w:cstheme="minorHAnsi"/>
        </w:rPr>
        <w:t xml:space="preserve">Aoki, K., Delbridge, R. and Endo, T. (2014) </w:t>
      </w:r>
      <w:bookmarkEnd w:id="0"/>
      <w:r w:rsidRPr="00643B02">
        <w:rPr>
          <w:rFonts w:cstheme="minorHAnsi"/>
        </w:rPr>
        <w:t xml:space="preserve">‘“Japanese human resource management” in post-bubble Japan’, </w:t>
      </w:r>
      <w:r w:rsidRPr="00643B02">
        <w:rPr>
          <w:rFonts w:cstheme="minorHAnsi"/>
          <w:i/>
          <w:iCs/>
        </w:rPr>
        <w:t>International journal of human resource management</w:t>
      </w:r>
      <w:r w:rsidRPr="00643B02">
        <w:rPr>
          <w:rFonts w:cstheme="minorHAnsi"/>
        </w:rPr>
        <w:t xml:space="preserve">, 25(18), pp. 2551–2572. Available at: </w:t>
      </w:r>
      <w:hyperlink r:id="rId15" w:history="1">
        <w:r w:rsidRPr="00643B02">
          <w:rPr>
            <w:rStyle w:val="Hyperlink"/>
            <w:rFonts w:cstheme="minorHAnsi"/>
          </w:rPr>
          <w:t>https://doi.org/10.1080/09585192.2012.722118</w:t>
        </w:r>
      </w:hyperlink>
      <w:r w:rsidRPr="00643B02">
        <w:rPr>
          <w:rFonts w:cstheme="minorHAnsi"/>
        </w:rPr>
        <w:t>.</w:t>
      </w:r>
    </w:p>
    <w:p w14:paraId="680459E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Australian Bureau of Statistics (2024), </w:t>
      </w:r>
      <w:r w:rsidRPr="00643B02">
        <w:rPr>
          <w:rFonts w:cstheme="minorHAnsi"/>
          <w:i/>
          <w:iCs/>
        </w:rPr>
        <w:t>Trade union membership</w:t>
      </w:r>
      <w:r w:rsidRPr="00643B02">
        <w:rPr>
          <w:rFonts w:cstheme="minorHAnsi"/>
        </w:rPr>
        <w:t xml:space="preserve">, ABS, viewed 13 December 2024, &lt;https://www.abs.gov.au/statistics/labour/earnings-and-working-conditions/trade-union-membership/latest-release&gt;. </w:t>
      </w:r>
    </w:p>
    <w:p w14:paraId="09FA59ED"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Baker, S. (2006) </w:t>
      </w:r>
      <w:r w:rsidRPr="00643B02">
        <w:rPr>
          <w:rFonts w:cstheme="minorHAnsi"/>
          <w:i/>
          <w:iCs/>
        </w:rPr>
        <w:t>Sustainable development</w:t>
      </w:r>
      <w:r w:rsidRPr="00643B02">
        <w:rPr>
          <w:rFonts w:cstheme="minorHAnsi"/>
        </w:rPr>
        <w:t xml:space="preserve">. London ; Routledge. Available at: </w:t>
      </w:r>
      <w:hyperlink r:id="rId16" w:history="1">
        <w:r w:rsidRPr="00643B02">
          <w:rPr>
            <w:rStyle w:val="Hyperlink"/>
            <w:rFonts w:cstheme="minorHAnsi"/>
          </w:rPr>
          <w:t>https://doi.org/10.4324/9780203495933</w:t>
        </w:r>
      </w:hyperlink>
      <w:r w:rsidRPr="00643B02">
        <w:rPr>
          <w:rFonts w:cstheme="minorHAnsi"/>
        </w:rPr>
        <w:t>.</w:t>
      </w:r>
    </w:p>
    <w:p w14:paraId="64588C7F"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 xml:space="preserve">BenMahmoud-Jouini, S., &amp; Charue-Duboc, F., (2022) Integration of an exploration program with its parent organization: A lifecycle perspective. </w:t>
      </w:r>
      <w:r w:rsidRPr="00643B02">
        <w:rPr>
          <w:rFonts w:cstheme="minorHAnsi"/>
          <w:i/>
          <w:iCs/>
        </w:rPr>
        <w:t>International Journal of Project Management.</w:t>
      </w:r>
      <w:r w:rsidRPr="00643B02">
        <w:rPr>
          <w:rFonts w:cstheme="minorHAnsi"/>
        </w:rPr>
        <w:t xml:space="preserve"> 40. DOI:</w:t>
      </w:r>
      <w:hyperlink r:id="rId17" w:tgtFrame="_blank" w:history="1">
        <w:r w:rsidRPr="00643B02">
          <w:rPr>
            <w:rStyle w:val="Hyperlink"/>
            <w:rFonts w:cstheme="minorHAnsi"/>
          </w:rPr>
          <w:t>10.1016/j.ijproman.2022.05.006</w:t>
        </w:r>
      </w:hyperlink>
    </w:p>
    <w:p w14:paraId="3412D534" w14:textId="77777777" w:rsidR="00643B02" w:rsidRPr="00643B02" w:rsidRDefault="00643B02" w:rsidP="00643B02">
      <w:pPr>
        <w:spacing w:before="100" w:beforeAutospacing="1" w:after="100" w:afterAutospacing="1" w:line="240" w:lineRule="auto"/>
        <w:jc w:val="both"/>
        <w:rPr>
          <w:rFonts w:cstheme="minorHAnsi"/>
        </w:rPr>
      </w:pPr>
      <w:hyperlink r:id="rId18" w:tgtFrame="_blank" w:history="1">
        <w:bookmarkStart w:id="1" w:name="_Hlk183885208"/>
        <w:r w:rsidRPr="00643B02">
          <w:rPr>
            <w:rStyle w:val="Hyperlink"/>
            <w:rFonts w:cstheme="minorHAnsi"/>
          </w:rPr>
          <w:t xml:space="preserve">Borghans, L., Fouarge, D., De Grip, A., Van Thor, </w:t>
        </w:r>
        <w:bookmarkEnd w:id="1"/>
        <w:r w:rsidRPr="00643B02">
          <w:rPr>
            <w:rStyle w:val="Hyperlink"/>
            <w:rFonts w:cstheme="minorHAnsi"/>
          </w:rPr>
          <w:t>J. </w:t>
        </w:r>
        <w:r w:rsidRPr="00643B02">
          <w:rPr>
            <w:rStyle w:val="Hyperlink"/>
            <w:rFonts w:cstheme="minorHAnsi"/>
            <w:i/>
            <w:iCs/>
          </w:rPr>
          <w:t>Werken en leren in Nederland</w:t>
        </w:r>
        <w:r w:rsidRPr="00643B02">
          <w:rPr>
            <w:rStyle w:val="Hyperlink"/>
            <w:rFonts w:cstheme="minorHAnsi"/>
          </w:rPr>
          <w:t> Maastricht University ROA-R-2014/3, 2014.</w:t>
        </w:r>
      </w:hyperlink>
    </w:p>
    <w:p w14:paraId="518A0966"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Brandl, J., Chore, L. I., &amp; Junker, M. (2024) How you value shapes whom you value: The contribution of apprenticeships to sustainable development goals. Journal of Human Resource Management, 38(2), 231-256. https://doi.org/10.1177/23970022241239257</w:t>
      </w:r>
    </w:p>
    <w:p w14:paraId="3797824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Carruthers, H. (2009) ‘Using PEST analysis to improve business performance’, </w:t>
      </w:r>
      <w:r w:rsidRPr="00643B02">
        <w:rPr>
          <w:rFonts w:cstheme="minorHAnsi"/>
          <w:i/>
          <w:iCs/>
        </w:rPr>
        <w:t>In practice (London 1979)</w:t>
      </w:r>
      <w:r w:rsidRPr="00643B02">
        <w:rPr>
          <w:rFonts w:cstheme="minorHAnsi"/>
        </w:rPr>
        <w:t xml:space="preserve">, 31(1), pp. 37–39. Available at: </w:t>
      </w:r>
      <w:hyperlink r:id="rId19" w:history="1">
        <w:r w:rsidRPr="00643B02">
          <w:rPr>
            <w:rStyle w:val="Hyperlink"/>
            <w:rFonts w:cstheme="minorHAnsi"/>
          </w:rPr>
          <w:t>https://doi.org/10.1136/inpract.31.1.37</w:t>
        </w:r>
      </w:hyperlink>
      <w:r w:rsidRPr="00643B02">
        <w:rPr>
          <w:rFonts w:cstheme="minorHAnsi"/>
        </w:rPr>
        <w:t>.</w:t>
      </w:r>
    </w:p>
    <w:p w14:paraId="4A6D6057"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Carreno, A., (2024) Strategic Alignment in Program Management: A Framework for Sustainable Business Transformation. DOI:</w:t>
      </w:r>
      <w:hyperlink r:id="rId20" w:tgtFrame="_blank" w:history="1">
        <w:r w:rsidRPr="00643B02">
          <w:rPr>
            <w:rStyle w:val="Hyperlink"/>
            <w:rFonts w:cstheme="minorHAnsi"/>
          </w:rPr>
          <w:t>10.5281/zenodo.13922003</w:t>
        </w:r>
      </w:hyperlink>
    </w:p>
    <w:p w14:paraId="6115CA30"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Carroll, B. </w:t>
      </w:r>
      <w:r w:rsidRPr="00643B02">
        <w:rPr>
          <w:rFonts w:cstheme="minorHAnsi"/>
          <w:i/>
          <w:iCs/>
        </w:rPr>
        <w:t>et al.</w:t>
      </w:r>
      <w:r w:rsidRPr="00643B02">
        <w:rPr>
          <w:rFonts w:cstheme="minorHAnsi"/>
        </w:rPr>
        <w:t xml:space="preserve"> (2020) </w:t>
      </w:r>
      <w:r w:rsidRPr="00643B02">
        <w:rPr>
          <w:rFonts w:cstheme="minorHAnsi"/>
          <w:i/>
          <w:iCs/>
        </w:rPr>
        <w:t>Environmental impact assessment handbook : a practical guide for planners, developers and communities</w:t>
      </w:r>
      <w:r w:rsidRPr="00643B02">
        <w:rPr>
          <w:rFonts w:cstheme="minorHAnsi"/>
        </w:rPr>
        <w:t>. Third edition. London: ICE Publishing.</w:t>
      </w:r>
    </w:p>
    <w:p w14:paraId="1BFA7273" w14:textId="77777777" w:rsidR="00643B02" w:rsidRPr="00643B02" w:rsidRDefault="00643B02" w:rsidP="00643B02">
      <w:pPr>
        <w:spacing w:before="100" w:beforeAutospacing="1" w:after="100" w:afterAutospacing="1" w:line="240" w:lineRule="auto"/>
        <w:jc w:val="both"/>
        <w:rPr>
          <w:rFonts w:cstheme="minorHAnsi"/>
        </w:rPr>
      </w:pPr>
      <w:hyperlink r:id="rId21" w:history="1">
        <w:r w:rsidRPr="00643B02">
          <w:rPr>
            <w:rStyle w:val="Hyperlink"/>
            <w:rFonts w:cstheme="minorHAnsi"/>
          </w:rPr>
          <w:t>Changes to workplace recycling: guidance for workplaces | GOV.WALES</w:t>
        </w:r>
      </w:hyperlink>
      <w:r w:rsidRPr="00643B02">
        <w:rPr>
          <w:rFonts w:cstheme="minorHAnsi"/>
        </w:rPr>
        <w:t xml:space="preserve"> - </w:t>
      </w:r>
      <w:hyperlink r:id="rId22" w:history="1">
        <w:r w:rsidRPr="00643B02">
          <w:rPr>
            <w:rStyle w:val="Hyperlink"/>
            <w:rFonts w:cstheme="minorHAnsi"/>
          </w:rPr>
          <w:t>https://www.gov.wales/changes-workplace-recycling-guidance-workplaces</w:t>
        </w:r>
      </w:hyperlink>
    </w:p>
    <w:p w14:paraId="7205658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Chen, R., Xie, Y., &amp; Liu, Y. (2021). Defining, Conceptualizing, and Measuring Organizational Resilience: A Multiple Case Study. </w:t>
      </w:r>
      <w:r w:rsidRPr="00643B02">
        <w:rPr>
          <w:rFonts w:cstheme="minorHAnsi"/>
          <w:i/>
          <w:iCs/>
        </w:rPr>
        <w:t>Sustainability</w:t>
      </w:r>
      <w:r w:rsidRPr="00643B02">
        <w:rPr>
          <w:rFonts w:cstheme="minorHAnsi"/>
        </w:rPr>
        <w:t>, </w:t>
      </w:r>
      <w:r w:rsidRPr="00643B02">
        <w:rPr>
          <w:rFonts w:cstheme="minorHAnsi"/>
          <w:i/>
          <w:iCs/>
        </w:rPr>
        <w:t>13</w:t>
      </w:r>
      <w:r w:rsidRPr="00643B02">
        <w:rPr>
          <w:rFonts w:cstheme="minorHAnsi"/>
        </w:rPr>
        <w:t xml:space="preserve">(5), 2517. </w:t>
      </w:r>
      <w:hyperlink r:id="rId23" w:history="1">
        <w:r w:rsidRPr="00643B02">
          <w:rPr>
            <w:rStyle w:val="Hyperlink"/>
            <w:rFonts w:cstheme="minorHAnsi"/>
          </w:rPr>
          <w:t>https://doi.org/10.3390/su13052517</w:t>
        </w:r>
      </w:hyperlink>
    </w:p>
    <w:p w14:paraId="54154F13" w14:textId="77777777" w:rsidR="00643B02" w:rsidRPr="00643B02" w:rsidRDefault="00643B02" w:rsidP="00643B02">
      <w:pPr>
        <w:spacing w:before="100" w:beforeAutospacing="1" w:after="100" w:afterAutospacing="1" w:line="240" w:lineRule="auto"/>
        <w:jc w:val="both"/>
        <w:rPr>
          <w:rFonts w:cstheme="minorHAnsi"/>
        </w:rPr>
      </w:pPr>
      <w:hyperlink r:id="rId24" w:history="1">
        <w:r w:rsidRPr="00643B02">
          <w:rPr>
            <w:rStyle w:val="Hyperlink"/>
            <w:rFonts w:cstheme="minorHAnsi"/>
          </w:rPr>
          <w:t>PESTLE analysis | CIPD</w:t>
        </w:r>
      </w:hyperlink>
      <w:r w:rsidRPr="00643B02">
        <w:rPr>
          <w:rFonts w:cstheme="minorHAnsi"/>
        </w:rPr>
        <w:t xml:space="preserve"> - </w:t>
      </w:r>
      <w:hyperlink r:id="rId25" w:history="1">
        <w:r w:rsidRPr="00643B02">
          <w:rPr>
            <w:rStyle w:val="Hyperlink"/>
            <w:rFonts w:cstheme="minorHAnsi"/>
          </w:rPr>
          <w:t>https://www.cipd.org/en/knowledge/factsheets/pestle-analysis-factsheet/</w:t>
        </w:r>
      </w:hyperlink>
    </w:p>
    <w:p w14:paraId="50877420"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Chakraborty, T. and Tripathi, M., (2024). and Upskilling Among Future Employees. </w:t>
      </w:r>
      <w:r w:rsidRPr="00643B02">
        <w:rPr>
          <w:rFonts w:cstheme="minorHAnsi"/>
          <w:i/>
          <w:iCs/>
        </w:rPr>
        <w:t>Revitalizing Student Skills for Workforce Preparation, </w:t>
      </w:r>
      <w:r w:rsidRPr="00643B02">
        <w:rPr>
          <w:rFonts w:cstheme="minorHAnsi"/>
        </w:rPr>
        <w:t>, pp. 37.</w:t>
      </w:r>
    </w:p>
    <w:p w14:paraId="777EE2DD"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Chakraborty, T. and Tripathi, M., (2024) and Upskilling Among Future Employees. </w:t>
      </w:r>
      <w:r w:rsidRPr="00643B02">
        <w:rPr>
          <w:rFonts w:cstheme="minorHAnsi"/>
          <w:i/>
          <w:iCs/>
        </w:rPr>
        <w:t>Revitalizing Student Skills for Workforce Preparation, </w:t>
      </w:r>
      <w:r w:rsidRPr="00643B02">
        <w:rPr>
          <w:rFonts w:cstheme="minorHAnsi"/>
        </w:rPr>
        <w:t>, pp. 37.</w:t>
      </w:r>
    </w:p>
    <w:p w14:paraId="59D2200F"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Cronin-Golomb, L.M. and Bauer, P.J., (2023) Self-motivated and directed learning across the lifespan. </w:t>
      </w:r>
      <w:r w:rsidRPr="00643B02">
        <w:rPr>
          <w:rFonts w:cstheme="minorHAnsi"/>
          <w:i/>
          <w:iCs/>
        </w:rPr>
        <w:t>Acta Psychologica</w:t>
      </w:r>
      <w:r w:rsidRPr="00643B02">
        <w:rPr>
          <w:rFonts w:cstheme="minorHAnsi"/>
        </w:rPr>
        <w:t>, </w:t>
      </w:r>
      <w:r w:rsidRPr="00643B02">
        <w:rPr>
          <w:rFonts w:cstheme="minorHAnsi"/>
          <w:i/>
          <w:iCs/>
        </w:rPr>
        <w:t>232</w:t>
      </w:r>
      <w:r w:rsidRPr="00643B02">
        <w:rPr>
          <w:rFonts w:cstheme="minorHAnsi"/>
        </w:rPr>
        <w:t xml:space="preserve">, p.103816. </w:t>
      </w:r>
      <w:hyperlink r:id="rId26" w:tgtFrame="_blank" w:tooltip="Persistent link using digital object identifier" w:history="1">
        <w:r w:rsidRPr="00643B02">
          <w:rPr>
            <w:rStyle w:val="Hyperlink"/>
            <w:rFonts w:cstheme="minorHAnsi"/>
          </w:rPr>
          <w:t>https://doi.org/10.1016/j.actpsy.2022.103816</w:t>
        </w:r>
      </w:hyperlink>
      <w:r w:rsidRPr="00643B02">
        <w:rPr>
          <w:rFonts w:cstheme="minorHAnsi"/>
        </w:rPr>
        <w:t xml:space="preserve"> </w:t>
      </w:r>
    </w:p>
    <w:p w14:paraId="6D24CF51"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Davies, G. (2021) Addressing skills and labour shortages post-Brexit. London: Chartered Institute of Personnel and Development</w:t>
      </w:r>
    </w:p>
    <w:p w14:paraId="38323789"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De Grip, A., 2024. The importance of informal learning at work. </w:t>
      </w:r>
      <w:r w:rsidRPr="00643B02">
        <w:rPr>
          <w:rFonts w:cstheme="minorHAnsi"/>
          <w:i/>
          <w:iCs/>
        </w:rPr>
        <w:t>IZA World of Labor</w:t>
      </w:r>
      <w:r w:rsidRPr="00643B02">
        <w:rPr>
          <w:rFonts w:cstheme="minorHAnsi"/>
        </w:rPr>
        <w:t xml:space="preserve">. DOI </w:t>
      </w:r>
      <w:hyperlink r:id="rId27" w:tgtFrame="_blank" w:history="1">
        <w:r w:rsidRPr="00643B02">
          <w:rPr>
            <w:rStyle w:val="Hyperlink"/>
            <w:rFonts w:cstheme="minorHAnsi"/>
          </w:rPr>
          <w:t>10.15185/izawol.162.v2</w:t>
        </w:r>
      </w:hyperlink>
      <w:r w:rsidRPr="00643B02">
        <w:rPr>
          <w:rFonts w:cstheme="minorHAnsi"/>
        </w:rPr>
        <w:t xml:space="preserve"> </w:t>
      </w:r>
    </w:p>
    <w:p w14:paraId="798945D4"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Ðukié, T., Mladenović, M. and Jocić, K.J. (2024) ‘ARTIFICIAL INTELLIGENCE’S EFFECTS ON HUMAN RESOURCES EMPLOYER BRANDING’, </w:t>
      </w:r>
      <w:r w:rsidRPr="00643B02">
        <w:rPr>
          <w:rFonts w:cstheme="minorHAnsi"/>
          <w:i/>
          <w:iCs/>
        </w:rPr>
        <w:t>Quaestus (Timio̦ara)</w:t>
      </w:r>
      <w:r w:rsidRPr="00643B02">
        <w:rPr>
          <w:rFonts w:cstheme="minorHAnsi"/>
        </w:rPr>
        <w:t>, (24), pp. 177–187.</w:t>
      </w:r>
    </w:p>
    <w:bookmarkStart w:id="2" w:name="_Hlk185262628"/>
    <w:p w14:paraId="2248C5A9"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fldChar w:fldCharType="begin"/>
      </w:r>
      <w:r w:rsidRPr="00643B02">
        <w:rPr>
          <w:rFonts w:cstheme="minorHAnsi"/>
        </w:rPr>
        <w:instrText>HYPERLINK "https://www.magonlinelibrary.com/doi/abs/10.12968/opti.2024.269.6941.17?checkFormatAccess=true"</w:instrText>
      </w:r>
      <w:r w:rsidRPr="00643B02">
        <w:rPr>
          <w:rFonts w:cstheme="minorHAnsi"/>
        </w:rPr>
      </w:r>
      <w:r w:rsidRPr="00643B02">
        <w:rPr>
          <w:rFonts w:cstheme="minorHAnsi"/>
        </w:rPr>
        <w:fldChar w:fldCharType="separate"/>
      </w:r>
      <w:r w:rsidRPr="00643B02">
        <w:rPr>
          <w:rStyle w:val="Hyperlink"/>
          <w:rFonts w:cstheme="minorHAnsi"/>
        </w:rPr>
        <w:t>Employment law updates 2024 | Optician</w:t>
      </w:r>
      <w:r w:rsidRPr="00643B02">
        <w:rPr>
          <w:rFonts w:cstheme="minorHAnsi"/>
        </w:rPr>
        <w:fldChar w:fldCharType="end"/>
      </w:r>
      <w:bookmarkEnd w:id="2"/>
      <w:r w:rsidRPr="00643B02">
        <w:rPr>
          <w:rFonts w:cstheme="minorHAnsi"/>
        </w:rPr>
        <w:t xml:space="preserve"> </w:t>
      </w:r>
    </w:p>
    <w:p w14:paraId="5CD3B0BF" w14:textId="77777777" w:rsidR="00643B02" w:rsidRPr="00643B02" w:rsidRDefault="00643B02" w:rsidP="00643B02">
      <w:pPr>
        <w:spacing w:before="100" w:beforeAutospacing="1" w:after="100" w:afterAutospacing="1" w:line="240" w:lineRule="auto"/>
        <w:jc w:val="both"/>
        <w:rPr>
          <w:rFonts w:cstheme="minorHAnsi"/>
        </w:rPr>
      </w:pPr>
      <w:hyperlink r:id="rId28" w:history="1">
        <w:r w:rsidRPr="00643B02">
          <w:rPr>
            <w:rStyle w:val="Hyperlink"/>
            <w:rFonts w:cstheme="minorHAnsi"/>
          </w:rPr>
          <w:t>Employment Rights Bill</w:t>
        </w:r>
      </w:hyperlink>
      <w:r w:rsidRPr="00643B02">
        <w:rPr>
          <w:rFonts w:cstheme="minorHAnsi"/>
        </w:rPr>
        <w:t xml:space="preserve"> </w:t>
      </w:r>
    </w:p>
    <w:p w14:paraId="40306CBF"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Evans, K., Schoon, I. and Weale, M., (2013b) CAN LIFELONG LEARNING RESHAPE LIFE CHANCES? </w:t>
      </w:r>
      <w:r w:rsidRPr="00643B02">
        <w:rPr>
          <w:rFonts w:cstheme="minorHAnsi"/>
          <w:i/>
          <w:iCs/>
        </w:rPr>
        <w:t>British Journal of Educational Studies, </w:t>
      </w:r>
      <w:r w:rsidRPr="00643B02">
        <w:rPr>
          <w:rFonts w:cstheme="minorHAnsi"/>
        </w:rPr>
        <w:t>61(1), pp. 25–47.</w:t>
      </w:r>
    </w:p>
    <w:p w14:paraId="1CC8C1AB" w14:textId="77777777" w:rsidR="00643B02" w:rsidRPr="00643B02" w:rsidRDefault="00643B02" w:rsidP="00643B02">
      <w:pPr>
        <w:spacing w:before="100" w:beforeAutospacing="1" w:after="100" w:afterAutospacing="1" w:line="240" w:lineRule="auto"/>
        <w:jc w:val="both"/>
        <w:rPr>
          <w:rFonts w:cstheme="minorHAnsi"/>
        </w:rPr>
      </w:pPr>
      <w:hyperlink r:id="rId29" w:history="1">
        <w:r w:rsidRPr="00643B02">
          <w:rPr>
            <w:rStyle w:val="Hyperlink"/>
            <w:rFonts w:cstheme="minorHAnsi"/>
          </w:rPr>
          <w:t>government recycling data wales - Search Images</w:t>
        </w:r>
      </w:hyperlink>
      <w:r w:rsidRPr="00643B02">
        <w:rPr>
          <w:rFonts w:cstheme="minorHAnsi"/>
        </w:rPr>
        <w:t xml:space="preserve"> - </w:t>
      </w:r>
      <w:hyperlink r:id="rId30" w:history="1">
        <w:r w:rsidRPr="00643B02">
          <w:rPr>
            <w:rStyle w:val="Hyperlink"/>
            <w:rFonts w:cstheme="minorHAnsi"/>
          </w:rPr>
          <w:t>https://www.bing.com/images/search?view=detailV2&amp;ccid=yKqrx%2FPX&amp;id=99D843242110ADC64623B7296CF0EECCDA80C81E&amp;thid=OIP.yKqrx_PX7wfMkYsu8Sry5gHaEK&amp;mediaurl=https%3A%2F%2Fichef.bbci.co.uk%2Fnews%2F976%2Fcpsprodpb%2F188F%2Fproduction%2F_124678260_microsoftteams-image-1.png&amp;cdnurl=https%3A%2F%2Fth.bing.com%2Fth%2Fid%2FR.c8aaabc7f3d7ef07cc918b2ef12af2e6%3Frik%3DHsiA2szu8Gwptw%26pid%3DImgRaw%26r%3D0&amp;exph=549&amp;expw=976&amp;q=government+recycling+data+wales&amp;simid=608033229673614003&amp;FORM=IRPRST&amp;ck=0AB0D6C753FB2F09A33AC614D2716617&amp;selectedIndex=8&amp;itb=0&amp;cw=1145&amp;ch=506&amp;ajaxhist=0&amp;ajaxserp=0</w:t>
        </w:r>
      </w:hyperlink>
    </w:p>
    <w:p w14:paraId="5CBA6E46" w14:textId="77777777" w:rsidR="00643B02" w:rsidRPr="00643B02" w:rsidRDefault="00643B02" w:rsidP="00643B02">
      <w:pPr>
        <w:spacing w:before="100" w:beforeAutospacing="1" w:after="100" w:afterAutospacing="1" w:line="240" w:lineRule="auto"/>
        <w:jc w:val="both"/>
        <w:rPr>
          <w:rFonts w:cstheme="minorHAnsi"/>
        </w:rPr>
      </w:pPr>
    </w:p>
    <w:p w14:paraId="77255343"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Gupta, M. and Gupta, M. (eds) (2021) </w:t>
      </w:r>
      <w:r w:rsidRPr="00643B02">
        <w:rPr>
          <w:rFonts w:cstheme="minorHAnsi"/>
          <w:i/>
          <w:iCs/>
        </w:rPr>
        <w:t>Management practices for engaging a diverse workforce : tools to enhance workplace culture</w:t>
      </w:r>
      <w:r w:rsidRPr="00643B02">
        <w:rPr>
          <w:rFonts w:cstheme="minorHAnsi"/>
        </w:rPr>
        <w:t>. Burlington, ON, Canada ; Apple Academic Press.</w:t>
      </w:r>
    </w:p>
    <w:p w14:paraId="6DF81764"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Helm, H. (2014) </w:t>
      </w:r>
      <w:r w:rsidRPr="00643B02">
        <w:rPr>
          <w:rFonts w:cstheme="minorHAnsi"/>
          <w:i/>
          <w:iCs/>
        </w:rPr>
        <w:t>Defensive Driving Skills for Public Health - How Strategic Thinking Can Be an Effective Tool for Sustainability in a Shifting Environment.</w:t>
      </w:r>
      <w:r w:rsidRPr="00643B02">
        <w:rPr>
          <w:rFonts w:cstheme="minorHAnsi"/>
        </w:rPr>
        <w:t> </w:t>
      </w:r>
      <w:hyperlink r:id="rId31" w:history="1">
        <w:r w:rsidRPr="00643B02">
          <w:rPr>
            <w:rStyle w:val="Hyperlink"/>
            <w:rFonts w:cstheme="minorHAnsi"/>
          </w:rPr>
          <w:t>https://doi.org/10.17615/fj36-xy60</w:t>
        </w:r>
      </w:hyperlink>
      <w:r w:rsidRPr="00643B02">
        <w:rPr>
          <w:rFonts w:cstheme="minorHAnsi"/>
        </w:rPr>
        <w:t>. Updated April 3, 2020</w:t>
      </w:r>
    </w:p>
    <w:p w14:paraId="61A64073"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lastRenderedPageBreak/>
        <w:t>Hersch, J., (2024). Sexual harassment in the workplace. </w:t>
      </w:r>
      <w:r w:rsidRPr="00643B02">
        <w:rPr>
          <w:rFonts w:cstheme="minorHAnsi"/>
          <w:i/>
          <w:iCs/>
        </w:rPr>
        <w:t>IZA world of labour</w:t>
      </w:r>
      <w:r w:rsidRPr="00643B02">
        <w:rPr>
          <w:rFonts w:cstheme="minorHAnsi"/>
        </w:rPr>
        <w:t xml:space="preserve">.: 188 doi: 10.15185/izawol.188.v2 </w:t>
      </w:r>
    </w:p>
    <w:p w14:paraId="420375FC"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Hitt, M.A., Keats, B.W. and DeMarie, S.M., (1998). Navigating in the new competitive landscape: Building strategic flexibility and competitive advantage in the 21st century. </w:t>
      </w:r>
      <w:r w:rsidRPr="00643B02">
        <w:rPr>
          <w:rFonts w:cstheme="minorHAnsi"/>
          <w:i/>
          <w:iCs/>
        </w:rPr>
        <w:t>Academy of Management Perspectives</w:t>
      </w:r>
      <w:r w:rsidRPr="00643B02">
        <w:rPr>
          <w:rFonts w:cstheme="minorHAnsi"/>
        </w:rPr>
        <w:t>, </w:t>
      </w:r>
      <w:r w:rsidRPr="00643B02">
        <w:rPr>
          <w:rFonts w:cstheme="minorHAnsi"/>
          <w:i/>
          <w:iCs/>
        </w:rPr>
        <w:t>12</w:t>
      </w:r>
      <w:r w:rsidRPr="00643B02">
        <w:rPr>
          <w:rFonts w:cstheme="minorHAnsi"/>
        </w:rPr>
        <w:t>(4), pp.22-42.</w:t>
      </w:r>
    </w:p>
    <w:p w14:paraId="19D22834"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Hill, T. and Westbrook, R., (1997). SWOT analysis: It's time for a product recall. </w:t>
      </w:r>
      <w:r w:rsidRPr="00643B02">
        <w:rPr>
          <w:rFonts w:cstheme="minorHAnsi"/>
          <w:i/>
          <w:iCs/>
        </w:rPr>
        <w:t>Long range planning</w:t>
      </w:r>
      <w:r w:rsidRPr="00643B02">
        <w:rPr>
          <w:rFonts w:cstheme="minorHAnsi"/>
        </w:rPr>
        <w:t>, </w:t>
      </w:r>
      <w:r w:rsidRPr="00643B02">
        <w:rPr>
          <w:rFonts w:cstheme="minorHAnsi"/>
          <w:i/>
          <w:iCs/>
        </w:rPr>
        <w:t>30</w:t>
      </w:r>
      <w:r w:rsidRPr="00643B02">
        <w:rPr>
          <w:rFonts w:cstheme="minorHAnsi"/>
        </w:rPr>
        <w:t>(1), pp.46-52.</w:t>
      </w:r>
    </w:p>
    <w:p w14:paraId="2E5D1CB2" w14:textId="77777777" w:rsidR="00643B02" w:rsidRPr="00643B02" w:rsidRDefault="00643B02" w:rsidP="00643B02">
      <w:pPr>
        <w:spacing w:before="100" w:beforeAutospacing="1" w:after="100" w:afterAutospacing="1" w:line="240" w:lineRule="auto"/>
        <w:jc w:val="both"/>
        <w:rPr>
          <w:rFonts w:cstheme="minorHAnsi"/>
          <w:u w:val="single"/>
        </w:rPr>
      </w:pPr>
      <w:hyperlink r:id="rId32" w:history="1">
        <w:r w:rsidRPr="00643B02">
          <w:rPr>
            <w:rStyle w:val="Hyperlink"/>
            <w:rFonts w:cstheme="minorHAnsi"/>
          </w:rPr>
          <w:t>How to build better relationships with your Trade Unions | Involvement &amp; Participation Association</w:t>
        </w:r>
      </w:hyperlink>
    </w:p>
    <w:p w14:paraId="4522AF48" w14:textId="77777777" w:rsidR="00643B02" w:rsidRPr="00643B02" w:rsidRDefault="00643B02" w:rsidP="00643B02">
      <w:pPr>
        <w:spacing w:before="100" w:beforeAutospacing="1" w:after="100" w:afterAutospacing="1" w:line="240" w:lineRule="auto"/>
        <w:jc w:val="both"/>
        <w:rPr>
          <w:rFonts w:cstheme="minorHAnsi"/>
        </w:rPr>
      </w:pPr>
      <w:hyperlink r:id="rId33" w:history="1">
        <w:r w:rsidRPr="00643B02">
          <w:rPr>
            <w:rStyle w:val="Hyperlink"/>
            <w:rFonts w:cstheme="minorHAnsi"/>
          </w:rPr>
          <w:t>IZA World of Labor - Sexual harassment in the workplace</w:t>
        </w:r>
      </w:hyperlink>
    </w:p>
    <w:p w14:paraId="5EAB3618"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Jaleniauskiene, E., &amp; Kasperiuniene, J. (2023). Infographics in higher education: A scoping review. E-Learning and Digital Media, 20(2), 191-206. </w:t>
      </w:r>
      <w:hyperlink r:id="rId34" w:history="1">
        <w:r w:rsidRPr="00643B02">
          <w:rPr>
            <w:rStyle w:val="Hyperlink"/>
            <w:rFonts w:cstheme="minorHAnsi"/>
          </w:rPr>
          <w:t>https://doi.org/10.1177/20427530221107774</w:t>
        </w:r>
      </w:hyperlink>
    </w:p>
    <w:p w14:paraId="694727DC"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James Relly, S., &amp; Laczik, A. (2021) Apprenticeship, employer engagement and vocational formation: a process of collaboration. Journal of Education and Work, 35(1), 1–15. </w:t>
      </w:r>
      <w:hyperlink r:id="rId35" w:history="1">
        <w:r w:rsidRPr="00643B02">
          <w:rPr>
            <w:rStyle w:val="Hyperlink"/>
            <w:rFonts w:cstheme="minorHAnsi"/>
          </w:rPr>
          <w:t>https://doi.org/10.1080/13639080.2021.1983524</w:t>
        </w:r>
      </w:hyperlink>
    </w:p>
    <w:p w14:paraId="69D10766" w14:textId="77777777" w:rsidR="00643B02" w:rsidRPr="00643B02" w:rsidRDefault="00643B02" w:rsidP="00643B02">
      <w:pPr>
        <w:spacing w:before="100" w:beforeAutospacing="1" w:after="100" w:afterAutospacing="1" w:line="240" w:lineRule="auto"/>
        <w:jc w:val="both"/>
        <w:rPr>
          <w:rFonts w:cstheme="minorHAnsi"/>
        </w:rPr>
      </w:pPr>
      <w:bookmarkStart w:id="3" w:name="_Hlk183958553"/>
      <w:r w:rsidRPr="00643B02">
        <w:rPr>
          <w:rFonts w:cstheme="minorHAnsi"/>
        </w:rPr>
        <w:t>Khan, A. S., Bibi, A. ., Khan, A. . and Ahmad, I. (2023)</w:t>
      </w:r>
      <w:bookmarkEnd w:id="3"/>
      <w:r w:rsidRPr="00643B02">
        <w:rPr>
          <w:rFonts w:cstheme="minorHAnsi"/>
        </w:rPr>
        <w:t xml:space="preserve"> “Responsibility of Sexual Violence Under International Law ”, </w:t>
      </w:r>
      <w:r w:rsidRPr="00643B02">
        <w:rPr>
          <w:rFonts w:cstheme="minorHAnsi"/>
          <w:i/>
          <w:iCs/>
        </w:rPr>
        <w:t>Journal of Social Sciences Review</w:t>
      </w:r>
      <w:r w:rsidRPr="00643B02">
        <w:rPr>
          <w:rFonts w:cstheme="minorHAnsi"/>
        </w:rPr>
        <w:t>, 3(1), pp. 29–41. doi: 10.54183/jssr.v3i1.110.</w:t>
      </w:r>
    </w:p>
    <w:p w14:paraId="1315C427"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Kokemuller, Neil. "Relationships Between PEST and SWOT." </w:t>
      </w:r>
      <w:r w:rsidRPr="00643B02">
        <w:rPr>
          <w:rFonts w:cstheme="minorHAnsi"/>
          <w:i/>
          <w:iCs/>
        </w:rPr>
        <w:t>Chron </w:t>
      </w:r>
      <w:r w:rsidRPr="00643B02">
        <w:rPr>
          <w:rFonts w:cstheme="minorHAnsi"/>
        </w:rPr>
        <w:t>, 11 Jan. (2019), smallbusiness.chron.com/relationships-between-pest-swot-10083.html. Accessed 16 July 2024.</w:t>
      </w:r>
    </w:p>
    <w:p w14:paraId="4512B574" w14:textId="77777777" w:rsidR="00643B02" w:rsidRPr="00643B02" w:rsidRDefault="00643B02" w:rsidP="00643B02">
      <w:pPr>
        <w:spacing w:before="100" w:beforeAutospacing="1" w:after="100" w:afterAutospacing="1" w:line="240" w:lineRule="auto"/>
        <w:jc w:val="both"/>
        <w:rPr>
          <w:rFonts w:cstheme="minorHAnsi"/>
          <w:u w:val="single"/>
        </w:rPr>
      </w:pPr>
      <w:hyperlink r:id="rId36" w:tgtFrame="_blank" w:history="1">
        <w:bookmarkStart w:id="4" w:name="_Hlk183885067"/>
        <w:r w:rsidRPr="00643B02">
          <w:rPr>
            <w:rStyle w:val="Hyperlink"/>
            <w:rFonts w:cstheme="minorHAnsi"/>
          </w:rPr>
          <w:t>Künn, A., Abbink, H., Baumann, S., Van Elferen, S., Fouarge</w:t>
        </w:r>
        <w:bookmarkEnd w:id="4"/>
        <w:r w:rsidRPr="00643B02">
          <w:rPr>
            <w:rStyle w:val="Hyperlink"/>
            <w:rFonts w:cstheme="minorHAnsi"/>
          </w:rPr>
          <w:t>, D. </w:t>
        </w:r>
        <w:r w:rsidRPr="00643B02">
          <w:rPr>
            <w:rStyle w:val="Hyperlink"/>
            <w:rFonts w:cstheme="minorHAnsi"/>
            <w:i/>
            <w:iCs/>
          </w:rPr>
          <w:t>Leven lang ontwikkelen in Nederland</w:t>
        </w:r>
        <w:r w:rsidRPr="00643B02">
          <w:rPr>
            <w:rStyle w:val="Hyperlink"/>
            <w:rFonts w:cstheme="minorHAnsi"/>
          </w:rPr>
          <w:t> Maastricht University, ROA Rapport ROA-R-2022/1 No.001, 2022.</w:t>
        </w:r>
      </w:hyperlink>
    </w:p>
    <w:p w14:paraId="79C80033"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Lavi, D.S.R. and Alberstein, M., (2024). In the Shadow of the Law: Applying Therapeutic Approaches to Sexual Harassment Conflicts in the Context of# MeToo Sexual Harassment Conflicts in the Context of# MeToo.</w:t>
      </w:r>
    </w:p>
    <w:p w14:paraId="08BC954C"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Learned, E.P.; Christensen, C.R.; Andrews, K.E.; Guth, W.D. </w:t>
      </w:r>
      <w:r w:rsidRPr="00643B02">
        <w:rPr>
          <w:rFonts w:cstheme="minorHAnsi"/>
          <w:i/>
          <w:iCs/>
        </w:rPr>
        <w:t>Business Policy: Text and Cases</w:t>
      </w:r>
      <w:r w:rsidRPr="00643B02">
        <w:rPr>
          <w:rFonts w:cstheme="minorHAnsi"/>
        </w:rPr>
        <w:t>, 5th ed.; Richard, D., Ed.; Irwin: Homewood, IL, USA, (1982).</w:t>
      </w:r>
      <w:bookmarkStart w:id="5" w:name="_Hlk183884198"/>
    </w:p>
    <w:bookmarkEnd w:id="5"/>
    <w:p w14:paraId="45B84652"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LIN, H., (2006). Ethical Applications of Technology in HRD: A PEST Analysis and Implications. </w:t>
      </w:r>
      <w:r w:rsidRPr="00643B02">
        <w:rPr>
          <w:rFonts w:cstheme="minorHAnsi"/>
          <w:i/>
          <w:iCs/>
        </w:rPr>
        <w:t>Performance Improvement Quarterly, </w:t>
      </w:r>
      <w:r w:rsidRPr="00643B02">
        <w:rPr>
          <w:rFonts w:cstheme="minorHAnsi"/>
          <w:b/>
          <w:bCs/>
        </w:rPr>
        <w:t>19</w:t>
      </w:r>
      <w:r w:rsidRPr="00643B02">
        <w:rPr>
          <w:rFonts w:cstheme="minorHAnsi"/>
        </w:rPr>
        <w:t>(4), pp. 91-105.</w:t>
      </w:r>
    </w:p>
    <w:p w14:paraId="496E9D18"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Lorenz, R. (2022) </w:t>
      </w:r>
      <w:r w:rsidRPr="00643B02">
        <w:rPr>
          <w:rFonts w:cstheme="minorHAnsi"/>
          <w:i/>
          <w:iCs/>
        </w:rPr>
        <w:t>Technology Transfer Training Needs and Assessment: Manual and Toolkit</w:t>
      </w:r>
      <w:r w:rsidRPr="00643B02">
        <w:rPr>
          <w:rFonts w:cstheme="minorHAnsi"/>
        </w:rPr>
        <w:t>. World Intellectual Property Organization.</w:t>
      </w:r>
    </w:p>
    <w:p w14:paraId="338D6B60" w14:textId="77777777" w:rsidR="00643B02" w:rsidRPr="00643B02" w:rsidRDefault="00643B02" w:rsidP="00643B02">
      <w:pPr>
        <w:spacing w:before="100" w:beforeAutospacing="1" w:after="100" w:afterAutospacing="1" w:line="240" w:lineRule="auto"/>
        <w:jc w:val="both"/>
        <w:rPr>
          <w:rFonts w:cstheme="minorHAnsi"/>
        </w:rPr>
      </w:pPr>
    </w:p>
    <w:p w14:paraId="535D0A8E" w14:textId="77777777" w:rsidR="00643B02" w:rsidRPr="00643B02" w:rsidRDefault="00643B02" w:rsidP="00643B02">
      <w:pPr>
        <w:spacing w:before="100" w:beforeAutospacing="1" w:after="100" w:afterAutospacing="1" w:line="240" w:lineRule="auto"/>
        <w:jc w:val="both"/>
        <w:rPr>
          <w:rFonts w:cstheme="minorHAnsi"/>
        </w:rPr>
      </w:pPr>
      <w:bookmarkStart w:id="6" w:name="_Hlk183881064"/>
      <w:r w:rsidRPr="00643B02">
        <w:rPr>
          <w:rFonts w:cstheme="minorHAnsi"/>
        </w:rPr>
        <w:t>Lozano, M. and Vallés, J., (2007</w:t>
      </w:r>
      <w:bookmarkEnd w:id="6"/>
      <w:r w:rsidRPr="00643B02">
        <w:rPr>
          <w:rFonts w:cstheme="minorHAnsi"/>
        </w:rPr>
        <w:t>). An analysis of the implementation of an environmental management system in a local public administration. </w:t>
      </w:r>
      <w:r w:rsidRPr="00643B02">
        <w:rPr>
          <w:rFonts w:cstheme="minorHAnsi"/>
          <w:i/>
          <w:iCs/>
        </w:rPr>
        <w:t>Journal of environmental management</w:t>
      </w:r>
      <w:r w:rsidRPr="00643B02">
        <w:rPr>
          <w:rFonts w:cstheme="minorHAnsi"/>
        </w:rPr>
        <w:t>, </w:t>
      </w:r>
      <w:r w:rsidRPr="00643B02">
        <w:rPr>
          <w:rFonts w:cstheme="minorHAnsi"/>
          <w:i/>
          <w:iCs/>
        </w:rPr>
        <w:t>82</w:t>
      </w:r>
      <w:r w:rsidRPr="00643B02">
        <w:rPr>
          <w:rFonts w:cstheme="minorHAnsi"/>
        </w:rPr>
        <w:t>(4), pp.495-511.</w:t>
      </w:r>
    </w:p>
    <w:p w14:paraId="336ACAC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Madureira, T., Nunes, F., Mata, F. and Vaz-Velho, M., (2024) A SWOT Analysis of Organizations in the Agri-Food Chain Sector from the Northern Region of Portugal Using the PESTEL and MEETHS Frameworks. </w:t>
      </w:r>
      <w:r w:rsidRPr="00643B02">
        <w:rPr>
          <w:rFonts w:cstheme="minorHAnsi"/>
          <w:i/>
          <w:iCs/>
        </w:rPr>
        <w:t>Agriculture</w:t>
      </w:r>
      <w:r w:rsidRPr="00643B02">
        <w:rPr>
          <w:rFonts w:cstheme="minorHAnsi"/>
        </w:rPr>
        <w:t>, </w:t>
      </w:r>
      <w:r w:rsidRPr="00643B02">
        <w:rPr>
          <w:rFonts w:cstheme="minorHAnsi"/>
          <w:i/>
          <w:iCs/>
        </w:rPr>
        <w:t>14</w:t>
      </w:r>
      <w:r w:rsidRPr="00643B02">
        <w:rPr>
          <w:rFonts w:cstheme="minorHAnsi"/>
        </w:rPr>
        <w:t xml:space="preserve">(9), p.1554. </w:t>
      </w:r>
      <w:hyperlink r:id="rId37" w:history="1">
        <w:r w:rsidRPr="00643B02">
          <w:rPr>
            <w:rStyle w:val="Hyperlink"/>
            <w:rFonts w:cstheme="minorHAnsi"/>
            <w:b/>
            <w:bCs/>
          </w:rPr>
          <w:t>https://doi.org/10.3390/agriculture14091554</w:t>
        </w:r>
      </w:hyperlink>
    </w:p>
    <w:p w14:paraId="22F1B199"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lastRenderedPageBreak/>
        <w:t>Madden, B. and Florin, N., (2024). Characterisation of household single-use packaging flows through a municipal waste system: a material flow analysis for New South Wales, Australia. </w:t>
      </w:r>
      <w:r w:rsidRPr="00643B02">
        <w:rPr>
          <w:rFonts w:cstheme="minorHAnsi"/>
          <w:i/>
          <w:iCs/>
        </w:rPr>
        <w:t>Heliyon</w:t>
      </w:r>
      <w:r w:rsidRPr="00643B02">
        <w:rPr>
          <w:rFonts w:cstheme="minorHAnsi"/>
        </w:rPr>
        <w:t>.</w:t>
      </w:r>
    </w:p>
    <w:p w14:paraId="2D36FFBE"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Mason, Roger. (2007). The external environment’s effect on management and strategy: A complexity theory approach. Management Decision. 45. 10.1108/00251740710718935</w:t>
      </w:r>
    </w:p>
    <w:p w14:paraId="31FDE89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Malcolm Martin, Fiona Whiting and Tricia Jackson (2010); Human Resource Practice 5</w:t>
      </w:r>
      <w:r w:rsidRPr="00643B02">
        <w:rPr>
          <w:rFonts w:cstheme="minorHAnsi"/>
          <w:vertAlign w:val="superscript"/>
        </w:rPr>
        <w:t>th</w:t>
      </w:r>
      <w:r w:rsidRPr="00643B02">
        <w:rPr>
          <w:rFonts w:cstheme="minorHAnsi"/>
        </w:rPr>
        <w:t xml:space="preserve"> Edition </w:t>
      </w:r>
    </w:p>
    <w:p w14:paraId="74D127D8"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Mamula Nikolić, Tatjana. (2024). Business Reintegration Living with the Tsunami How to Thrive on the Waves of Change 2.</w:t>
      </w:r>
    </w:p>
    <w:p w14:paraId="16F289C0"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Medeiros, K. and Griffith, J. (2019) ‘#Ustoo: How I-O psychologists can extend the conversation on sexual harassment and sexual assault through workplace training’, </w:t>
      </w:r>
      <w:r w:rsidRPr="00643B02">
        <w:rPr>
          <w:rFonts w:cstheme="minorHAnsi"/>
          <w:i/>
          <w:iCs/>
        </w:rPr>
        <w:t>Industrial and Organizational Psychology</w:t>
      </w:r>
      <w:r w:rsidRPr="00643B02">
        <w:rPr>
          <w:rFonts w:cstheme="minorHAnsi"/>
        </w:rPr>
        <w:t>, 12(1), pp. 1–19. doi:10.1017/iop.2018.155.</w:t>
      </w:r>
    </w:p>
    <w:p w14:paraId="719B3D06"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Metcalf, E. and Heller, J. (2022) “Building a Deliberate and Repeatable Program for Developing Leaders of Character”, </w:t>
      </w:r>
      <w:r w:rsidRPr="00643B02">
        <w:rPr>
          <w:rFonts w:cstheme="minorHAnsi"/>
          <w:i/>
          <w:iCs/>
        </w:rPr>
        <w:t>Journal of Character and Leadership Development</w:t>
      </w:r>
      <w:r w:rsidRPr="00643B02">
        <w:rPr>
          <w:rFonts w:cstheme="minorHAnsi"/>
        </w:rPr>
        <w:t>, 10(1), pp. 58–64. doi: 10.58315/jcld.v10.252 .</w:t>
      </w:r>
    </w:p>
    <w:p w14:paraId="6B810ACF"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 xml:space="preserve">McDonald, P., Charlesworth, S., &amp; Graham, T. (2015). Action or inaction: bystander intervention in workplace sexual harassment. The International Journal of Human Resource Management, 27(5), 548-566. </w:t>
      </w:r>
      <w:hyperlink r:id="rId38" w:history="1">
        <w:r w:rsidRPr="00643B02">
          <w:rPr>
            <w:rStyle w:val="Hyperlink"/>
            <w:rFonts w:cstheme="minorHAnsi"/>
          </w:rPr>
          <w:t>https://doi.org/10.1080/09585192.2015.1023331</w:t>
        </w:r>
      </w:hyperlink>
    </w:p>
    <w:p w14:paraId="50889C50" w14:textId="77777777" w:rsidR="00643B02" w:rsidRPr="00643B02" w:rsidRDefault="00643B02" w:rsidP="00643B02">
      <w:pPr>
        <w:spacing w:before="100" w:beforeAutospacing="1" w:after="100" w:afterAutospacing="1" w:line="240" w:lineRule="auto"/>
        <w:jc w:val="both"/>
        <w:rPr>
          <w:rFonts w:cstheme="minorHAnsi"/>
        </w:rPr>
      </w:pPr>
      <w:hyperlink r:id="rId39" w:history="1">
        <w:r w:rsidRPr="00643B02">
          <w:rPr>
            <w:rStyle w:val="Hyperlink"/>
            <w:rFonts w:cstheme="minorHAnsi"/>
          </w:rPr>
          <w:t>McDonald's workers speak out over sexual abuse claims - BBC News</w:t>
        </w:r>
      </w:hyperlink>
    </w:p>
    <w:p w14:paraId="23E17F4F"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McMahon, W.W. and Oketch, M., (2013) Education's Effects on Individual Life Chances and On Development: An Overview. </w:t>
      </w:r>
      <w:r w:rsidRPr="00643B02">
        <w:rPr>
          <w:rFonts w:cstheme="minorHAnsi"/>
          <w:i/>
          <w:iCs/>
        </w:rPr>
        <w:t>British Journal of Educational Studies, </w:t>
      </w:r>
      <w:r w:rsidRPr="00643B02">
        <w:rPr>
          <w:rFonts w:cstheme="minorHAnsi"/>
        </w:rPr>
        <w:t>61(1), pp. 79–107.</w:t>
      </w:r>
    </w:p>
    <w:p w14:paraId="1CDDAFCD"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Menon, A., Bharadwaj, S.G., Adidam, P.T. and Edison, S.W., )1999). Antecedents and consequences of marketing strategy making: a model and a test. </w:t>
      </w:r>
      <w:r w:rsidRPr="00643B02">
        <w:rPr>
          <w:rFonts w:cstheme="minorHAnsi"/>
          <w:i/>
          <w:iCs/>
        </w:rPr>
        <w:t>Journal of marketing</w:t>
      </w:r>
      <w:r w:rsidRPr="00643B02">
        <w:rPr>
          <w:rFonts w:cstheme="minorHAnsi"/>
        </w:rPr>
        <w:t>, </w:t>
      </w:r>
      <w:r w:rsidRPr="00643B02">
        <w:rPr>
          <w:rFonts w:cstheme="minorHAnsi"/>
          <w:i/>
          <w:iCs/>
        </w:rPr>
        <w:t>63</w:t>
      </w:r>
      <w:r w:rsidRPr="00643B02">
        <w:rPr>
          <w:rFonts w:cstheme="minorHAnsi"/>
        </w:rPr>
        <w:t>(2), pp.18-40.</w:t>
      </w:r>
    </w:p>
    <w:p w14:paraId="7FAE047D"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Mohammed, A., Ansah, E.W. and Apaak, D., (2023). Sexual harassment as experienced by nurses from selected healthcare facilities in Ghana. </w:t>
      </w:r>
      <w:r w:rsidRPr="00643B02">
        <w:rPr>
          <w:rFonts w:cstheme="minorHAnsi"/>
          <w:i/>
          <w:iCs/>
        </w:rPr>
        <w:t>BMC nursing</w:t>
      </w:r>
      <w:r w:rsidRPr="00643B02">
        <w:rPr>
          <w:rFonts w:cstheme="minorHAnsi"/>
        </w:rPr>
        <w:t>, </w:t>
      </w:r>
      <w:r w:rsidRPr="00643B02">
        <w:rPr>
          <w:rFonts w:cstheme="minorHAnsi"/>
          <w:i/>
          <w:iCs/>
        </w:rPr>
        <w:t>22</w:t>
      </w:r>
      <w:r w:rsidRPr="00643B02">
        <w:rPr>
          <w:rFonts w:cstheme="minorHAnsi"/>
        </w:rPr>
        <w:t>(1), p.117.</w:t>
      </w:r>
    </w:p>
    <w:p w14:paraId="51EF3861"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Morris A., (2024) Understanding the Trade Union Act 1992 for Employers. Davidson Morris Solicitors. Available at: </w:t>
      </w:r>
      <w:hyperlink r:id="rId40" w:history="1">
        <w:r w:rsidRPr="00643B02">
          <w:rPr>
            <w:rStyle w:val="Hyperlink"/>
            <w:rFonts w:cstheme="minorHAnsi"/>
          </w:rPr>
          <w:t>https://www.davidsonmorris.com/trade-union-act-1992/</w:t>
        </w:r>
      </w:hyperlink>
      <w:r w:rsidRPr="00643B02">
        <w:rPr>
          <w:rFonts w:cstheme="minorHAnsi"/>
        </w:rPr>
        <w:t> (Accessed 14 Dec 2024)</w:t>
      </w:r>
    </w:p>
    <w:p w14:paraId="6152BC93" w14:textId="77777777" w:rsidR="00643B02" w:rsidRPr="00643B02" w:rsidRDefault="00643B02" w:rsidP="00643B02">
      <w:pPr>
        <w:spacing w:before="100" w:beforeAutospacing="1" w:after="100" w:afterAutospacing="1" w:line="240" w:lineRule="auto"/>
        <w:jc w:val="both"/>
        <w:rPr>
          <w:rFonts w:cstheme="minorHAnsi"/>
          <w:u w:val="single"/>
        </w:rPr>
      </w:pPr>
      <w:hyperlink r:id="rId41" w:history="1">
        <w:r w:rsidRPr="00643B02">
          <w:rPr>
            <w:rStyle w:val="Hyperlink"/>
            <w:rFonts w:cstheme="minorHAnsi"/>
          </w:rPr>
          <w:t>New guidance to help eliminate workplace sexual harassment</w:t>
        </w:r>
      </w:hyperlink>
    </w:p>
    <w:p w14:paraId="3E193D5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Nikolaou, I.E. and Evangelinos, K.I., (2010). A SWOT analysis of environmental management practices in Greek Mining and Mineral Industry. </w:t>
      </w:r>
      <w:r w:rsidRPr="00643B02">
        <w:rPr>
          <w:rFonts w:cstheme="minorHAnsi"/>
          <w:i/>
          <w:iCs/>
        </w:rPr>
        <w:t>Resources Policy</w:t>
      </w:r>
      <w:r w:rsidRPr="00643B02">
        <w:rPr>
          <w:rFonts w:cstheme="minorHAnsi"/>
        </w:rPr>
        <w:t>, </w:t>
      </w:r>
      <w:r w:rsidRPr="00643B02">
        <w:rPr>
          <w:rFonts w:cstheme="minorHAnsi"/>
          <w:i/>
          <w:iCs/>
        </w:rPr>
        <w:t>35</w:t>
      </w:r>
      <w:r w:rsidRPr="00643B02">
        <w:rPr>
          <w:rFonts w:cstheme="minorHAnsi"/>
        </w:rPr>
        <w:t>(3), pp.226-234.</w:t>
      </w:r>
    </w:p>
    <w:p w14:paraId="69537963"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Nuraini, N., 2024. Creating Environments for Continuous Employee Development and Learning. </w:t>
      </w:r>
      <w:r w:rsidRPr="00643B02">
        <w:rPr>
          <w:rFonts w:cstheme="minorHAnsi"/>
          <w:i/>
          <w:iCs/>
        </w:rPr>
        <w:t>Economics and Digital Business Review</w:t>
      </w:r>
      <w:r w:rsidRPr="00643B02">
        <w:rPr>
          <w:rFonts w:cstheme="minorHAnsi"/>
        </w:rPr>
        <w:t>, </w:t>
      </w:r>
      <w:r w:rsidRPr="00643B02">
        <w:rPr>
          <w:rFonts w:cstheme="minorHAnsi"/>
          <w:i/>
          <w:iCs/>
        </w:rPr>
        <w:t>5</w:t>
      </w:r>
      <w:r w:rsidRPr="00643B02">
        <w:rPr>
          <w:rFonts w:cstheme="minorHAnsi"/>
        </w:rPr>
        <w:t xml:space="preserve">(1), pp.769-789. </w:t>
      </w:r>
      <w:hyperlink r:id="rId42" w:history="1">
        <w:r w:rsidRPr="00643B02">
          <w:rPr>
            <w:rStyle w:val="Hyperlink"/>
            <w:rFonts w:cstheme="minorHAnsi"/>
          </w:rPr>
          <w:t>https://doi.org/10.37531/ecotal.v5i1.1287</w:t>
        </w:r>
      </w:hyperlink>
    </w:p>
    <w:p w14:paraId="4264C70C"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Office for National Statistics (2023) Population and migration statistics transformation, Ceredigion case study: 2023.Understanding the effectiveness of our administrative data in telling the story of Ceredigion.  Available at: </w:t>
      </w:r>
      <w:hyperlink r:id="rId43" w:history="1">
        <w:r w:rsidRPr="00643B02">
          <w:rPr>
            <w:rStyle w:val="Hyperlink"/>
            <w:rFonts w:cstheme="minorHAnsi"/>
          </w:rPr>
          <w:t>Population and migration statistics transformation, Ceredigion case study - Office for National Statistics</w:t>
        </w:r>
      </w:hyperlink>
      <w:r w:rsidRPr="00643B02">
        <w:rPr>
          <w:rFonts w:cstheme="minorHAnsi"/>
        </w:rPr>
        <w:t xml:space="preserve"> (Accessed 12 December 2024).</w:t>
      </w:r>
    </w:p>
    <w:p w14:paraId="2F34E968"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lastRenderedPageBreak/>
        <w:t>Orr, L. (2021) ‘A review of the state of trade union-based worker education’, </w:t>
      </w:r>
      <w:r w:rsidRPr="00643B02">
        <w:rPr>
          <w:rFonts w:cstheme="minorHAnsi"/>
          <w:i/>
          <w:iCs/>
        </w:rPr>
        <w:t>Social Dynamics</w:t>
      </w:r>
      <w:r w:rsidRPr="00643B02">
        <w:rPr>
          <w:rFonts w:cstheme="minorHAnsi"/>
        </w:rPr>
        <w:t>, 47(3), pp. 498–515. doi: 10.1080/02533952.2021.1997302.</w:t>
      </w:r>
    </w:p>
    <w:p w14:paraId="1BEB10A7"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Pérez Ahumada, P. (2024). Class, union membership, and organizational commitment: A multilevel analysis of 28 countries. Economic and Industrial Democracy, 45(1), 219-245. </w:t>
      </w:r>
      <w:hyperlink r:id="rId44" w:history="1">
        <w:r w:rsidRPr="00643B02">
          <w:rPr>
            <w:rStyle w:val="Hyperlink"/>
            <w:rFonts w:cstheme="minorHAnsi"/>
          </w:rPr>
          <w:t>https://doi.org/10.1177/0143831X221148235</w:t>
        </w:r>
      </w:hyperlink>
      <w:r w:rsidRPr="00643B02">
        <w:rPr>
          <w:rFonts w:cstheme="minorHAnsi"/>
        </w:rPr>
        <w:t xml:space="preserve"> </w:t>
      </w:r>
    </w:p>
    <w:p w14:paraId="23EA904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Perunova, O., 2024. SEXUAL HARASSMENT AS A MANIFESTATION OF GENDER DISCRIMINATION AND HUMAN RIGHTS VIOLATIONS. </w:t>
      </w:r>
      <w:r w:rsidRPr="00643B02">
        <w:rPr>
          <w:rFonts w:cstheme="minorHAnsi"/>
          <w:i/>
          <w:iCs/>
        </w:rPr>
        <w:t>Європейські соціо-правові та гуманітарні студії</w:t>
      </w:r>
      <w:r w:rsidRPr="00643B02">
        <w:rPr>
          <w:rFonts w:cstheme="minorHAnsi"/>
        </w:rPr>
        <w:t>, (1), pp.102-109.</w:t>
      </w:r>
    </w:p>
    <w:p w14:paraId="78AE3481"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Picardi, C.A. (2020) </w:t>
      </w:r>
      <w:r w:rsidRPr="00643B02">
        <w:rPr>
          <w:rFonts w:cstheme="minorHAnsi"/>
          <w:i/>
          <w:iCs/>
        </w:rPr>
        <w:t>Recruitment and selection : strategies for workforce planning and assessment</w:t>
      </w:r>
      <w:r w:rsidRPr="00643B02">
        <w:rPr>
          <w:rFonts w:cstheme="minorHAnsi"/>
        </w:rPr>
        <w:t>. Los Angeles, California: SAGE.</w:t>
      </w:r>
    </w:p>
    <w:p w14:paraId="4E213FF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Qirg‘izaliyev, N.X., (2024) Analysis of work carried out on increasing the working resource of working parts of agricultural machines. </w:t>
      </w:r>
      <w:r w:rsidRPr="00643B02">
        <w:rPr>
          <w:rFonts w:cstheme="minorHAnsi"/>
          <w:i/>
          <w:iCs/>
        </w:rPr>
        <w:t>World of Scientific news in Science, </w:t>
      </w:r>
      <w:r w:rsidRPr="00643B02">
        <w:rPr>
          <w:rFonts w:cstheme="minorHAnsi"/>
        </w:rPr>
        <w:t>2(3), pp. 417–425.</w:t>
      </w:r>
    </w:p>
    <w:p w14:paraId="6C9F8706"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Rastogi, N. and Trivedi, m.k., (2016) PESTLE technique–a tool to identify external risks in construction projects. </w:t>
      </w:r>
      <w:r w:rsidRPr="00643B02">
        <w:rPr>
          <w:rFonts w:cstheme="minorHAnsi"/>
          <w:i/>
          <w:iCs/>
        </w:rPr>
        <w:t>International Research Journal of Engineering and Technology (IRJET), </w:t>
      </w:r>
      <w:r w:rsidRPr="00643B02">
        <w:rPr>
          <w:rFonts w:cstheme="minorHAnsi"/>
        </w:rPr>
        <w:t>3(1), pp. 384–388.</w:t>
      </w:r>
    </w:p>
    <w:p w14:paraId="3F0BD609"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Ramachandran, K.K., Srivastava, A., Panjwani, V., Kumar, D., Cheepurupalli, N.R. and Mohan, C.R., (2024). Developing AI-powered Training Programs for Employee Upskilling and Reskilling. </w:t>
      </w:r>
      <w:r w:rsidRPr="00643B02">
        <w:rPr>
          <w:rFonts w:cstheme="minorHAnsi"/>
          <w:i/>
          <w:iCs/>
        </w:rPr>
        <w:t>Journal of Informatics Education and Research</w:t>
      </w:r>
      <w:r w:rsidRPr="00643B02">
        <w:rPr>
          <w:rFonts w:cstheme="minorHAnsi"/>
        </w:rPr>
        <w:t>, </w:t>
      </w:r>
      <w:r w:rsidRPr="00643B02">
        <w:rPr>
          <w:rFonts w:cstheme="minorHAnsi"/>
          <w:i/>
          <w:iCs/>
        </w:rPr>
        <w:t>4</w:t>
      </w:r>
      <w:r w:rsidRPr="00643B02">
        <w:rPr>
          <w:rFonts w:cstheme="minorHAnsi"/>
        </w:rPr>
        <w:t>(2).</w:t>
      </w:r>
    </w:p>
    <w:p w14:paraId="441EDDA1"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 xml:space="preserve">Renesch, J., &amp; Chawla, S. (2006). Learning Organizations: Developing Cultures for Tomorrow's Workplace (1st ed.). Productivity Press. </w:t>
      </w:r>
      <w:hyperlink r:id="rId45" w:history="1">
        <w:r w:rsidRPr="00643B02">
          <w:rPr>
            <w:rStyle w:val="Hyperlink"/>
            <w:rFonts w:cstheme="minorHAnsi"/>
          </w:rPr>
          <w:t>https://doi.org/10.4324/9781003578840</w:t>
        </w:r>
      </w:hyperlink>
    </w:p>
    <w:p w14:paraId="6F293277"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Roy, S. </w:t>
      </w:r>
      <w:r w:rsidRPr="00643B02">
        <w:rPr>
          <w:rFonts w:cstheme="minorHAnsi"/>
          <w:i/>
          <w:iCs/>
        </w:rPr>
        <w:t>et al.</w:t>
      </w:r>
      <w:r w:rsidRPr="00643B02">
        <w:rPr>
          <w:rFonts w:cstheme="minorHAnsi"/>
        </w:rPr>
        <w:t xml:space="preserve"> (2023) ‘New opportunities and advances in quercetin-added functional packaging films for sustainable packaging applications: a mini-review’, </w:t>
      </w:r>
      <w:r w:rsidRPr="00643B02">
        <w:rPr>
          <w:rFonts w:cstheme="minorHAnsi"/>
          <w:i/>
          <w:iCs/>
        </w:rPr>
        <w:t>Critical Reviews in Food Science and Nutrition</w:t>
      </w:r>
      <w:r w:rsidRPr="00643B02">
        <w:rPr>
          <w:rFonts w:cstheme="minorHAnsi"/>
        </w:rPr>
        <w:t>, 64(23), pp. 8464–8479. doi: 10.1080/10408398.2023.2200553.</w:t>
      </w:r>
    </w:p>
    <w:p w14:paraId="1A81FC4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Rudman, A., &amp; Ellem, B. (2024). Union purpose and power: Regulating the fissured workplace. Economic and Industrial Democracy, 45(1), 200-218. </w:t>
      </w:r>
      <w:hyperlink r:id="rId46" w:history="1">
        <w:r w:rsidRPr="00643B02">
          <w:rPr>
            <w:rStyle w:val="Hyperlink"/>
            <w:rFonts w:cstheme="minorHAnsi"/>
          </w:rPr>
          <w:t>https://doi.org/10.1177/0143831X221139333</w:t>
        </w:r>
      </w:hyperlink>
    </w:p>
    <w:p w14:paraId="07B85C82" w14:textId="77777777" w:rsidR="00643B02" w:rsidRPr="00643B02" w:rsidRDefault="00643B02" w:rsidP="00643B02">
      <w:pPr>
        <w:spacing w:before="100" w:beforeAutospacing="1" w:after="100" w:afterAutospacing="1" w:line="240" w:lineRule="auto"/>
        <w:jc w:val="both"/>
        <w:rPr>
          <w:rFonts w:cstheme="minorHAnsi"/>
          <w:u w:val="single"/>
        </w:rPr>
      </w:pPr>
      <w:r w:rsidRPr="00643B02">
        <w:rPr>
          <w:rFonts w:cstheme="minorHAnsi"/>
        </w:rPr>
        <w:t>Shimada, G., 2024. Kaizen: Why is It so Difficult to Understand?. In </w:t>
      </w:r>
      <w:r w:rsidRPr="00643B02">
        <w:rPr>
          <w:rFonts w:cstheme="minorHAnsi"/>
          <w:i/>
          <w:iCs/>
        </w:rPr>
        <w:t>The Semantics of Development in Asia: Exploring ‘Untranslatable’Ideas Through Japan</w:t>
      </w:r>
      <w:r w:rsidRPr="00643B02">
        <w:rPr>
          <w:rFonts w:cstheme="minorHAnsi"/>
        </w:rPr>
        <w:t xml:space="preserve"> (pp. 29-43). Singapore: Springer Nature Singapore. </w:t>
      </w:r>
      <w:hyperlink r:id="rId47" w:history="1">
        <w:r w:rsidRPr="00643B02">
          <w:rPr>
            <w:rStyle w:val="Hyperlink"/>
            <w:rFonts w:cstheme="minorHAnsi"/>
          </w:rPr>
          <w:t>https://doi.org/10.1007/978-981-97-1215-1_3</w:t>
        </w:r>
      </w:hyperlink>
    </w:p>
    <w:p w14:paraId="46C18E7D" w14:textId="77777777" w:rsidR="00643B02" w:rsidRPr="00643B02" w:rsidRDefault="00643B02" w:rsidP="00643B02">
      <w:pPr>
        <w:spacing w:before="100" w:beforeAutospacing="1" w:after="100" w:afterAutospacing="1" w:line="240" w:lineRule="auto"/>
        <w:jc w:val="both"/>
        <w:rPr>
          <w:rFonts w:cstheme="minorHAnsi"/>
        </w:rPr>
      </w:pPr>
      <w:hyperlink r:id="rId48" w:history="1">
        <w:r w:rsidRPr="00643B02">
          <w:rPr>
            <w:rStyle w:val="Hyperlink"/>
            <w:rFonts w:cstheme="minorHAnsi"/>
          </w:rPr>
          <w:t>Skilling up your organisation now and for the future | CIPD</w:t>
        </w:r>
      </w:hyperlink>
    </w:p>
    <w:p w14:paraId="0A84322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Smidt, A., Adams-Clark, A., &amp; Freyd, J. (2023). Institutional courage buffers against institutional betrayal protects employee health, and fosters organizational commitment following workplace sexual harassment. Plos One, 18(1), e0278830. </w:t>
      </w:r>
      <w:hyperlink r:id="rId49" w:history="1">
        <w:r w:rsidRPr="00643B02">
          <w:rPr>
            <w:rStyle w:val="Hyperlink"/>
            <w:rFonts w:cstheme="minorHAnsi"/>
          </w:rPr>
          <w:t>https://doi.org/10.1371/journal.pone.0278830</w:t>
        </w:r>
      </w:hyperlink>
    </w:p>
    <w:p w14:paraId="0C847C07"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Sofia,  M.,  Fraboni,  F.,  De  Angelis,  M.,  Puzzo,  G.,  Giusino,  D.,  &amp;  Pietrantoni,  L.  (2023).  The  impact  of  artificial intelligence  on  workers’  skills:  Upskilling  and  reskilling  in  organisations. Informing  Science:  The  International Journal of an Emerging Transdiscipline, 26, 39-68. </w:t>
      </w:r>
      <w:hyperlink r:id="rId50" w:history="1">
        <w:r w:rsidRPr="00643B02">
          <w:rPr>
            <w:rStyle w:val="Hyperlink"/>
            <w:rFonts w:cstheme="minorHAnsi"/>
          </w:rPr>
          <w:t>https://cris.unibo.it/bitstream/11585/917132/1/InfoSciV26p039-068Morandini8895.pdf</w:t>
        </w:r>
      </w:hyperlink>
    </w:p>
    <w:p w14:paraId="5196D010"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Solotoff, L. and Kramer, H.S., (2024). </w:t>
      </w:r>
      <w:r w:rsidRPr="00643B02">
        <w:rPr>
          <w:rFonts w:cstheme="minorHAnsi"/>
          <w:i/>
          <w:iCs/>
        </w:rPr>
        <w:t>Sex Discrimination and Sexual Harassment in the Work Place</w:t>
      </w:r>
      <w:r w:rsidRPr="00643B02">
        <w:rPr>
          <w:rFonts w:cstheme="minorHAnsi"/>
        </w:rPr>
        <w:t>. Law Journal Press.</w:t>
      </w:r>
    </w:p>
    <w:p w14:paraId="21B8E682"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lastRenderedPageBreak/>
        <w:t xml:space="preserve">Solis, J.D. (2007) ‘Robert A. Reiser and John V. Dempsey, trends and issues in instructional design and technology (2nd ed.)’, </w:t>
      </w:r>
      <w:r w:rsidRPr="00643B02">
        <w:rPr>
          <w:rFonts w:cstheme="minorHAnsi"/>
          <w:i/>
          <w:iCs/>
        </w:rPr>
        <w:t>Educational technology research and development</w:t>
      </w:r>
      <w:r w:rsidRPr="00643B02">
        <w:rPr>
          <w:rFonts w:cstheme="minorHAnsi"/>
        </w:rPr>
        <w:t>. New York: Springer Nature B.V, pp. 193-.</w:t>
      </w:r>
    </w:p>
    <w:p w14:paraId="4D6FC3E5" w14:textId="77777777" w:rsidR="00643B02" w:rsidRPr="00643B02" w:rsidRDefault="00643B02" w:rsidP="00643B02">
      <w:pPr>
        <w:spacing w:before="100" w:beforeAutospacing="1" w:after="100" w:afterAutospacing="1" w:line="240" w:lineRule="auto"/>
        <w:jc w:val="both"/>
        <w:rPr>
          <w:rFonts w:cstheme="minorHAnsi"/>
        </w:rPr>
      </w:pPr>
    </w:p>
    <w:p w14:paraId="53BB0AA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Srdjevic, Z., Bajcetic, R. and Srdjevic, B., (2012) Identifying the criteria set for multicriteria decision making based on SWOT/PESTLE analysis: a case study of reconstructing a water intake structure. </w:t>
      </w:r>
      <w:r w:rsidRPr="00643B02">
        <w:rPr>
          <w:rFonts w:cstheme="minorHAnsi"/>
          <w:i/>
          <w:iCs/>
        </w:rPr>
        <w:t>Water Resources Management, </w:t>
      </w:r>
      <w:r w:rsidRPr="00643B02">
        <w:rPr>
          <w:rFonts w:cstheme="minorHAnsi"/>
        </w:rPr>
        <w:t xml:space="preserve">26, pp. 3379–3393. </w:t>
      </w:r>
      <w:hyperlink r:id="rId51" w:history="1">
        <w:r w:rsidRPr="00643B02">
          <w:rPr>
            <w:rStyle w:val="Hyperlink"/>
            <w:rFonts w:cstheme="minorHAnsi"/>
          </w:rPr>
          <w:t>https://doi.org/10.1007/s11269-012-0077-2</w:t>
        </w:r>
      </w:hyperlink>
    </w:p>
    <w:p w14:paraId="49944FB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Sun, Z., Tavakoli, S., Khalilpour, K., Voinov, A., &amp; Marshall, J. P. (2024). Barriers to Peer-to-Peer Energy Trading Networks: A Multi-Dimensional PESTLE Analysis. </w:t>
      </w:r>
      <w:r w:rsidRPr="00643B02">
        <w:rPr>
          <w:rFonts w:cstheme="minorHAnsi"/>
          <w:i/>
          <w:iCs/>
        </w:rPr>
        <w:t>Sustainability</w:t>
      </w:r>
      <w:r w:rsidRPr="00643B02">
        <w:rPr>
          <w:rFonts w:cstheme="minorHAnsi"/>
        </w:rPr>
        <w:t>, </w:t>
      </w:r>
      <w:r w:rsidRPr="00643B02">
        <w:rPr>
          <w:rFonts w:cstheme="minorHAnsi"/>
          <w:i/>
          <w:iCs/>
        </w:rPr>
        <w:t>16</w:t>
      </w:r>
      <w:r w:rsidRPr="00643B02">
        <w:rPr>
          <w:rFonts w:cstheme="minorHAnsi"/>
        </w:rPr>
        <w:t xml:space="preserve">(4), 1517. </w:t>
      </w:r>
      <w:hyperlink r:id="rId52" w:history="1">
        <w:r w:rsidRPr="00643B02">
          <w:rPr>
            <w:rStyle w:val="Hyperlink"/>
            <w:rFonts w:cstheme="minorHAnsi"/>
          </w:rPr>
          <w:t>https://doi.org/10.3390/su16041517</w:t>
        </w:r>
      </w:hyperlink>
    </w:p>
    <w:p w14:paraId="59C29E95"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Supriyadi, T., Rahmi, K.H. and Fahrudin, A., (2024) Role of Organizational Psychology in Handling Sexual Harassment Cases in the Workplace.</w:t>
      </w:r>
    </w:p>
    <w:p w14:paraId="1A4A8D14"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Taylor, S., (2024) </w:t>
      </w:r>
      <w:r w:rsidRPr="00643B02">
        <w:rPr>
          <w:rFonts w:cstheme="minorHAnsi"/>
          <w:i/>
          <w:iCs/>
        </w:rPr>
        <w:t>Resourcing and talent management: The theory and practice of recruiting and developing a workforce</w:t>
      </w:r>
      <w:r w:rsidRPr="00643B02">
        <w:rPr>
          <w:rFonts w:cstheme="minorHAnsi"/>
        </w:rPr>
        <w:t>. Kogan Page Publishers.</w:t>
      </w:r>
    </w:p>
    <w:p w14:paraId="3912EEAA"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Taylor, S. and Perkins, G. Graham M. (2021) </w:t>
      </w:r>
      <w:r w:rsidRPr="00643B02">
        <w:rPr>
          <w:rFonts w:cstheme="minorHAnsi"/>
          <w:i/>
          <w:iCs/>
        </w:rPr>
        <w:t>Work and employment in a changing business environment</w:t>
      </w:r>
      <w:r w:rsidRPr="00643B02">
        <w:rPr>
          <w:rFonts w:cstheme="minorHAnsi"/>
        </w:rPr>
        <w:t>. London ; Kogan Page.</w:t>
      </w:r>
    </w:p>
    <w:p w14:paraId="265AC4A7"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Thakkar,  D.,  Kumar,  N.,  &amp;  Sambasivan,  N.  (2020,  April). Towards  an  AI-powered future  that works  for  vocational workers.  In proceedings  of  the  2020  CHI  Conference  on  Human  Factors  in  Computing  Systems(pp.  1-13). https://dl.acm.org/doi/pdf/10.1145/3313831.3376674</w:t>
      </w:r>
    </w:p>
    <w:p w14:paraId="03370CCB"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Treiman, L.S., Ho, C.J. and Kool, W., (2024). The consequences of AI training on human decision-making. </w:t>
      </w:r>
      <w:r w:rsidRPr="00643B02">
        <w:rPr>
          <w:rFonts w:cstheme="minorHAnsi"/>
          <w:i/>
          <w:iCs/>
        </w:rPr>
        <w:t>Proceedings of the National Academy of Sciences</w:t>
      </w:r>
      <w:r w:rsidRPr="00643B02">
        <w:rPr>
          <w:rFonts w:cstheme="minorHAnsi"/>
        </w:rPr>
        <w:t>, </w:t>
      </w:r>
      <w:r w:rsidRPr="00643B02">
        <w:rPr>
          <w:rFonts w:cstheme="minorHAnsi"/>
          <w:i/>
          <w:iCs/>
        </w:rPr>
        <w:t>121</w:t>
      </w:r>
      <w:r w:rsidRPr="00643B02">
        <w:rPr>
          <w:rFonts w:cstheme="minorHAnsi"/>
        </w:rPr>
        <w:t>(33), p.e2408731121.</w:t>
      </w:r>
    </w:p>
    <w:p w14:paraId="71F27E37" w14:textId="77777777" w:rsidR="00643B02" w:rsidRPr="00643B02" w:rsidRDefault="00643B02" w:rsidP="00643B02">
      <w:pPr>
        <w:spacing w:before="100" w:beforeAutospacing="1" w:after="100" w:afterAutospacing="1" w:line="240" w:lineRule="auto"/>
        <w:jc w:val="both"/>
        <w:rPr>
          <w:rFonts w:cstheme="minorHAnsi"/>
          <w:u w:val="single"/>
        </w:rPr>
      </w:pPr>
      <w:hyperlink r:id="rId53" w:history="1">
        <w:r w:rsidRPr="00643B02">
          <w:rPr>
            <w:rStyle w:val="Hyperlink"/>
            <w:rFonts w:cstheme="minorHAnsi"/>
          </w:rPr>
          <w:t>Understanding the Trade Union Act 1992 for Employers | DavidsonMorris</w:t>
        </w:r>
      </w:hyperlink>
    </w:p>
    <w:p w14:paraId="7EE10634" w14:textId="77777777" w:rsidR="00643B02" w:rsidRPr="00643B02" w:rsidRDefault="00643B02" w:rsidP="00643B02">
      <w:pPr>
        <w:spacing w:before="100" w:beforeAutospacing="1" w:after="100" w:afterAutospacing="1" w:line="240" w:lineRule="auto"/>
        <w:jc w:val="both"/>
        <w:rPr>
          <w:rFonts w:cstheme="minorHAnsi"/>
        </w:rPr>
      </w:pPr>
      <w:r w:rsidRPr="00643B02">
        <w:rPr>
          <w:rFonts w:cstheme="minorHAnsi"/>
        </w:rPr>
        <w:t xml:space="preserve">Walsh, J. (2024) ‘PEST Analysis’, </w:t>
      </w:r>
      <w:r w:rsidRPr="00643B02">
        <w:rPr>
          <w:rFonts w:cstheme="minorHAnsi"/>
          <w:i/>
          <w:iCs/>
        </w:rPr>
        <w:t>Salem Press Encyclopedia</w:t>
      </w:r>
      <w:r w:rsidRPr="00643B02">
        <w:rPr>
          <w:rFonts w:cstheme="minorHAnsi"/>
        </w:rPr>
        <w:t xml:space="preserve"> [Preprint]. Available at: https://research.ebsco.com/linkprocessor/plink?id=d7dda659-d6a1-397c-a455-0cc1076bda77 (Accessed: 17 November 2024).</w:t>
      </w:r>
    </w:p>
    <w:p w14:paraId="19B80456" w14:textId="77777777" w:rsidR="00643B02" w:rsidRPr="00643B02" w:rsidRDefault="00643B02" w:rsidP="00643B02">
      <w:pPr>
        <w:spacing w:before="100" w:beforeAutospacing="1" w:after="100" w:afterAutospacing="1" w:line="240" w:lineRule="auto"/>
        <w:jc w:val="both"/>
        <w:rPr>
          <w:rFonts w:cstheme="minorHAnsi"/>
        </w:rPr>
      </w:pPr>
    </w:p>
    <w:p w14:paraId="438B0C11" w14:textId="77777777" w:rsidR="00643B02" w:rsidRPr="00643B02" w:rsidRDefault="00643B02" w:rsidP="00643B02">
      <w:pPr>
        <w:spacing w:before="100" w:beforeAutospacing="1" w:after="100" w:afterAutospacing="1" w:line="240" w:lineRule="auto"/>
        <w:jc w:val="both"/>
        <w:rPr>
          <w:rFonts w:cstheme="minorHAnsi"/>
        </w:rPr>
      </w:pPr>
    </w:p>
    <w:p w14:paraId="485AC430" w14:textId="77777777" w:rsidR="00643B02" w:rsidRPr="00643B02" w:rsidRDefault="00643B02" w:rsidP="00643B02">
      <w:pPr>
        <w:spacing w:before="100" w:beforeAutospacing="1" w:after="100" w:afterAutospacing="1" w:line="240" w:lineRule="auto"/>
        <w:jc w:val="both"/>
        <w:rPr>
          <w:rFonts w:cstheme="minorHAnsi"/>
        </w:rPr>
      </w:pPr>
    </w:p>
    <w:p w14:paraId="31D790C5" w14:textId="77777777" w:rsidR="00643B02" w:rsidRPr="00C42EE2" w:rsidRDefault="00643B02" w:rsidP="00614138">
      <w:pPr>
        <w:spacing w:before="100" w:beforeAutospacing="1" w:after="100" w:afterAutospacing="1" w:line="240" w:lineRule="auto"/>
        <w:jc w:val="both"/>
        <w:rPr>
          <w:rFonts w:cstheme="minorHAnsi"/>
        </w:rPr>
      </w:pPr>
    </w:p>
    <w:sectPr w:rsidR="00643B02" w:rsidRPr="00C42EE2">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027AD3" w14:textId="77777777" w:rsidR="00FB1E2D" w:rsidRDefault="00FB1E2D" w:rsidP="003B5D9A">
      <w:pPr>
        <w:spacing w:after="0" w:line="240" w:lineRule="auto"/>
      </w:pPr>
      <w:r>
        <w:separator/>
      </w:r>
    </w:p>
  </w:endnote>
  <w:endnote w:type="continuationSeparator" w:id="0">
    <w:p w14:paraId="61BC0E34" w14:textId="77777777" w:rsidR="00FB1E2D" w:rsidRDefault="00FB1E2D" w:rsidP="003B5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2249083"/>
      <w:docPartObj>
        <w:docPartGallery w:val="Page Numbers (Bottom of Page)"/>
        <w:docPartUnique/>
      </w:docPartObj>
    </w:sdtPr>
    <w:sdtEndPr/>
    <w:sdtContent>
      <w:p w14:paraId="57E50AAC" w14:textId="13267DD9" w:rsidR="00F92E21" w:rsidRDefault="00F92E21">
        <w:pPr>
          <w:pStyle w:val="Footer"/>
          <w:jc w:val="right"/>
        </w:pPr>
        <w:r>
          <w:fldChar w:fldCharType="begin"/>
        </w:r>
        <w:r>
          <w:instrText>PAGE   \* MERGEFORMAT</w:instrText>
        </w:r>
        <w:r>
          <w:fldChar w:fldCharType="separate"/>
        </w:r>
        <w:r>
          <w:t>2</w:t>
        </w:r>
        <w:r>
          <w:fldChar w:fldCharType="end"/>
        </w:r>
      </w:p>
    </w:sdtContent>
  </w:sdt>
  <w:p w14:paraId="609DE5F2" w14:textId="77777777" w:rsidR="003B5D9A" w:rsidRDefault="003B5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A6A1D7" w14:textId="77777777" w:rsidR="00FB1E2D" w:rsidRDefault="00FB1E2D" w:rsidP="003B5D9A">
      <w:pPr>
        <w:spacing w:after="0" w:line="240" w:lineRule="auto"/>
      </w:pPr>
      <w:r>
        <w:separator/>
      </w:r>
    </w:p>
  </w:footnote>
  <w:footnote w:type="continuationSeparator" w:id="0">
    <w:p w14:paraId="11CD144F" w14:textId="77777777" w:rsidR="00FB1E2D" w:rsidRDefault="00FB1E2D" w:rsidP="003B5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8E58D9" w14:textId="77777777" w:rsidR="00F92E21" w:rsidRPr="00F92E21" w:rsidRDefault="00F92E21" w:rsidP="00F92E21">
    <w:pPr>
      <w:tabs>
        <w:tab w:val="left" w:pos="2080"/>
      </w:tabs>
      <w:jc w:val="both"/>
      <w:rPr>
        <w:rFonts w:cstheme="minorHAnsi"/>
        <w:color w:val="7F7F7F" w:themeColor="text1" w:themeTint="80"/>
      </w:rPr>
    </w:pPr>
    <w:r w:rsidRPr="00F92E21">
      <w:rPr>
        <w:rFonts w:cstheme="minorHAnsi"/>
        <w:color w:val="7F7F7F" w:themeColor="text1" w:themeTint="80"/>
      </w:rPr>
      <w:t>Understanding the Business Context</w:t>
    </w:r>
  </w:p>
  <w:p w14:paraId="5B32B7E1" w14:textId="77777777" w:rsidR="00F92E21" w:rsidRDefault="00F92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C2E7A"/>
    <w:multiLevelType w:val="multilevel"/>
    <w:tmpl w:val="711A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63033"/>
    <w:multiLevelType w:val="multilevel"/>
    <w:tmpl w:val="9ED02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26348"/>
    <w:multiLevelType w:val="multilevel"/>
    <w:tmpl w:val="11C88D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9E47374"/>
    <w:multiLevelType w:val="multilevel"/>
    <w:tmpl w:val="0DA85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820FF2"/>
    <w:multiLevelType w:val="multilevel"/>
    <w:tmpl w:val="B282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534265"/>
    <w:multiLevelType w:val="multilevel"/>
    <w:tmpl w:val="B7B89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3192476">
    <w:abstractNumId w:val="1"/>
  </w:num>
  <w:num w:numId="2" w16cid:durableId="1180269761">
    <w:abstractNumId w:val="5"/>
  </w:num>
  <w:num w:numId="3" w16cid:durableId="2114081675">
    <w:abstractNumId w:val="3"/>
  </w:num>
  <w:num w:numId="4" w16cid:durableId="1748575703">
    <w:abstractNumId w:val="4"/>
  </w:num>
  <w:num w:numId="5" w16cid:durableId="1849563215">
    <w:abstractNumId w:val="0"/>
  </w:num>
  <w:num w:numId="6" w16cid:durableId="57062370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1A6"/>
    <w:rsid w:val="000004E8"/>
    <w:rsid w:val="0000177C"/>
    <w:rsid w:val="000043A4"/>
    <w:rsid w:val="000101CD"/>
    <w:rsid w:val="000105FB"/>
    <w:rsid w:val="000154A4"/>
    <w:rsid w:val="00023EC1"/>
    <w:rsid w:val="00025E91"/>
    <w:rsid w:val="0003098E"/>
    <w:rsid w:val="00032314"/>
    <w:rsid w:val="000417E4"/>
    <w:rsid w:val="0004772E"/>
    <w:rsid w:val="00052874"/>
    <w:rsid w:val="000556A7"/>
    <w:rsid w:val="00066A9F"/>
    <w:rsid w:val="00077522"/>
    <w:rsid w:val="0009177B"/>
    <w:rsid w:val="00093DF1"/>
    <w:rsid w:val="00095EC4"/>
    <w:rsid w:val="00096DFE"/>
    <w:rsid w:val="000A7937"/>
    <w:rsid w:val="000C2621"/>
    <w:rsid w:val="000D42EA"/>
    <w:rsid w:val="000D6B04"/>
    <w:rsid w:val="000E24D7"/>
    <w:rsid w:val="000E51AB"/>
    <w:rsid w:val="000F77DE"/>
    <w:rsid w:val="00110564"/>
    <w:rsid w:val="0011517B"/>
    <w:rsid w:val="0012442B"/>
    <w:rsid w:val="00130EC7"/>
    <w:rsid w:val="001472EF"/>
    <w:rsid w:val="00152BD1"/>
    <w:rsid w:val="0015309F"/>
    <w:rsid w:val="00153949"/>
    <w:rsid w:val="001719C1"/>
    <w:rsid w:val="00182918"/>
    <w:rsid w:val="00187395"/>
    <w:rsid w:val="00193240"/>
    <w:rsid w:val="001A475B"/>
    <w:rsid w:val="001B0973"/>
    <w:rsid w:val="001B1729"/>
    <w:rsid w:val="001B6481"/>
    <w:rsid w:val="001C2BBE"/>
    <w:rsid w:val="001E7F1B"/>
    <w:rsid w:val="001F65AE"/>
    <w:rsid w:val="00201684"/>
    <w:rsid w:val="002029C9"/>
    <w:rsid w:val="00206F49"/>
    <w:rsid w:val="002074EC"/>
    <w:rsid w:val="00214FDF"/>
    <w:rsid w:val="00223562"/>
    <w:rsid w:val="00226029"/>
    <w:rsid w:val="002368CD"/>
    <w:rsid w:val="00236AD6"/>
    <w:rsid w:val="00247F37"/>
    <w:rsid w:val="0025231D"/>
    <w:rsid w:val="0028048B"/>
    <w:rsid w:val="002A1380"/>
    <w:rsid w:val="002B1FEA"/>
    <w:rsid w:val="002C0CBA"/>
    <w:rsid w:val="002C1FA9"/>
    <w:rsid w:val="002C479C"/>
    <w:rsid w:val="002C4F63"/>
    <w:rsid w:val="002C5C32"/>
    <w:rsid w:val="002E3554"/>
    <w:rsid w:val="002F1939"/>
    <w:rsid w:val="002F2344"/>
    <w:rsid w:val="00303FC9"/>
    <w:rsid w:val="003070F0"/>
    <w:rsid w:val="003208E4"/>
    <w:rsid w:val="0032724C"/>
    <w:rsid w:val="00353F15"/>
    <w:rsid w:val="00363660"/>
    <w:rsid w:val="00364F13"/>
    <w:rsid w:val="00373298"/>
    <w:rsid w:val="0037467E"/>
    <w:rsid w:val="00377D08"/>
    <w:rsid w:val="0038181D"/>
    <w:rsid w:val="003B5D9A"/>
    <w:rsid w:val="003B772A"/>
    <w:rsid w:val="003D3908"/>
    <w:rsid w:val="003E4241"/>
    <w:rsid w:val="003F11FD"/>
    <w:rsid w:val="004004F7"/>
    <w:rsid w:val="0041060A"/>
    <w:rsid w:val="00432D69"/>
    <w:rsid w:val="004332BA"/>
    <w:rsid w:val="00433576"/>
    <w:rsid w:val="0044747F"/>
    <w:rsid w:val="004734E6"/>
    <w:rsid w:val="00481002"/>
    <w:rsid w:val="00491CF3"/>
    <w:rsid w:val="004B07DE"/>
    <w:rsid w:val="004C5BE2"/>
    <w:rsid w:val="004C62A3"/>
    <w:rsid w:val="004E3295"/>
    <w:rsid w:val="004F1C87"/>
    <w:rsid w:val="00506E40"/>
    <w:rsid w:val="00510561"/>
    <w:rsid w:val="00514FAC"/>
    <w:rsid w:val="005151D0"/>
    <w:rsid w:val="00516A6A"/>
    <w:rsid w:val="00516B4F"/>
    <w:rsid w:val="00521D78"/>
    <w:rsid w:val="005454C4"/>
    <w:rsid w:val="00555853"/>
    <w:rsid w:val="00557B4D"/>
    <w:rsid w:val="00560A74"/>
    <w:rsid w:val="00566187"/>
    <w:rsid w:val="005672AB"/>
    <w:rsid w:val="00567572"/>
    <w:rsid w:val="00575737"/>
    <w:rsid w:val="00581DA7"/>
    <w:rsid w:val="005B4713"/>
    <w:rsid w:val="005C03FD"/>
    <w:rsid w:val="005D3F82"/>
    <w:rsid w:val="005E248D"/>
    <w:rsid w:val="005F6D4A"/>
    <w:rsid w:val="00604F5E"/>
    <w:rsid w:val="00614138"/>
    <w:rsid w:val="00625A1B"/>
    <w:rsid w:val="00626FC7"/>
    <w:rsid w:val="00641325"/>
    <w:rsid w:val="00643B02"/>
    <w:rsid w:val="006457AF"/>
    <w:rsid w:val="006745C3"/>
    <w:rsid w:val="00681338"/>
    <w:rsid w:val="00681BEE"/>
    <w:rsid w:val="006978A3"/>
    <w:rsid w:val="006C69F0"/>
    <w:rsid w:val="006C6BFC"/>
    <w:rsid w:val="006E2178"/>
    <w:rsid w:val="007158FC"/>
    <w:rsid w:val="00715CE8"/>
    <w:rsid w:val="00725393"/>
    <w:rsid w:val="007379C8"/>
    <w:rsid w:val="00744280"/>
    <w:rsid w:val="00744C47"/>
    <w:rsid w:val="00753628"/>
    <w:rsid w:val="00757AC6"/>
    <w:rsid w:val="007610B7"/>
    <w:rsid w:val="007861A6"/>
    <w:rsid w:val="00790E83"/>
    <w:rsid w:val="007A219B"/>
    <w:rsid w:val="007A73FB"/>
    <w:rsid w:val="007B7FB6"/>
    <w:rsid w:val="007C68BC"/>
    <w:rsid w:val="007D1C86"/>
    <w:rsid w:val="007E61E3"/>
    <w:rsid w:val="007E64A8"/>
    <w:rsid w:val="007F1FBC"/>
    <w:rsid w:val="007F260D"/>
    <w:rsid w:val="007F50B7"/>
    <w:rsid w:val="00810419"/>
    <w:rsid w:val="0083398D"/>
    <w:rsid w:val="00834581"/>
    <w:rsid w:val="00883D2E"/>
    <w:rsid w:val="00885F02"/>
    <w:rsid w:val="008875EA"/>
    <w:rsid w:val="008878E9"/>
    <w:rsid w:val="00896B34"/>
    <w:rsid w:val="008F6590"/>
    <w:rsid w:val="009012AD"/>
    <w:rsid w:val="009051FC"/>
    <w:rsid w:val="009073BA"/>
    <w:rsid w:val="00914198"/>
    <w:rsid w:val="00935473"/>
    <w:rsid w:val="0093657B"/>
    <w:rsid w:val="009367D8"/>
    <w:rsid w:val="009418EE"/>
    <w:rsid w:val="0094225D"/>
    <w:rsid w:val="00971D5F"/>
    <w:rsid w:val="00972C7C"/>
    <w:rsid w:val="00977CBA"/>
    <w:rsid w:val="00994B9F"/>
    <w:rsid w:val="00997EE6"/>
    <w:rsid w:val="009A15CE"/>
    <w:rsid w:val="009B1A62"/>
    <w:rsid w:val="009C6690"/>
    <w:rsid w:val="009D0E59"/>
    <w:rsid w:val="009D7B09"/>
    <w:rsid w:val="009E1B7F"/>
    <w:rsid w:val="009F4B30"/>
    <w:rsid w:val="00A002BF"/>
    <w:rsid w:val="00A1691B"/>
    <w:rsid w:val="00A6422E"/>
    <w:rsid w:val="00A66C6F"/>
    <w:rsid w:val="00A715B5"/>
    <w:rsid w:val="00A74DFD"/>
    <w:rsid w:val="00A830E7"/>
    <w:rsid w:val="00A876FF"/>
    <w:rsid w:val="00A9153C"/>
    <w:rsid w:val="00AA5E8A"/>
    <w:rsid w:val="00AC3D4D"/>
    <w:rsid w:val="00AD3808"/>
    <w:rsid w:val="00AD5C00"/>
    <w:rsid w:val="00AD5C0F"/>
    <w:rsid w:val="00AD5E3C"/>
    <w:rsid w:val="00AE630F"/>
    <w:rsid w:val="00AF0697"/>
    <w:rsid w:val="00AF0F41"/>
    <w:rsid w:val="00B025CA"/>
    <w:rsid w:val="00B02BBC"/>
    <w:rsid w:val="00B04784"/>
    <w:rsid w:val="00B05038"/>
    <w:rsid w:val="00B108EB"/>
    <w:rsid w:val="00B1379A"/>
    <w:rsid w:val="00B23CC5"/>
    <w:rsid w:val="00B40323"/>
    <w:rsid w:val="00B43047"/>
    <w:rsid w:val="00B502E9"/>
    <w:rsid w:val="00B57BF8"/>
    <w:rsid w:val="00B720F1"/>
    <w:rsid w:val="00B81281"/>
    <w:rsid w:val="00B86C53"/>
    <w:rsid w:val="00B87962"/>
    <w:rsid w:val="00B9620D"/>
    <w:rsid w:val="00BA07D9"/>
    <w:rsid w:val="00BB63FA"/>
    <w:rsid w:val="00BD2106"/>
    <w:rsid w:val="00BD3E96"/>
    <w:rsid w:val="00BE1B07"/>
    <w:rsid w:val="00BE3606"/>
    <w:rsid w:val="00BF6A8D"/>
    <w:rsid w:val="00C17936"/>
    <w:rsid w:val="00C42EE2"/>
    <w:rsid w:val="00C46EE8"/>
    <w:rsid w:val="00C65091"/>
    <w:rsid w:val="00CC3441"/>
    <w:rsid w:val="00CD3716"/>
    <w:rsid w:val="00D01934"/>
    <w:rsid w:val="00D076B6"/>
    <w:rsid w:val="00D143EF"/>
    <w:rsid w:val="00D14CF2"/>
    <w:rsid w:val="00D15363"/>
    <w:rsid w:val="00D243F5"/>
    <w:rsid w:val="00D4353A"/>
    <w:rsid w:val="00D56F83"/>
    <w:rsid w:val="00D6346A"/>
    <w:rsid w:val="00D7445C"/>
    <w:rsid w:val="00D749B3"/>
    <w:rsid w:val="00D85CB6"/>
    <w:rsid w:val="00D869C3"/>
    <w:rsid w:val="00D97A97"/>
    <w:rsid w:val="00DB283D"/>
    <w:rsid w:val="00DB42B8"/>
    <w:rsid w:val="00DC7DC2"/>
    <w:rsid w:val="00DE04D7"/>
    <w:rsid w:val="00DF43D1"/>
    <w:rsid w:val="00E221BC"/>
    <w:rsid w:val="00E22EEB"/>
    <w:rsid w:val="00E30170"/>
    <w:rsid w:val="00E32EEF"/>
    <w:rsid w:val="00E61457"/>
    <w:rsid w:val="00E6638D"/>
    <w:rsid w:val="00E73F75"/>
    <w:rsid w:val="00E85A17"/>
    <w:rsid w:val="00EA0996"/>
    <w:rsid w:val="00EA5D33"/>
    <w:rsid w:val="00EB032A"/>
    <w:rsid w:val="00EB38B0"/>
    <w:rsid w:val="00EB5769"/>
    <w:rsid w:val="00EC056C"/>
    <w:rsid w:val="00EC6588"/>
    <w:rsid w:val="00ED4115"/>
    <w:rsid w:val="00EE3095"/>
    <w:rsid w:val="00EE4412"/>
    <w:rsid w:val="00EF7F86"/>
    <w:rsid w:val="00F031D5"/>
    <w:rsid w:val="00F56314"/>
    <w:rsid w:val="00F82B70"/>
    <w:rsid w:val="00F8703D"/>
    <w:rsid w:val="00F92E21"/>
    <w:rsid w:val="00FA15CF"/>
    <w:rsid w:val="00FA1828"/>
    <w:rsid w:val="00FB1E2D"/>
    <w:rsid w:val="00FC0522"/>
    <w:rsid w:val="00FC3CC4"/>
    <w:rsid w:val="00FE320F"/>
    <w:rsid w:val="00FE6052"/>
    <w:rsid w:val="00FE6737"/>
    <w:rsid w:val="00FF36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A743D"/>
  <w15:chartTrackingRefBased/>
  <w15:docId w15:val="{FA1C80CB-2632-4394-9A93-B1F0F234F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1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61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61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61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61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61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1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1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1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61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61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61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61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6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1A6"/>
    <w:rPr>
      <w:rFonts w:eastAsiaTheme="majorEastAsia" w:cstheme="majorBidi"/>
      <w:color w:val="272727" w:themeColor="text1" w:themeTint="D8"/>
    </w:rPr>
  </w:style>
  <w:style w:type="paragraph" w:styleId="Title">
    <w:name w:val="Title"/>
    <w:basedOn w:val="Normal"/>
    <w:next w:val="Normal"/>
    <w:link w:val="TitleChar"/>
    <w:uiPriority w:val="10"/>
    <w:qFormat/>
    <w:rsid w:val="00786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1A6"/>
    <w:pPr>
      <w:spacing w:before="160"/>
      <w:jc w:val="center"/>
    </w:pPr>
    <w:rPr>
      <w:i/>
      <w:iCs/>
      <w:color w:val="404040" w:themeColor="text1" w:themeTint="BF"/>
    </w:rPr>
  </w:style>
  <w:style w:type="character" w:customStyle="1" w:styleId="QuoteChar">
    <w:name w:val="Quote Char"/>
    <w:basedOn w:val="DefaultParagraphFont"/>
    <w:link w:val="Quote"/>
    <w:uiPriority w:val="29"/>
    <w:rsid w:val="007861A6"/>
    <w:rPr>
      <w:i/>
      <w:iCs/>
      <w:color w:val="404040" w:themeColor="text1" w:themeTint="BF"/>
    </w:rPr>
  </w:style>
  <w:style w:type="paragraph" w:styleId="ListParagraph">
    <w:name w:val="List Paragraph"/>
    <w:basedOn w:val="Normal"/>
    <w:uiPriority w:val="34"/>
    <w:qFormat/>
    <w:rsid w:val="007861A6"/>
    <w:pPr>
      <w:ind w:left="720"/>
      <w:contextualSpacing/>
    </w:pPr>
  </w:style>
  <w:style w:type="character" w:styleId="IntenseEmphasis">
    <w:name w:val="Intense Emphasis"/>
    <w:basedOn w:val="DefaultParagraphFont"/>
    <w:uiPriority w:val="21"/>
    <w:qFormat/>
    <w:rsid w:val="007861A6"/>
    <w:rPr>
      <w:i/>
      <w:iCs/>
      <w:color w:val="2F5496" w:themeColor="accent1" w:themeShade="BF"/>
    </w:rPr>
  </w:style>
  <w:style w:type="paragraph" w:styleId="IntenseQuote">
    <w:name w:val="Intense Quote"/>
    <w:basedOn w:val="Normal"/>
    <w:next w:val="Normal"/>
    <w:link w:val="IntenseQuoteChar"/>
    <w:uiPriority w:val="30"/>
    <w:qFormat/>
    <w:rsid w:val="007861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61A6"/>
    <w:rPr>
      <w:i/>
      <w:iCs/>
      <w:color w:val="2F5496" w:themeColor="accent1" w:themeShade="BF"/>
    </w:rPr>
  </w:style>
  <w:style w:type="character" w:styleId="IntenseReference">
    <w:name w:val="Intense Reference"/>
    <w:basedOn w:val="DefaultParagraphFont"/>
    <w:uiPriority w:val="32"/>
    <w:qFormat/>
    <w:rsid w:val="007861A6"/>
    <w:rPr>
      <w:b/>
      <w:bCs/>
      <w:smallCaps/>
      <w:color w:val="2F5496" w:themeColor="accent1" w:themeShade="BF"/>
      <w:spacing w:val="5"/>
    </w:rPr>
  </w:style>
  <w:style w:type="paragraph" w:styleId="NormalWeb">
    <w:name w:val="Normal (Web)"/>
    <w:basedOn w:val="Normal"/>
    <w:uiPriority w:val="99"/>
    <w:semiHidden/>
    <w:unhideWhenUsed/>
    <w:rsid w:val="00052874"/>
    <w:rPr>
      <w:rFonts w:ascii="Times New Roman" w:hAnsi="Times New Roman" w:cs="Times New Roman"/>
      <w:sz w:val="24"/>
      <w:szCs w:val="24"/>
    </w:rPr>
  </w:style>
  <w:style w:type="paragraph" w:styleId="Header">
    <w:name w:val="header"/>
    <w:basedOn w:val="Normal"/>
    <w:link w:val="HeaderChar"/>
    <w:uiPriority w:val="99"/>
    <w:unhideWhenUsed/>
    <w:rsid w:val="003B5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D9A"/>
  </w:style>
  <w:style w:type="paragraph" w:styleId="Footer">
    <w:name w:val="footer"/>
    <w:basedOn w:val="Normal"/>
    <w:link w:val="FooterChar"/>
    <w:uiPriority w:val="99"/>
    <w:unhideWhenUsed/>
    <w:rsid w:val="003B5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D9A"/>
  </w:style>
  <w:style w:type="character" w:styleId="Hyperlink">
    <w:name w:val="Hyperlink"/>
    <w:basedOn w:val="DefaultParagraphFont"/>
    <w:uiPriority w:val="99"/>
    <w:unhideWhenUsed/>
    <w:rsid w:val="004B07DE"/>
    <w:rPr>
      <w:color w:val="0563C1" w:themeColor="hyperlink"/>
      <w:u w:val="single"/>
    </w:rPr>
  </w:style>
  <w:style w:type="character" w:styleId="UnresolvedMention">
    <w:name w:val="Unresolved Mention"/>
    <w:basedOn w:val="DefaultParagraphFont"/>
    <w:uiPriority w:val="99"/>
    <w:semiHidden/>
    <w:unhideWhenUsed/>
    <w:rsid w:val="004B0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272113">
      <w:bodyDiv w:val="1"/>
      <w:marLeft w:val="0"/>
      <w:marRight w:val="0"/>
      <w:marTop w:val="0"/>
      <w:marBottom w:val="0"/>
      <w:divBdr>
        <w:top w:val="none" w:sz="0" w:space="0" w:color="auto"/>
        <w:left w:val="none" w:sz="0" w:space="0" w:color="auto"/>
        <w:bottom w:val="none" w:sz="0" w:space="0" w:color="auto"/>
        <w:right w:val="none" w:sz="0" w:space="0" w:color="auto"/>
      </w:divBdr>
    </w:div>
    <w:div w:id="52581441">
      <w:bodyDiv w:val="1"/>
      <w:marLeft w:val="0"/>
      <w:marRight w:val="0"/>
      <w:marTop w:val="0"/>
      <w:marBottom w:val="0"/>
      <w:divBdr>
        <w:top w:val="none" w:sz="0" w:space="0" w:color="auto"/>
        <w:left w:val="none" w:sz="0" w:space="0" w:color="auto"/>
        <w:bottom w:val="none" w:sz="0" w:space="0" w:color="auto"/>
        <w:right w:val="none" w:sz="0" w:space="0" w:color="auto"/>
      </w:divBdr>
    </w:div>
    <w:div w:id="100733869">
      <w:bodyDiv w:val="1"/>
      <w:marLeft w:val="0"/>
      <w:marRight w:val="0"/>
      <w:marTop w:val="0"/>
      <w:marBottom w:val="0"/>
      <w:divBdr>
        <w:top w:val="none" w:sz="0" w:space="0" w:color="auto"/>
        <w:left w:val="none" w:sz="0" w:space="0" w:color="auto"/>
        <w:bottom w:val="none" w:sz="0" w:space="0" w:color="auto"/>
        <w:right w:val="none" w:sz="0" w:space="0" w:color="auto"/>
      </w:divBdr>
    </w:div>
    <w:div w:id="107899796">
      <w:bodyDiv w:val="1"/>
      <w:marLeft w:val="0"/>
      <w:marRight w:val="0"/>
      <w:marTop w:val="0"/>
      <w:marBottom w:val="0"/>
      <w:divBdr>
        <w:top w:val="none" w:sz="0" w:space="0" w:color="auto"/>
        <w:left w:val="none" w:sz="0" w:space="0" w:color="auto"/>
        <w:bottom w:val="none" w:sz="0" w:space="0" w:color="auto"/>
        <w:right w:val="none" w:sz="0" w:space="0" w:color="auto"/>
      </w:divBdr>
    </w:div>
    <w:div w:id="124201777">
      <w:bodyDiv w:val="1"/>
      <w:marLeft w:val="0"/>
      <w:marRight w:val="0"/>
      <w:marTop w:val="0"/>
      <w:marBottom w:val="0"/>
      <w:divBdr>
        <w:top w:val="none" w:sz="0" w:space="0" w:color="auto"/>
        <w:left w:val="none" w:sz="0" w:space="0" w:color="auto"/>
        <w:bottom w:val="none" w:sz="0" w:space="0" w:color="auto"/>
        <w:right w:val="none" w:sz="0" w:space="0" w:color="auto"/>
      </w:divBdr>
    </w:div>
    <w:div w:id="129713808">
      <w:bodyDiv w:val="1"/>
      <w:marLeft w:val="0"/>
      <w:marRight w:val="0"/>
      <w:marTop w:val="0"/>
      <w:marBottom w:val="0"/>
      <w:divBdr>
        <w:top w:val="none" w:sz="0" w:space="0" w:color="auto"/>
        <w:left w:val="none" w:sz="0" w:space="0" w:color="auto"/>
        <w:bottom w:val="none" w:sz="0" w:space="0" w:color="auto"/>
        <w:right w:val="none" w:sz="0" w:space="0" w:color="auto"/>
      </w:divBdr>
    </w:div>
    <w:div w:id="212205886">
      <w:bodyDiv w:val="1"/>
      <w:marLeft w:val="0"/>
      <w:marRight w:val="0"/>
      <w:marTop w:val="0"/>
      <w:marBottom w:val="0"/>
      <w:divBdr>
        <w:top w:val="none" w:sz="0" w:space="0" w:color="auto"/>
        <w:left w:val="none" w:sz="0" w:space="0" w:color="auto"/>
        <w:bottom w:val="none" w:sz="0" w:space="0" w:color="auto"/>
        <w:right w:val="none" w:sz="0" w:space="0" w:color="auto"/>
      </w:divBdr>
      <w:divsChild>
        <w:div w:id="90972366">
          <w:marLeft w:val="0"/>
          <w:marRight w:val="0"/>
          <w:marTop w:val="0"/>
          <w:marBottom w:val="0"/>
          <w:divBdr>
            <w:top w:val="none" w:sz="0" w:space="0" w:color="auto"/>
            <w:left w:val="none" w:sz="0" w:space="0" w:color="auto"/>
            <w:bottom w:val="none" w:sz="0" w:space="0" w:color="auto"/>
            <w:right w:val="none" w:sz="0" w:space="0" w:color="auto"/>
          </w:divBdr>
          <w:divsChild>
            <w:div w:id="180931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556903">
      <w:bodyDiv w:val="1"/>
      <w:marLeft w:val="0"/>
      <w:marRight w:val="0"/>
      <w:marTop w:val="0"/>
      <w:marBottom w:val="0"/>
      <w:divBdr>
        <w:top w:val="none" w:sz="0" w:space="0" w:color="auto"/>
        <w:left w:val="none" w:sz="0" w:space="0" w:color="auto"/>
        <w:bottom w:val="none" w:sz="0" w:space="0" w:color="auto"/>
        <w:right w:val="none" w:sz="0" w:space="0" w:color="auto"/>
      </w:divBdr>
    </w:div>
    <w:div w:id="421222019">
      <w:bodyDiv w:val="1"/>
      <w:marLeft w:val="0"/>
      <w:marRight w:val="0"/>
      <w:marTop w:val="0"/>
      <w:marBottom w:val="0"/>
      <w:divBdr>
        <w:top w:val="none" w:sz="0" w:space="0" w:color="auto"/>
        <w:left w:val="none" w:sz="0" w:space="0" w:color="auto"/>
        <w:bottom w:val="none" w:sz="0" w:space="0" w:color="auto"/>
        <w:right w:val="none" w:sz="0" w:space="0" w:color="auto"/>
      </w:divBdr>
    </w:div>
    <w:div w:id="443234550">
      <w:bodyDiv w:val="1"/>
      <w:marLeft w:val="0"/>
      <w:marRight w:val="0"/>
      <w:marTop w:val="0"/>
      <w:marBottom w:val="0"/>
      <w:divBdr>
        <w:top w:val="none" w:sz="0" w:space="0" w:color="auto"/>
        <w:left w:val="none" w:sz="0" w:space="0" w:color="auto"/>
        <w:bottom w:val="none" w:sz="0" w:space="0" w:color="auto"/>
        <w:right w:val="none" w:sz="0" w:space="0" w:color="auto"/>
      </w:divBdr>
      <w:divsChild>
        <w:div w:id="1001615185">
          <w:marLeft w:val="0"/>
          <w:marRight w:val="0"/>
          <w:marTop w:val="0"/>
          <w:marBottom w:val="0"/>
          <w:divBdr>
            <w:top w:val="none" w:sz="0" w:space="0" w:color="auto"/>
            <w:left w:val="none" w:sz="0" w:space="0" w:color="auto"/>
            <w:bottom w:val="none" w:sz="0" w:space="0" w:color="auto"/>
            <w:right w:val="none" w:sz="0" w:space="0" w:color="auto"/>
          </w:divBdr>
          <w:divsChild>
            <w:div w:id="192252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785569">
      <w:bodyDiv w:val="1"/>
      <w:marLeft w:val="0"/>
      <w:marRight w:val="0"/>
      <w:marTop w:val="0"/>
      <w:marBottom w:val="0"/>
      <w:divBdr>
        <w:top w:val="none" w:sz="0" w:space="0" w:color="auto"/>
        <w:left w:val="none" w:sz="0" w:space="0" w:color="auto"/>
        <w:bottom w:val="none" w:sz="0" w:space="0" w:color="auto"/>
        <w:right w:val="none" w:sz="0" w:space="0" w:color="auto"/>
      </w:divBdr>
    </w:div>
    <w:div w:id="471026884">
      <w:bodyDiv w:val="1"/>
      <w:marLeft w:val="0"/>
      <w:marRight w:val="0"/>
      <w:marTop w:val="0"/>
      <w:marBottom w:val="0"/>
      <w:divBdr>
        <w:top w:val="none" w:sz="0" w:space="0" w:color="auto"/>
        <w:left w:val="none" w:sz="0" w:space="0" w:color="auto"/>
        <w:bottom w:val="none" w:sz="0" w:space="0" w:color="auto"/>
        <w:right w:val="none" w:sz="0" w:space="0" w:color="auto"/>
      </w:divBdr>
      <w:divsChild>
        <w:div w:id="933368280">
          <w:marLeft w:val="0"/>
          <w:marRight w:val="0"/>
          <w:marTop w:val="0"/>
          <w:marBottom w:val="0"/>
          <w:divBdr>
            <w:top w:val="none" w:sz="0" w:space="0" w:color="auto"/>
            <w:left w:val="none" w:sz="0" w:space="0" w:color="auto"/>
            <w:bottom w:val="none" w:sz="0" w:space="0" w:color="auto"/>
            <w:right w:val="none" w:sz="0" w:space="0" w:color="auto"/>
          </w:divBdr>
          <w:divsChild>
            <w:div w:id="141527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458948">
      <w:bodyDiv w:val="1"/>
      <w:marLeft w:val="0"/>
      <w:marRight w:val="0"/>
      <w:marTop w:val="0"/>
      <w:marBottom w:val="0"/>
      <w:divBdr>
        <w:top w:val="none" w:sz="0" w:space="0" w:color="auto"/>
        <w:left w:val="none" w:sz="0" w:space="0" w:color="auto"/>
        <w:bottom w:val="none" w:sz="0" w:space="0" w:color="auto"/>
        <w:right w:val="none" w:sz="0" w:space="0" w:color="auto"/>
      </w:divBdr>
    </w:div>
    <w:div w:id="484125049">
      <w:bodyDiv w:val="1"/>
      <w:marLeft w:val="0"/>
      <w:marRight w:val="0"/>
      <w:marTop w:val="0"/>
      <w:marBottom w:val="0"/>
      <w:divBdr>
        <w:top w:val="none" w:sz="0" w:space="0" w:color="auto"/>
        <w:left w:val="none" w:sz="0" w:space="0" w:color="auto"/>
        <w:bottom w:val="none" w:sz="0" w:space="0" w:color="auto"/>
        <w:right w:val="none" w:sz="0" w:space="0" w:color="auto"/>
      </w:divBdr>
      <w:divsChild>
        <w:div w:id="702512634">
          <w:marLeft w:val="0"/>
          <w:marRight w:val="0"/>
          <w:marTop w:val="0"/>
          <w:marBottom w:val="0"/>
          <w:divBdr>
            <w:top w:val="none" w:sz="0" w:space="0" w:color="auto"/>
            <w:left w:val="none" w:sz="0" w:space="0" w:color="auto"/>
            <w:bottom w:val="none" w:sz="0" w:space="0" w:color="auto"/>
            <w:right w:val="none" w:sz="0" w:space="0" w:color="auto"/>
          </w:divBdr>
          <w:divsChild>
            <w:div w:id="17157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331935">
      <w:bodyDiv w:val="1"/>
      <w:marLeft w:val="0"/>
      <w:marRight w:val="0"/>
      <w:marTop w:val="0"/>
      <w:marBottom w:val="0"/>
      <w:divBdr>
        <w:top w:val="none" w:sz="0" w:space="0" w:color="auto"/>
        <w:left w:val="none" w:sz="0" w:space="0" w:color="auto"/>
        <w:bottom w:val="none" w:sz="0" w:space="0" w:color="auto"/>
        <w:right w:val="none" w:sz="0" w:space="0" w:color="auto"/>
      </w:divBdr>
    </w:div>
    <w:div w:id="511528244">
      <w:bodyDiv w:val="1"/>
      <w:marLeft w:val="0"/>
      <w:marRight w:val="0"/>
      <w:marTop w:val="0"/>
      <w:marBottom w:val="0"/>
      <w:divBdr>
        <w:top w:val="none" w:sz="0" w:space="0" w:color="auto"/>
        <w:left w:val="none" w:sz="0" w:space="0" w:color="auto"/>
        <w:bottom w:val="none" w:sz="0" w:space="0" w:color="auto"/>
        <w:right w:val="none" w:sz="0" w:space="0" w:color="auto"/>
      </w:divBdr>
      <w:divsChild>
        <w:div w:id="949167287">
          <w:marLeft w:val="0"/>
          <w:marRight w:val="0"/>
          <w:marTop w:val="0"/>
          <w:marBottom w:val="30"/>
          <w:divBdr>
            <w:top w:val="none" w:sz="0" w:space="0" w:color="auto"/>
            <w:left w:val="none" w:sz="0" w:space="0" w:color="auto"/>
            <w:bottom w:val="none" w:sz="0" w:space="0" w:color="auto"/>
            <w:right w:val="none" w:sz="0" w:space="0" w:color="auto"/>
          </w:divBdr>
        </w:div>
      </w:divsChild>
    </w:div>
    <w:div w:id="586770790">
      <w:bodyDiv w:val="1"/>
      <w:marLeft w:val="0"/>
      <w:marRight w:val="0"/>
      <w:marTop w:val="0"/>
      <w:marBottom w:val="0"/>
      <w:divBdr>
        <w:top w:val="none" w:sz="0" w:space="0" w:color="auto"/>
        <w:left w:val="none" w:sz="0" w:space="0" w:color="auto"/>
        <w:bottom w:val="none" w:sz="0" w:space="0" w:color="auto"/>
        <w:right w:val="none" w:sz="0" w:space="0" w:color="auto"/>
      </w:divBdr>
      <w:divsChild>
        <w:div w:id="1205021603">
          <w:marLeft w:val="0"/>
          <w:marRight w:val="0"/>
          <w:marTop w:val="0"/>
          <w:marBottom w:val="0"/>
          <w:divBdr>
            <w:top w:val="none" w:sz="0" w:space="0" w:color="auto"/>
            <w:left w:val="none" w:sz="0" w:space="0" w:color="auto"/>
            <w:bottom w:val="none" w:sz="0" w:space="0" w:color="auto"/>
            <w:right w:val="none" w:sz="0" w:space="0" w:color="auto"/>
          </w:divBdr>
          <w:divsChild>
            <w:div w:id="127686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46042">
      <w:bodyDiv w:val="1"/>
      <w:marLeft w:val="0"/>
      <w:marRight w:val="0"/>
      <w:marTop w:val="0"/>
      <w:marBottom w:val="0"/>
      <w:divBdr>
        <w:top w:val="none" w:sz="0" w:space="0" w:color="auto"/>
        <w:left w:val="none" w:sz="0" w:space="0" w:color="auto"/>
        <w:bottom w:val="none" w:sz="0" w:space="0" w:color="auto"/>
        <w:right w:val="none" w:sz="0" w:space="0" w:color="auto"/>
      </w:divBdr>
    </w:div>
    <w:div w:id="652220127">
      <w:bodyDiv w:val="1"/>
      <w:marLeft w:val="0"/>
      <w:marRight w:val="0"/>
      <w:marTop w:val="0"/>
      <w:marBottom w:val="0"/>
      <w:divBdr>
        <w:top w:val="none" w:sz="0" w:space="0" w:color="auto"/>
        <w:left w:val="none" w:sz="0" w:space="0" w:color="auto"/>
        <w:bottom w:val="none" w:sz="0" w:space="0" w:color="auto"/>
        <w:right w:val="none" w:sz="0" w:space="0" w:color="auto"/>
      </w:divBdr>
      <w:divsChild>
        <w:div w:id="137188949">
          <w:marLeft w:val="0"/>
          <w:marRight w:val="0"/>
          <w:marTop w:val="0"/>
          <w:marBottom w:val="0"/>
          <w:divBdr>
            <w:top w:val="none" w:sz="0" w:space="0" w:color="auto"/>
            <w:left w:val="none" w:sz="0" w:space="0" w:color="auto"/>
            <w:bottom w:val="none" w:sz="0" w:space="0" w:color="auto"/>
            <w:right w:val="none" w:sz="0" w:space="0" w:color="auto"/>
          </w:divBdr>
          <w:divsChild>
            <w:div w:id="148022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85439">
      <w:bodyDiv w:val="1"/>
      <w:marLeft w:val="0"/>
      <w:marRight w:val="0"/>
      <w:marTop w:val="0"/>
      <w:marBottom w:val="0"/>
      <w:divBdr>
        <w:top w:val="none" w:sz="0" w:space="0" w:color="auto"/>
        <w:left w:val="none" w:sz="0" w:space="0" w:color="auto"/>
        <w:bottom w:val="none" w:sz="0" w:space="0" w:color="auto"/>
        <w:right w:val="none" w:sz="0" w:space="0" w:color="auto"/>
      </w:divBdr>
      <w:divsChild>
        <w:div w:id="984240782">
          <w:marLeft w:val="0"/>
          <w:marRight w:val="0"/>
          <w:marTop w:val="0"/>
          <w:marBottom w:val="0"/>
          <w:divBdr>
            <w:top w:val="none" w:sz="0" w:space="0" w:color="auto"/>
            <w:left w:val="none" w:sz="0" w:space="0" w:color="auto"/>
            <w:bottom w:val="none" w:sz="0" w:space="0" w:color="auto"/>
            <w:right w:val="none" w:sz="0" w:space="0" w:color="auto"/>
          </w:divBdr>
          <w:divsChild>
            <w:div w:id="192475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852419">
      <w:bodyDiv w:val="1"/>
      <w:marLeft w:val="0"/>
      <w:marRight w:val="0"/>
      <w:marTop w:val="0"/>
      <w:marBottom w:val="0"/>
      <w:divBdr>
        <w:top w:val="none" w:sz="0" w:space="0" w:color="auto"/>
        <w:left w:val="none" w:sz="0" w:space="0" w:color="auto"/>
        <w:bottom w:val="none" w:sz="0" w:space="0" w:color="auto"/>
        <w:right w:val="none" w:sz="0" w:space="0" w:color="auto"/>
      </w:divBdr>
      <w:divsChild>
        <w:div w:id="772823027">
          <w:marLeft w:val="0"/>
          <w:marRight w:val="0"/>
          <w:marTop w:val="0"/>
          <w:marBottom w:val="0"/>
          <w:divBdr>
            <w:top w:val="none" w:sz="0" w:space="0" w:color="auto"/>
            <w:left w:val="none" w:sz="0" w:space="0" w:color="auto"/>
            <w:bottom w:val="none" w:sz="0" w:space="0" w:color="auto"/>
            <w:right w:val="none" w:sz="0" w:space="0" w:color="auto"/>
          </w:divBdr>
          <w:divsChild>
            <w:div w:id="189176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304760">
      <w:bodyDiv w:val="1"/>
      <w:marLeft w:val="0"/>
      <w:marRight w:val="0"/>
      <w:marTop w:val="0"/>
      <w:marBottom w:val="0"/>
      <w:divBdr>
        <w:top w:val="none" w:sz="0" w:space="0" w:color="auto"/>
        <w:left w:val="none" w:sz="0" w:space="0" w:color="auto"/>
        <w:bottom w:val="none" w:sz="0" w:space="0" w:color="auto"/>
        <w:right w:val="none" w:sz="0" w:space="0" w:color="auto"/>
      </w:divBdr>
    </w:div>
    <w:div w:id="835070016">
      <w:bodyDiv w:val="1"/>
      <w:marLeft w:val="0"/>
      <w:marRight w:val="0"/>
      <w:marTop w:val="0"/>
      <w:marBottom w:val="0"/>
      <w:divBdr>
        <w:top w:val="none" w:sz="0" w:space="0" w:color="auto"/>
        <w:left w:val="none" w:sz="0" w:space="0" w:color="auto"/>
        <w:bottom w:val="none" w:sz="0" w:space="0" w:color="auto"/>
        <w:right w:val="none" w:sz="0" w:space="0" w:color="auto"/>
      </w:divBdr>
    </w:div>
    <w:div w:id="864170496">
      <w:bodyDiv w:val="1"/>
      <w:marLeft w:val="0"/>
      <w:marRight w:val="0"/>
      <w:marTop w:val="0"/>
      <w:marBottom w:val="0"/>
      <w:divBdr>
        <w:top w:val="none" w:sz="0" w:space="0" w:color="auto"/>
        <w:left w:val="none" w:sz="0" w:space="0" w:color="auto"/>
        <w:bottom w:val="none" w:sz="0" w:space="0" w:color="auto"/>
        <w:right w:val="none" w:sz="0" w:space="0" w:color="auto"/>
      </w:divBdr>
    </w:div>
    <w:div w:id="897976779">
      <w:bodyDiv w:val="1"/>
      <w:marLeft w:val="0"/>
      <w:marRight w:val="0"/>
      <w:marTop w:val="0"/>
      <w:marBottom w:val="0"/>
      <w:divBdr>
        <w:top w:val="none" w:sz="0" w:space="0" w:color="auto"/>
        <w:left w:val="none" w:sz="0" w:space="0" w:color="auto"/>
        <w:bottom w:val="none" w:sz="0" w:space="0" w:color="auto"/>
        <w:right w:val="none" w:sz="0" w:space="0" w:color="auto"/>
      </w:divBdr>
      <w:divsChild>
        <w:div w:id="235743413">
          <w:marLeft w:val="0"/>
          <w:marRight w:val="0"/>
          <w:marTop w:val="0"/>
          <w:marBottom w:val="0"/>
          <w:divBdr>
            <w:top w:val="none" w:sz="0" w:space="0" w:color="auto"/>
            <w:left w:val="none" w:sz="0" w:space="0" w:color="auto"/>
            <w:bottom w:val="none" w:sz="0" w:space="0" w:color="auto"/>
            <w:right w:val="none" w:sz="0" w:space="0" w:color="auto"/>
          </w:divBdr>
          <w:divsChild>
            <w:div w:id="44742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405362">
      <w:bodyDiv w:val="1"/>
      <w:marLeft w:val="0"/>
      <w:marRight w:val="0"/>
      <w:marTop w:val="0"/>
      <w:marBottom w:val="0"/>
      <w:divBdr>
        <w:top w:val="none" w:sz="0" w:space="0" w:color="auto"/>
        <w:left w:val="none" w:sz="0" w:space="0" w:color="auto"/>
        <w:bottom w:val="none" w:sz="0" w:space="0" w:color="auto"/>
        <w:right w:val="none" w:sz="0" w:space="0" w:color="auto"/>
      </w:divBdr>
      <w:divsChild>
        <w:div w:id="796142920">
          <w:marLeft w:val="0"/>
          <w:marRight w:val="0"/>
          <w:marTop w:val="0"/>
          <w:marBottom w:val="0"/>
          <w:divBdr>
            <w:top w:val="none" w:sz="0" w:space="0" w:color="auto"/>
            <w:left w:val="none" w:sz="0" w:space="0" w:color="auto"/>
            <w:bottom w:val="none" w:sz="0" w:space="0" w:color="auto"/>
            <w:right w:val="none" w:sz="0" w:space="0" w:color="auto"/>
          </w:divBdr>
          <w:divsChild>
            <w:div w:id="207461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946832">
      <w:bodyDiv w:val="1"/>
      <w:marLeft w:val="0"/>
      <w:marRight w:val="0"/>
      <w:marTop w:val="0"/>
      <w:marBottom w:val="0"/>
      <w:divBdr>
        <w:top w:val="none" w:sz="0" w:space="0" w:color="auto"/>
        <w:left w:val="none" w:sz="0" w:space="0" w:color="auto"/>
        <w:bottom w:val="none" w:sz="0" w:space="0" w:color="auto"/>
        <w:right w:val="none" w:sz="0" w:space="0" w:color="auto"/>
      </w:divBdr>
    </w:div>
    <w:div w:id="1066222152">
      <w:bodyDiv w:val="1"/>
      <w:marLeft w:val="0"/>
      <w:marRight w:val="0"/>
      <w:marTop w:val="0"/>
      <w:marBottom w:val="0"/>
      <w:divBdr>
        <w:top w:val="none" w:sz="0" w:space="0" w:color="auto"/>
        <w:left w:val="none" w:sz="0" w:space="0" w:color="auto"/>
        <w:bottom w:val="none" w:sz="0" w:space="0" w:color="auto"/>
        <w:right w:val="none" w:sz="0" w:space="0" w:color="auto"/>
      </w:divBdr>
    </w:div>
    <w:div w:id="1115708861">
      <w:bodyDiv w:val="1"/>
      <w:marLeft w:val="0"/>
      <w:marRight w:val="0"/>
      <w:marTop w:val="0"/>
      <w:marBottom w:val="0"/>
      <w:divBdr>
        <w:top w:val="none" w:sz="0" w:space="0" w:color="auto"/>
        <w:left w:val="none" w:sz="0" w:space="0" w:color="auto"/>
        <w:bottom w:val="none" w:sz="0" w:space="0" w:color="auto"/>
        <w:right w:val="none" w:sz="0" w:space="0" w:color="auto"/>
      </w:divBdr>
      <w:divsChild>
        <w:div w:id="382801203">
          <w:marLeft w:val="0"/>
          <w:marRight w:val="0"/>
          <w:marTop w:val="0"/>
          <w:marBottom w:val="0"/>
          <w:divBdr>
            <w:top w:val="none" w:sz="0" w:space="0" w:color="auto"/>
            <w:left w:val="none" w:sz="0" w:space="0" w:color="auto"/>
            <w:bottom w:val="none" w:sz="0" w:space="0" w:color="auto"/>
            <w:right w:val="none" w:sz="0" w:space="0" w:color="auto"/>
          </w:divBdr>
          <w:divsChild>
            <w:div w:id="76765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085324">
      <w:bodyDiv w:val="1"/>
      <w:marLeft w:val="0"/>
      <w:marRight w:val="0"/>
      <w:marTop w:val="0"/>
      <w:marBottom w:val="0"/>
      <w:divBdr>
        <w:top w:val="none" w:sz="0" w:space="0" w:color="auto"/>
        <w:left w:val="none" w:sz="0" w:space="0" w:color="auto"/>
        <w:bottom w:val="none" w:sz="0" w:space="0" w:color="auto"/>
        <w:right w:val="none" w:sz="0" w:space="0" w:color="auto"/>
      </w:divBdr>
    </w:div>
    <w:div w:id="1240402285">
      <w:bodyDiv w:val="1"/>
      <w:marLeft w:val="0"/>
      <w:marRight w:val="0"/>
      <w:marTop w:val="0"/>
      <w:marBottom w:val="0"/>
      <w:divBdr>
        <w:top w:val="none" w:sz="0" w:space="0" w:color="auto"/>
        <w:left w:val="none" w:sz="0" w:space="0" w:color="auto"/>
        <w:bottom w:val="none" w:sz="0" w:space="0" w:color="auto"/>
        <w:right w:val="none" w:sz="0" w:space="0" w:color="auto"/>
      </w:divBdr>
    </w:div>
    <w:div w:id="1275013753">
      <w:bodyDiv w:val="1"/>
      <w:marLeft w:val="0"/>
      <w:marRight w:val="0"/>
      <w:marTop w:val="0"/>
      <w:marBottom w:val="0"/>
      <w:divBdr>
        <w:top w:val="none" w:sz="0" w:space="0" w:color="auto"/>
        <w:left w:val="none" w:sz="0" w:space="0" w:color="auto"/>
        <w:bottom w:val="none" w:sz="0" w:space="0" w:color="auto"/>
        <w:right w:val="none" w:sz="0" w:space="0" w:color="auto"/>
      </w:divBdr>
    </w:div>
    <w:div w:id="1280330500">
      <w:bodyDiv w:val="1"/>
      <w:marLeft w:val="0"/>
      <w:marRight w:val="0"/>
      <w:marTop w:val="0"/>
      <w:marBottom w:val="0"/>
      <w:divBdr>
        <w:top w:val="none" w:sz="0" w:space="0" w:color="auto"/>
        <w:left w:val="none" w:sz="0" w:space="0" w:color="auto"/>
        <w:bottom w:val="none" w:sz="0" w:space="0" w:color="auto"/>
        <w:right w:val="none" w:sz="0" w:space="0" w:color="auto"/>
      </w:divBdr>
    </w:div>
    <w:div w:id="1323899181">
      <w:bodyDiv w:val="1"/>
      <w:marLeft w:val="0"/>
      <w:marRight w:val="0"/>
      <w:marTop w:val="0"/>
      <w:marBottom w:val="0"/>
      <w:divBdr>
        <w:top w:val="none" w:sz="0" w:space="0" w:color="auto"/>
        <w:left w:val="none" w:sz="0" w:space="0" w:color="auto"/>
        <w:bottom w:val="none" w:sz="0" w:space="0" w:color="auto"/>
        <w:right w:val="none" w:sz="0" w:space="0" w:color="auto"/>
      </w:divBdr>
    </w:div>
    <w:div w:id="1325551447">
      <w:bodyDiv w:val="1"/>
      <w:marLeft w:val="0"/>
      <w:marRight w:val="0"/>
      <w:marTop w:val="0"/>
      <w:marBottom w:val="0"/>
      <w:divBdr>
        <w:top w:val="none" w:sz="0" w:space="0" w:color="auto"/>
        <w:left w:val="none" w:sz="0" w:space="0" w:color="auto"/>
        <w:bottom w:val="none" w:sz="0" w:space="0" w:color="auto"/>
        <w:right w:val="none" w:sz="0" w:space="0" w:color="auto"/>
      </w:divBdr>
      <w:divsChild>
        <w:div w:id="625744750">
          <w:marLeft w:val="0"/>
          <w:marRight w:val="0"/>
          <w:marTop w:val="0"/>
          <w:marBottom w:val="0"/>
          <w:divBdr>
            <w:top w:val="none" w:sz="0" w:space="0" w:color="auto"/>
            <w:left w:val="none" w:sz="0" w:space="0" w:color="auto"/>
            <w:bottom w:val="none" w:sz="0" w:space="0" w:color="auto"/>
            <w:right w:val="none" w:sz="0" w:space="0" w:color="auto"/>
          </w:divBdr>
          <w:divsChild>
            <w:div w:id="33773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197316">
      <w:bodyDiv w:val="1"/>
      <w:marLeft w:val="0"/>
      <w:marRight w:val="0"/>
      <w:marTop w:val="0"/>
      <w:marBottom w:val="0"/>
      <w:divBdr>
        <w:top w:val="none" w:sz="0" w:space="0" w:color="auto"/>
        <w:left w:val="none" w:sz="0" w:space="0" w:color="auto"/>
        <w:bottom w:val="none" w:sz="0" w:space="0" w:color="auto"/>
        <w:right w:val="none" w:sz="0" w:space="0" w:color="auto"/>
      </w:divBdr>
    </w:div>
    <w:div w:id="1343312231">
      <w:bodyDiv w:val="1"/>
      <w:marLeft w:val="0"/>
      <w:marRight w:val="0"/>
      <w:marTop w:val="0"/>
      <w:marBottom w:val="0"/>
      <w:divBdr>
        <w:top w:val="none" w:sz="0" w:space="0" w:color="auto"/>
        <w:left w:val="none" w:sz="0" w:space="0" w:color="auto"/>
        <w:bottom w:val="none" w:sz="0" w:space="0" w:color="auto"/>
        <w:right w:val="none" w:sz="0" w:space="0" w:color="auto"/>
      </w:divBdr>
    </w:div>
    <w:div w:id="1387608001">
      <w:bodyDiv w:val="1"/>
      <w:marLeft w:val="0"/>
      <w:marRight w:val="0"/>
      <w:marTop w:val="0"/>
      <w:marBottom w:val="0"/>
      <w:divBdr>
        <w:top w:val="none" w:sz="0" w:space="0" w:color="auto"/>
        <w:left w:val="none" w:sz="0" w:space="0" w:color="auto"/>
        <w:bottom w:val="none" w:sz="0" w:space="0" w:color="auto"/>
        <w:right w:val="none" w:sz="0" w:space="0" w:color="auto"/>
      </w:divBdr>
    </w:div>
    <w:div w:id="1411854479">
      <w:bodyDiv w:val="1"/>
      <w:marLeft w:val="0"/>
      <w:marRight w:val="0"/>
      <w:marTop w:val="0"/>
      <w:marBottom w:val="0"/>
      <w:divBdr>
        <w:top w:val="none" w:sz="0" w:space="0" w:color="auto"/>
        <w:left w:val="none" w:sz="0" w:space="0" w:color="auto"/>
        <w:bottom w:val="none" w:sz="0" w:space="0" w:color="auto"/>
        <w:right w:val="none" w:sz="0" w:space="0" w:color="auto"/>
      </w:divBdr>
    </w:div>
    <w:div w:id="1421680086">
      <w:bodyDiv w:val="1"/>
      <w:marLeft w:val="0"/>
      <w:marRight w:val="0"/>
      <w:marTop w:val="0"/>
      <w:marBottom w:val="0"/>
      <w:divBdr>
        <w:top w:val="none" w:sz="0" w:space="0" w:color="auto"/>
        <w:left w:val="none" w:sz="0" w:space="0" w:color="auto"/>
        <w:bottom w:val="none" w:sz="0" w:space="0" w:color="auto"/>
        <w:right w:val="none" w:sz="0" w:space="0" w:color="auto"/>
      </w:divBdr>
      <w:divsChild>
        <w:div w:id="1423643992">
          <w:marLeft w:val="0"/>
          <w:marRight w:val="0"/>
          <w:marTop w:val="0"/>
          <w:marBottom w:val="0"/>
          <w:divBdr>
            <w:top w:val="none" w:sz="0" w:space="0" w:color="auto"/>
            <w:left w:val="none" w:sz="0" w:space="0" w:color="auto"/>
            <w:bottom w:val="none" w:sz="0" w:space="0" w:color="auto"/>
            <w:right w:val="none" w:sz="0" w:space="0" w:color="auto"/>
          </w:divBdr>
          <w:divsChild>
            <w:div w:id="99919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143107">
      <w:bodyDiv w:val="1"/>
      <w:marLeft w:val="0"/>
      <w:marRight w:val="0"/>
      <w:marTop w:val="0"/>
      <w:marBottom w:val="0"/>
      <w:divBdr>
        <w:top w:val="none" w:sz="0" w:space="0" w:color="auto"/>
        <w:left w:val="none" w:sz="0" w:space="0" w:color="auto"/>
        <w:bottom w:val="none" w:sz="0" w:space="0" w:color="auto"/>
        <w:right w:val="none" w:sz="0" w:space="0" w:color="auto"/>
      </w:divBdr>
    </w:div>
    <w:div w:id="1461993608">
      <w:bodyDiv w:val="1"/>
      <w:marLeft w:val="0"/>
      <w:marRight w:val="0"/>
      <w:marTop w:val="0"/>
      <w:marBottom w:val="0"/>
      <w:divBdr>
        <w:top w:val="none" w:sz="0" w:space="0" w:color="auto"/>
        <w:left w:val="none" w:sz="0" w:space="0" w:color="auto"/>
        <w:bottom w:val="none" w:sz="0" w:space="0" w:color="auto"/>
        <w:right w:val="none" w:sz="0" w:space="0" w:color="auto"/>
      </w:divBdr>
    </w:div>
    <w:div w:id="1480346937">
      <w:bodyDiv w:val="1"/>
      <w:marLeft w:val="0"/>
      <w:marRight w:val="0"/>
      <w:marTop w:val="0"/>
      <w:marBottom w:val="0"/>
      <w:divBdr>
        <w:top w:val="none" w:sz="0" w:space="0" w:color="auto"/>
        <w:left w:val="none" w:sz="0" w:space="0" w:color="auto"/>
        <w:bottom w:val="none" w:sz="0" w:space="0" w:color="auto"/>
        <w:right w:val="none" w:sz="0" w:space="0" w:color="auto"/>
      </w:divBdr>
    </w:div>
    <w:div w:id="1568802483">
      <w:bodyDiv w:val="1"/>
      <w:marLeft w:val="0"/>
      <w:marRight w:val="0"/>
      <w:marTop w:val="0"/>
      <w:marBottom w:val="0"/>
      <w:divBdr>
        <w:top w:val="none" w:sz="0" w:space="0" w:color="auto"/>
        <w:left w:val="none" w:sz="0" w:space="0" w:color="auto"/>
        <w:bottom w:val="none" w:sz="0" w:space="0" w:color="auto"/>
        <w:right w:val="none" w:sz="0" w:space="0" w:color="auto"/>
      </w:divBdr>
    </w:div>
    <w:div w:id="1608393205">
      <w:bodyDiv w:val="1"/>
      <w:marLeft w:val="0"/>
      <w:marRight w:val="0"/>
      <w:marTop w:val="0"/>
      <w:marBottom w:val="0"/>
      <w:divBdr>
        <w:top w:val="none" w:sz="0" w:space="0" w:color="auto"/>
        <w:left w:val="none" w:sz="0" w:space="0" w:color="auto"/>
        <w:bottom w:val="none" w:sz="0" w:space="0" w:color="auto"/>
        <w:right w:val="none" w:sz="0" w:space="0" w:color="auto"/>
      </w:divBdr>
    </w:div>
    <w:div w:id="1716192874">
      <w:bodyDiv w:val="1"/>
      <w:marLeft w:val="0"/>
      <w:marRight w:val="0"/>
      <w:marTop w:val="0"/>
      <w:marBottom w:val="0"/>
      <w:divBdr>
        <w:top w:val="none" w:sz="0" w:space="0" w:color="auto"/>
        <w:left w:val="none" w:sz="0" w:space="0" w:color="auto"/>
        <w:bottom w:val="none" w:sz="0" w:space="0" w:color="auto"/>
        <w:right w:val="none" w:sz="0" w:space="0" w:color="auto"/>
      </w:divBdr>
    </w:div>
    <w:div w:id="1717199149">
      <w:bodyDiv w:val="1"/>
      <w:marLeft w:val="0"/>
      <w:marRight w:val="0"/>
      <w:marTop w:val="0"/>
      <w:marBottom w:val="0"/>
      <w:divBdr>
        <w:top w:val="none" w:sz="0" w:space="0" w:color="auto"/>
        <w:left w:val="none" w:sz="0" w:space="0" w:color="auto"/>
        <w:bottom w:val="none" w:sz="0" w:space="0" w:color="auto"/>
        <w:right w:val="none" w:sz="0" w:space="0" w:color="auto"/>
      </w:divBdr>
    </w:div>
    <w:div w:id="1795128047">
      <w:bodyDiv w:val="1"/>
      <w:marLeft w:val="0"/>
      <w:marRight w:val="0"/>
      <w:marTop w:val="0"/>
      <w:marBottom w:val="0"/>
      <w:divBdr>
        <w:top w:val="none" w:sz="0" w:space="0" w:color="auto"/>
        <w:left w:val="none" w:sz="0" w:space="0" w:color="auto"/>
        <w:bottom w:val="none" w:sz="0" w:space="0" w:color="auto"/>
        <w:right w:val="none" w:sz="0" w:space="0" w:color="auto"/>
      </w:divBdr>
    </w:div>
    <w:div w:id="1798252398">
      <w:bodyDiv w:val="1"/>
      <w:marLeft w:val="0"/>
      <w:marRight w:val="0"/>
      <w:marTop w:val="0"/>
      <w:marBottom w:val="0"/>
      <w:divBdr>
        <w:top w:val="none" w:sz="0" w:space="0" w:color="auto"/>
        <w:left w:val="none" w:sz="0" w:space="0" w:color="auto"/>
        <w:bottom w:val="none" w:sz="0" w:space="0" w:color="auto"/>
        <w:right w:val="none" w:sz="0" w:space="0" w:color="auto"/>
      </w:divBdr>
    </w:div>
    <w:div w:id="1834107363">
      <w:bodyDiv w:val="1"/>
      <w:marLeft w:val="0"/>
      <w:marRight w:val="0"/>
      <w:marTop w:val="0"/>
      <w:marBottom w:val="0"/>
      <w:divBdr>
        <w:top w:val="none" w:sz="0" w:space="0" w:color="auto"/>
        <w:left w:val="none" w:sz="0" w:space="0" w:color="auto"/>
        <w:bottom w:val="none" w:sz="0" w:space="0" w:color="auto"/>
        <w:right w:val="none" w:sz="0" w:space="0" w:color="auto"/>
      </w:divBdr>
    </w:div>
    <w:div w:id="1835487578">
      <w:bodyDiv w:val="1"/>
      <w:marLeft w:val="0"/>
      <w:marRight w:val="0"/>
      <w:marTop w:val="0"/>
      <w:marBottom w:val="0"/>
      <w:divBdr>
        <w:top w:val="none" w:sz="0" w:space="0" w:color="auto"/>
        <w:left w:val="none" w:sz="0" w:space="0" w:color="auto"/>
        <w:bottom w:val="none" w:sz="0" w:space="0" w:color="auto"/>
        <w:right w:val="none" w:sz="0" w:space="0" w:color="auto"/>
      </w:divBdr>
    </w:div>
    <w:div w:id="1881165654">
      <w:bodyDiv w:val="1"/>
      <w:marLeft w:val="0"/>
      <w:marRight w:val="0"/>
      <w:marTop w:val="0"/>
      <w:marBottom w:val="0"/>
      <w:divBdr>
        <w:top w:val="none" w:sz="0" w:space="0" w:color="auto"/>
        <w:left w:val="none" w:sz="0" w:space="0" w:color="auto"/>
        <w:bottom w:val="none" w:sz="0" w:space="0" w:color="auto"/>
        <w:right w:val="none" w:sz="0" w:space="0" w:color="auto"/>
      </w:divBdr>
      <w:divsChild>
        <w:div w:id="160510642">
          <w:marLeft w:val="0"/>
          <w:marRight w:val="0"/>
          <w:marTop w:val="0"/>
          <w:marBottom w:val="0"/>
          <w:divBdr>
            <w:top w:val="none" w:sz="0" w:space="0" w:color="auto"/>
            <w:left w:val="none" w:sz="0" w:space="0" w:color="auto"/>
            <w:bottom w:val="none" w:sz="0" w:space="0" w:color="auto"/>
            <w:right w:val="none" w:sz="0" w:space="0" w:color="auto"/>
          </w:divBdr>
          <w:divsChild>
            <w:div w:id="106333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629093">
      <w:bodyDiv w:val="1"/>
      <w:marLeft w:val="0"/>
      <w:marRight w:val="0"/>
      <w:marTop w:val="0"/>
      <w:marBottom w:val="0"/>
      <w:divBdr>
        <w:top w:val="none" w:sz="0" w:space="0" w:color="auto"/>
        <w:left w:val="none" w:sz="0" w:space="0" w:color="auto"/>
        <w:bottom w:val="none" w:sz="0" w:space="0" w:color="auto"/>
        <w:right w:val="none" w:sz="0" w:space="0" w:color="auto"/>
      </w:divBdr>
    </w:div>
    <w:div w:id="1954093707">
      <w:bodyDiv w:val="1"/>
      <w:marLeft w:val="0"/>
      <w:marRight w:val="0"/>
      <w:marTop w:val="0"/>
      <w:marBottom w:val="0"/>
      <w:divBdr>
        <w:top w:val="none" w:sz="0" w:space="0" w:color="auto"/>
        <w:left w:val="none" w:sz="0" w:space="0" w:color="auto"/>
        <w:bottom w:val="none" w:sz="0" w:space="0" w:color="auto"/>
        <w:right w:val="none" w:sz="0" w:space="0" w:color="auto"/>
      </w:divBdr>
    </w:div>
    <w:div w:id="197093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dianapolischinesefestival.com/advantages-of-waste-management/" TargetMode="External"/><Relationship Id="rId18" Type="http://schemas.openxmlformats.org/officeDocument/2006/relationships/hyperlink" Target="http://dx.doi.org/10.26481/umarep.2014003" TargetMode="External"/><Relationship Id="rId26" Type="http://schemas.openxmlformats.org/officeDocument/2006/relationships/hyperlink" Target="https://doi.org/10.1016/j.actpsy.2022.103816" TargetMode="External"/><Relationship Id="rId39" Type="http://schemas.openxmlformats.org/officeDocument/2006/relationships/hyperlink" Target="https://www.bbc.co.uk/news/business-65388445" TargetMode="External"/><Relationship Id="rId21" Type="http://schemas.openxmlformats.org/officeDocument/2006/relationships/hyperlink" Target="https://www.gov.wales/changes-workplace-recycling-guidance-workplaces" TargetMode="External"/><Relationship Id="rId34" Type="http://schemas.openxmlformats.org/officeDocument/2006/relationships/hyperlink" Target="https://doi.org/10.1177/20427530221107774" TargetMode="External"/><Relationship Id="rId42" Type="http://schemas.openxmlformats.org/officeDocument/2006/relationships/hyperlink" Target="https://doi.org/10.37531/ecotal.v5i1.1287" TargetMode="External"/><Relationship Id="rId47" Type="http://schemas.openxmlformats.org/officeDocument/2006/relationships/hyperlink" Target="https://doi.org/10.1007/978-981-97-1215-1_3" TargetMode="External"/><Relationship Id="rId50" Type="http://schemas.openxmlformats.org/officeDocument/2006/relationships/hyperlink" Target="https://cris.unibo.it/bitstream/11585/917132/1/InfoSciV26p039-068Morandini8895.pdf" TargetMode="External"/><Relationship Id="rId55" Type="http://schemas.openxmlformats.org/officeDocument/2006/relationships/footer" Target="footer1.xml"/><Relationship Id="rId7" Type="http://schemas.openxmlformats.org/officeDocument/2006/relationships/hyperlink" Target="https://psycnet.apa.org/record/2007-04601-005" TargetMode="External"/><Relationship Id="rId2" Type="http://schemas.openxmlformats.org/officeDocument/2006/relationships/styles" Target="styles.xml"/><Relationship Id="rId16" Type="http://schemas.openxmlformats.org/officeDocument/2006/relationships/hyperlink" Target="https://doi.org/10.4324/9780203495933" TargetMode="External"/><Relationship Id="rId29" Type="http://schemas.openxmlformats.org/officeDocument/2006/relationships/hyperlink" Target="https://www.bing.com/images/search?view=detailV2&amp;ccid=yKqrx%2FPX&amp;id=99D843242110ADC64623B7296CF0EECCDA80C81E&amp;thid=OIP.yKqrx_PX7wfMkYsu8Sry5gHaEK&amp;mediaurl=https%3A%2F%2Fichef.bbci.co.uk%2Fnews%2F976%2Fcpsprodpb%2F188F%2Fproduction%2F_124678260_microsoftteams-image-1.png&amp;cdnurl=https%3A%2F%2Fth.bing.com%2Fth%2Fid%2FR.c8aaabc7f3d7ef07cc918b2ef12af2e6%3Frik%3DHsiA2szu8Gwptw%26pid%3DImgRaw%26r%3D0&amp;exph=549&amp;expw=976&amp;q=government+recycling+data+wales&amp;simid=608033229673614003&amp;FORM=IRPRST&amp;ck=0AB0D6C753FB2F09A33AC614D2716617&amp;selectedIndex=8&amp;itb=0&amp;cw=1145&amp;ch=506&amp;ajaxhist=0&amp;ajaxserp=0" TargetMode="External"/><Relationship Id="rId11" Type="http://schemas.openxmlformats.org/officeDocument/2006/relationships/hyperlink" Target="https://www.cipd.org/globalassets/media/knowledge/knowledge-hub/reports/addressing-skills-labour-shortages-post-brexit_tcm18-102313.pdf" TargetMode="External"/><Relationship Id="rId24" Type="http://schemas.openxmlformats.org/officeDocument/2006/relationships/hyperlink" Target="https://www.cipd.org/en/knowledge/factsheets/pestle-analysis-factsheet/" TargetMode="External"/><Relationship Id="rId32" Type="http://schemas.openxmlformats.org/officeDocument/2006/relationships/hyperlink" Target="https://www.ipa-involve.com/Pages/FAQs/Category/working-with-trade-us" TargetMode="External"/><Relationship Id="rId37" Type="http://schemas.openxmlformats.org/officeDocument/2006/relationships/hyperlink" Target="https://doi.org/10.3390/agriculture14091554" TargetMode="External"/><Relationship Id="rId40" Type="http://schemas.openxmlformats.org/officeDocument/2006/relationships/hyperlink" Target="https://gbr01.safelinks.protection.outlook.com/?url=https%3A%2F%2Fwww.davidsonmorris.com%2Ftrade-union-act-1992%2F&amp;data=05%7C02%7CNia.Milcoy%40Volactive.com%7Cc5a2f25b802a46bb6c7208dd1dbc581d%7Cd2f141364bfd4f9d98f3c302531f6bfa%7C0%7C0%7C638699416956006114%7CUnknown%7CTWFpbGZsb3d8eyJFbXB0eU1hcGkiOnRydWUsIlYiOiIwLjAuMDAwMCIsIlAiOiJXaW4zMiIsIkFOIjoiTWFpbCIsIldUIjoyfQ%3D%3D%7C0%7C%7C%7C&amp;sdata=flVm%2B%2Bbh5kO0vC6Rp8qKoC%2FW0sSZTs4WvWI2pArLgJM%3D&amp;reserved=0" TargetMode="External"/><Relationship Id="rId45" Type="http://schemas.openxmlformats.org/officeDocument/2006/relationships/hyperlink" Target="https://doi.org/10.4324/9781003578840" TargetMode="External"/><Relationship Id="rId53" Type="http://schemas.openxmlformats.org/officeDocument/2006/relationships/hyperlink" Target="https://www.davidsonmorris.com/trade-union-act-1992/" TargetMode="External"/><Relationship Id="rId5" Type="http://schemas.openxmlformats.org/officeDocument/2006/relationships/footnotes" Target="footnotes.xml"/><Relationship Id="rId19" Type="http://schemas.openxmlformats.org/officeDocument/2006/relationships/hyperlink" Target="https://doi.org/10.1136/inpract.31.1.37" TargetMode="External"/><Relationship Id="rId4" Type="http://schemas.openxmlformats.org/officeDocument/2006/relationships/webSettings" Target="webSettings.xml"/><Relationship Id="rId9" Type="http://schemas.openxmlformats.org/officeDocument/2006/relationships/hyperlink" Target="https://www.acas.org.uk/acas-welcomes-governments-focus-on-workforce-relations" TargetMode="External"/><Relationship Id="rId14" Type="http://schemas.openxmlformats.org/officeDocument/2006/relationships/hyperlink" Target="https://indianapolischinesefestival.com/advantages-of-waste-management/" TargetMode="External"/><Relationship Id="rId22" Type="http://schemas.openxmlformats.org/officeDocument/2006/relationships/hyperlink" Target="https://www.gov.wales/changes-workplace-recycling-guidance-workplaces" TargetMode="External"/><Relationship Id="rId27" Type="http://schemas.openxmlformats.org/officeDocument/2006/relationships/hyperlink" Target="http://dx.doi.org/10.15185/izawol.162.v2" TargetMode="External"/><Relationship Id="rId30" Type="http://schemas.openxmlformats.org/officeDocument/2006/relationships/hyperlink" Target="https://www.bing.com/images/search?view=detailV2&amp;ccid=yKqrx%2FPX&amp;id=99D843242110ADC64623B7296CF0EECCDA80C81E&amp;thid=OIP.yKqrx_PX7wfMkYsu8Sry5gHaEK&amp;mediaurl=https%3A%2F%2Fichef.bbci.co.uk%2Fnews%2F976%2Fcpsprodpb%2F188F%2Fproduction%2F_124678260_microsoftteams-image-1.png&amp;cdnurl=https%3A%2F%2Fth.bing.com%2Fth%2Fid%2FR.c8aaabc7f3d7ef07cc918b2ef12af2e6%3Frik%3DHsiA2szu8Gwptw%26pid%3DImgRaw%26r%3D0&amp;exph=549&amp;expw=976&amp;q=government+recycling+data+wales&amp;simid=608033229673614003&amp;FORM=IRPRST&amp;ck=0AB0D6C753FB2F09A33AC614D2716617&amp;selectedIndex=8&amp;itb=0&amp;cw=1145&amp;ch=506&amp;ajaxhist=0&amp;ajaxserp=0" TargetMode="External"/><Relationship Id="rId35" Type="http://schemas.openxmlformats.org/officeDocument/2006/relationships/hyperlink" Target="https://doi.org/10.1080/13639080.2021.1983524" TargetMode="External"/><Relationship Id="rId43" Type="http://schemas.openxmlformats.org/officeDocument/2006/relationships/hyperlink" Target="https://www.ons.gov.uk/peoplepopulationandcommunity/populationandmigration/populationestimates/articles/populationandmigrationstatisticstransformationceredigioncasestudy/2023" TargetMode="External"/><Relationship Id="rId48" Type="http://schemas.openxmlformats.org/officeDocument/2006/relationships/hyperlink" Target="https://www.cipd.org/uk/knowledge/podcasts/skilling-up-now-and-for-the-future/" TargetMode="External"/><Relationship Id="rId56" Type="http://schemas.openxmlformats.org/officeDocument/2006/relationships/fontTable" Target="fontTable.xml"/><Relationship Id="rId8" Type="http://schemas.openxmlformats.org/officeDocument/2006/relationships/hyperlink" Target="https://www.acas.org.uk/about-us" TargetMode="External"/><Relationship Id="rId51" Type="http://schemas.openxmlformats.org/officeDocument/2006/relationships/hyperlink" Target="https://doi.org/10.1007/s11269-012-0077-2" TargetMode="External"/><Relationship Id="rId3" Type="http://schemas.openxmlformats.org/officeDocument/2006/relationships/settings" Target="settings.xml"/><Relationship Id="rId12" Type="http://schemas.openxmlformats.org/officeDocument/2006/relationships/hyperlink" Target="https://www.cipd.org/globalassets/media/knowledge/knowledge-hub/reports/addressing-skills-labour-shortages-post-brexit_tcm18-102313.pdf" TargetMode="External"/><Relationship Id="rId17" Type="http://schemas.openxmlformats.org/officeDocument/2006/relationships/hyperlink" Target="http://dx.doi.org/10.1016/j.ijproman.2022.05.006"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hyperlink" Target="https://wol.iza.org/articles/sexual-harassment-in-the-workplace/long" TargetMode="External"/><Relationship Id="rId38" Type="http://schemas.openxmlformats.org/officeDocument/2006/relationships/hyperlink" Target="https://doi.org/10.1080/09585192.2015.1023331" TargetMode="External"/><Relationship Id="rId46" Type="http://schemas.openxmlformats.org/officeDocument/2006/relationships/hyperlink" Target="https://doi.org/10.1177/0143831X221139333" TargetMode="External"/><Relationship Id="rId20" Type="http://schemas.openxmlformats.org/officeDocument/2006/relationships/hyperlink" Target="http://dx.doi.org/10.5281/zenodo.13922003" TargetMode="External"/><Relationship Id="rId41" Type="http://schemas.openxmlformats.org/officeDocument/2006/relationships/hyperlink" Target="https://www.nibusinessinfo.co.uk/content/new-guidance-help-eliminate-workplace-sexual-harassment"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9585192.2012.722118" TargetMode="External"/><Relationship Id="rId23" Type="http://schemas.openxmlformats.org/officeDocument/2006/relationships/hyperlink" Target="https://doi.org/10.3390/su13052517" TargetMode="External"/><Relationship Id="rId28" Type="http://schemas.openxmlformats.org/officeDocument/2006/relationships/hyperlink" Target="https://publications.parliament.uk/pa/bills/cbill/59-01/0011/240011.pdf" TargetMode="External"/><Relationship Id="rId36" Type="http://schemas.openxmlformats.org/officeDocument/2006/relationships/hyperlink" Target="http://dx.doi.org/10.26481/umarep.2022001" TargetMode="External"/><Relationship Id="rId49" Type="http://schemas.openxmlformats.org/officeDocument/2006/relationships/hyperlink" Target="https://doi.org/10.1371/journal.pone.0278830" TargetMode="External"/><Relationship Id="rId57" Type="http://schemas.openxmlformats.org/officeDocument/2006/relationships/theme" Target="theme/theme1.xml"/><Relationship Id="rId10" Type="http://schemas.openxmlformats.org/officeDocument/2006/relationships/hyperlink" Target="https://www.acas.org.uk/acas-welcomes-governments-focus-on-workforce-relations" TargetMode="External"/><Relationship Id="rId31" Type="http://schemas.openxmlformats.org/officeDocument/2006/relationships/hyperlink" Target="https://doi.org/10.17615/fj36-xy60" TargetMode="External"/><Relationship Id="rId44" Type="http://schemas.openxmlformats.org/officeDocument/2006/relationships/hyperlink" Target="https://doi.org/10.1177/0143831X221148235" TargetMode="External"/><Relationship Id="rId52" Type="http://schemas.openxmlformats.org/officeDocument/2006/relationships/hyperlink" Target="https://doi.org/10.3390/su160415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17</Pages>
  <Words>8372</Words>
  <Characters>47724</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Milcoy</dc:creator>
  <cp:keywords/>
  <dc:description/>
  <cp:lastModifiedBy>Nia Milcoy</cp:lastModifiedBy>
  <cp:revision>20</cp:revision>
  <cp:lastPrinted>2024-12-05T14:22:00Z</cp:lastPrinted>
  <dcterms:created xsi:type="dcterms:W3CDTF">2024-12-16T18:03:00Z</dcterms:created>
  <dcterms:modified xsi:type="dcterms:W3CDTF">2025-01-06T13:34:00Z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2024-12-01T16:22:49Z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d2f14136-4bfd-4f9d-98f3-c302531f6bfa</vt:lpwstr>
  </property>
  <property fmtid="{D5CDD505-2E9C-101B-9397-08002B2CF9AE}" pid="7" name="MSIP_Label_defa4170-0d19-0005-0004-bc88714345d2_ActionId">
    <vt:lpwstr>aa1026c6-2eca-4c46-bb9f-a0e3a3d37075</vt:lpwstr>
  </property>
  <property fmtid="{D5CDD505-2E9C-101B-9397-08002B2CF9AE}" pid="8" name="MSIP_Label_defa4170-0d19-0005-0004-bc88714345d2_ContentBits">
    <vt:lpwstr>0</vt:lpwstr>
  </property>
</Properties>
</file>