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D4A0E" w14:textId="0541223E" w:rsidR="00491572" w:rsidRDefault="00491572" w:rsidP="00491572">
      <w:pPr>
        <w:jc w:val="center"/>
        <w:rPr>
          <w:b/>
          <w:bCs/>
          <w:lang w:val="en-GB"/>
        </w:rPr>
      </w:pPr>
      <w:r w:rsidRPr="003506BF">
        <w:rPr>
          <w:noProof/>
        </w:rPr>
        <w:drawing>
          <wp:inline distT="0" distB="0" distL="0" distR="0" wp14:anchorId="2ECB4784" wp14:editId="47836620">
            <wp:extent cx="4122420" cy="1363980"/>
            <wp:effectExtent l="0" t="0" r="0" b="7620"/>
            <wp:docPr id="2026984339" name="Picture 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background with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22420" cy="1363980"/>
                    </a:xfrm>
                    <a:prstGeom prst="rect">
                      <a:avLst/>
                    </a:prstGeom>
                    <a:noFill/>
                    <a:ln>
                      <a:noFill/>
                    </a:ln>
                  </pic:spPr>
                </pic:pic>
              </a:graphicData>
            </a:graphic>
          </wp:inline>
        </w:drawing>
      </w:r>
    </w:p>
    <w:p w14:paraId="69F89F41" w14:textId="77777777" w:rsidR="00491572" w:rsidRDefault="00491572" w:rsidP="00491572">
      <w:pPr>
        <w:rPr>
          <w:b/>
          <w:bCs/>
          <w:lang w:val="en-GB"/>
        </w:rPr>
      </w:pPr>
    </w:p>
    <w:p w14:paraId="43350805" w14:textId="77777777" w:rsidR="00491572" w:rsidRDefault="00491572" w:rsidP="00491572">
      <w:pPr>
        <w:jc w:val="center"/>
        <w:rPr>
          <w:b/>
          <w:bCs/>
        </w:rPr>
      </w:pPr>
      <w:r w:rsidRPr="003506BF">
        <w:rPr>
          <w:b/>
          <w:bCs/>
        </w:rPr>
        <w:t>BA (Hons) Business Management</w:t>
      </w:r>
    </w:p>
    <w:p w14:paraId="648171D8" w14:textId="7D0E0FD7" w:rsidR="00491572" w:rsidRDefault="00491572" w:rsidP="00491572">
      <w:pPr>
        <w:jc w:val="center"/>
        <w:rPr>
          <w:b/>
          <w:bCs/>
        </w:rPr>
      </w:pPr>
      <w:r w:rsidRPr="003506BF">
        <w:rPr>
          <w:b/>
          <w:bCs/>
        </w:rPr>
        <w:t>Project Management</w:t>
      </w:r>
      <w:r>
        <w:rPr>
          <w:b/>
          <w:bCs/>
        </w:rPr>
        <w:t xml:space="preserve"> (</w:t>
      </w:r>
      <w:r w:rsidRPr="00491572">
        <w:rPr>
          <w:b/>
          <w:bCs/>
        </w:rPr>
        <w:t>LCBB6006</w:t>
      </w:r>
      <w:r>
        <w:rPr>
          <w:b/>
          <w:bCs/>
        </w:rPr>
        <w:t>)</w:t>
      </w:r>
    </w:p>
    <w:p w14:paraId="34E3C5CC" w14:textId="77777777" w:rsidR="00491572" w:rsidRDefault="00491572" w:rsidP="00491572">
      <w:pPr>
        <w:rPr>
          <w:b/>
          <w:bCs/>
          <w:lang w:val="en-GB"/>
        </w:rPr>
      </w:pPr>
    </w:p>
    <w:p w14:paraId="150ECB3E" w14:textId="77777777" w:rsidR="00491572" w:rsidRDefault="00491572" w:rsidP="00491572">
      <w:pPr>
        <w:rPr>
          <w:b/>
          <w:bCs/>
          <w:lang w:val="en-GB"/>
        </w:rPr>
      </w:pPr>
    </w:p>
    <w:p w14:paraId="1EFB3D85" w14:textId="6386FE4F" w:rsidR="00491572" w:rsidRPr="00491572" w:rsidRDefault="00491572" w:rsidP="00491572">
      <w:pPr>
        <w:jc w:val="center"/>
        <w:rPr>
          <w:b/>
          <w:bCs/>
          <w:sz w:val="40"/>
          <w:szCs w:val="40"/>
          <w:lang w:val="en-GB"/>
        </w:rPr>
      </w:pPr>
      <w:r w:rsidRPr="00491572">
        <w:rPr>
          <w:b/>
          <w:bCs/>
          <w:sz w:val="40"/>
          <w:szCs w:val="40"/>
        </w:rPr>
        <w:t>Contracting Choices in Project Management: A Mobile Sensory Learning Centre</w:t>
      </w:r>
    </w:p>
    <w:p w14:paraId="223D0824" w14:textId="77777777" w:rsidR="00491572" w:rsidRPr="00491572" w:rsidRDefault="00491572" w:rsidP="00491572">
      <w:pPr>
        <w:jc w:val="center"/>
        <w:rPr>
          <w:b/>
          <w:bCs/>
          <w:sz w:val="40"/>
          <w:szCs w:val="40"/>
          <w:lang w:val="en-GB"/>
        </w:rPr>
      </w:pPr>
    </w:p>
    <w:p w14:paraId="0CD82E11" w14:textId="77777777" w:rsidR="00491572" w:rsidRDefault="00491572" w:rsidP="00491572">
      <w:pPr>
        <w:rPr>
          <w:b/>
          <w:bCs/>
          <w:lang w:val="en-GB"/>
        </w:rPr>
      </w:pPr>
    </w:p>
    <w:p w14:paraId="355CD219" w14:textId="77777777" w:rsidR="00491572" w:rsidRDefault="00491572" w:rsidP="00491572">
      <w:pPr>
        <w:rPr>
          <w:b/>
          <w:bCs/>
          <w:lang w:val="en-GB"/>
        </w:rPr>
      </w:pPr>
    </w:p>
    <w:p w14:paraId="4A348D50" w14:textId="77777777" w:rsidR="00491572" w:rsidRDefault="00491572" w:rsidP="00491572">
      <w:pPr>
        <w:rPr>
          <w:b/>
          <w:bCs/>
        </w:rPr>
      </w:pPr>
    </w:p>
    <w:p w14:paraId="6834D87C" w14:textId="77777777" w:rsidR="00491572" w:rsidRDefault="00491572" w:rsidP="00491572">
      <w:pPr>
        <w:rPr>
          <w:b/>
          <w:bCs/>
        </w:rPr>
      </w:pPr>
    </w:p>
    <w:p w14:paraId="0B9EB70F" w14:textId="5D1E2316" w:rsidR="00491572" w:rsidRPr="003506BF" w:rsidRDefault="00491572" w:rsidP="00491572">
      <w:pPr>
        <w:rPr>
          <w:b/>
          <w:bCs/>
        </w:rPr>
      </w:pPr>
      <w:r w:rsidRPr="003506BF">
        <w:rPr>
          <w:b/>
          <w:bCs/>
        </w:rPr>
        <w:t xml:space="preserve">Student Name: </w:t>
      </w:r>
      <w:r w:rsidRPr="003506BF">
        <w:t>Carmen Antal-Berbecaru</w:t>
      </w:r>
    </w:p>
    <w:p w14:paraId="62E1677B" w14:textId="77777777" w:rsidR="00491572" w:rsidRPr="003506BF" w:rsidRDefault="00491572" w:rsidP="00491572">
      <w:pPr>
        <w:rPr>
          <w:b/>
          <w:bCs/>
        </w:rPr>
      </w:pPr>
      <w:r w:rsidRPr="003506BF">
        <w:rPr>
          <w:b/>
          <w:bCs/>
        </w:rPr>
        <w:t xml:space="preserve">Student Number: </w:t>
      </w:r>
      <w:r w:rsidRPr="003506BF">
        <w:t>2242917</w:t>
      </w:r>
    </w:p>
    <w:p w14:paraId="7C4BB9E3" w14:textId="77777777" w:rsidR="00491572" w:rsidRPr="003506BF" w:rsidRDefault="00491572" w:rsidP="00491572">
      <w:r w:rsidRPr="003506BF">
        <w:rPr>
          <w:b/>
          <w:bCs/>
        </w:rPr>
        <w:t xml:space="preserve">Lecturer Name: </w:t>
      </w:r>
      <w:r w:rsidRPr="003506BF">
        <w:t>Dr Zainab Atta</w:t>
      </w:r>
    </w:p>
    <w:p w14:paraId="0027425D" w14:textId="77777777" w:rsidR="00491572" w:rsidRPr="003506BF" w:rsidRDefault="00491572" w:rsidP="00491572">
      <w:pPr>
        <w:rPr>
          <w:b/>
          <w:bCs/>
        </w:rPr>
      </w:pPr>
    </w:p>
    <w:p w14:paraId="018A0B39" w14:textId="77777777" w:rsidR="00491572" w:rsidRDefault="00491572" w:rsidP="00491572">
      <w:pPr>
        <w:rPr>
          <w:b/>
          <w:bCs/>
          <w:lang w:val="en-GB"/>
        </w:rPr>
      </w:pPr>
    </w:p>
    <w:p w14:paraId="6A95A75F" w14:textId="77777777" w:rsidR="00491572" w:rsidRDefault="00491572" w:rsidP="00491572">
      <w:pPr>
        <w:rPr>
          <w:b/>
          <w:bCs/>
          <w:lang w:val="en-GB"/>
        </w:rPr>
      </w:pPr>
    </w:p>
    <w:p w14:paraId="3F40ECFC" w14:textId="77777777" w:rsidR="00491572" w:rsidRDefault="00491572" w:rsidP="00491572">
      <w:pPr>
        <w:rPr>
          <w:b/>
          <w:bCs/>
          <w:lang w:val="en-GB"/>
        </w:rPr>
      </w:pPr>
    </w:p>
    <w:p w14:paraId="2C9775EA" w14:textId="77777777" w:rsidR="00491572" w:rsidRDefault="00491572" w:rsidP="00491572">
      <w:pPr>
        <w:rPr>
          <w:b/>
          <w:bCs/>
          <w:lang w:val="en-GB"/>
        </w:rPr>
      </w:pPr>
    </w:p>
    <w:p w14:paraId="4F5CC512" w14:textId="77777777" w:rsidR="00491572" w:rsidRPr="003506BF" w:rsidRDefault="00491572" w:rsidP="00491572">
      <w:pPr>
        <w:jc w:val="center"/>
      </w:pPr>
      <w:r w:rsidRPr="003506BF">
        <w:rPr>
          <w:b/>
          <w:bCs/>
        </w:rPr>
        <w:t>Session</w:t>
      </w:r>
      <w:r w:rsidRPr="003506BF">
        <w:t xml:space="preserve">: </w:t>
      </w:r>
      <w:r>
        <w:t>July</w:t>
      </w:r>
      <w:r w:rsidRPr="003506BF">
        <w:t xml:space="preserve"> 2026 Term </w:t>
      </w:r>
      <w:r>
        <w:t>1</w:t>
      </w:r>
    </w:p>
    <w:p w14:paraId="342D9D14" w14:textId="77777777" w:rsidR="00491572" w:rsidRDefault="00491572" w:rsidP="00491572">
      <w:pPr>
        <w:jc w:val="center"/>
        <w:rPr>
          <w:b/>
          <w:bCs/>
          <w:lang w:val="en-GB"/>
        </w:rPr>
      </w:pPr>
    </w:p>
    <w:p w14:paraId="10F300CC" w14:textId="77777777" w:rsidR="00491572" w:rsidRDefault="00491572" w:rsidP="00491572">
      <w:pPr>
        <w:rPr>
          <w:b/>
          <w:bCs/>
          <w:lang w:val="en-GB"/>
        </w:rPr>
      </w:pPr>
    </w:p>
    <w:p w14:paraId="1A4C2F88" w14:textId="77777777" w:rsidR="00491572" w:rsidRDefault="00491572" w:rsidP="00491572">
      <w:pPr>
        <w:rPr>
          <w:b/>
          <w:bCs/>
          <w:lang w:val="en-GB"/>
        </w:rPr>
      </w:pPr>
    </w:p>
    <w:p w14:paraId="56134ABC" w14:textId="77777777" w:rsidR="00491572" w:rsidRDefault="00491572" w:rsidP="00491572">
      <w:pPr>
        <w:rPr>
          <w:b/>
          <w:bCs/>
          <w:lang w:val="en-GB"/>
        </w:rPr>
      </w:pPr>
    </w:p>
    <w:sdt>
      <w:sdtPr>
        <w:rPr>
          <w:rFonts w:ascii="Arial" w:eastAsia="Times New Roman" w:hAnsi="Arial" w:cstheme="minorBidi"/>
          <w:color w:val="auto"/>
          <w:sz w:val="24"/>
          <w:szCs w:val="22"/>
        </w:rPr>
        <w:id w:val="2011403664"/>
        <w:docPartObj>
          <w:docPartGallery w:val="Table of Contents"/>
          <w:docPartUnique/>
        </w:docPartObj>
      </w:sdtPr>
      <w:sdtEndPr>
        <w:rPr>
          <w:b/>
          <w:bCs/>
          <w:noProof/>
        </w:rPr>
      </w:sdtEndPr>
      <w:sdtContent>
        <w:p w14:paraId="2C8E6999" w14:textId="241E5D66" w:rsidR="001209FB" w:rsidRPr="008474BF" w:rsidRDefault="001209FB">
          <w:pPr>
            <w:pStyle w:val="TOCHeading"/>
            <w:rPr>
              <w:rFonts w:ascii="Arial" w:hAnsi="Arial" w:cs="Arial"/>
              <w:color w:val="auto"/>
              <w:sz w:val="24"/>
              <w:szCs w:val="24"/>
            </w:rPr>
          </w:pPr>
          <w:r w:rsidRPr="008474BF">
            <w:rPr>
              <w:rFonts w:ascii="Arial" w:hAnsi="Arial" w:cs="Arial"/>
              <w:color w:val="auto"/>
              <w:sz w:val="24"/>
              <w:szCs w:val="24"/>
            </w:rPr>
            <w:t>Contents</w:t>
          </w:r>
        </w:p>
        <w:p w14:paraId="2BBCADE3" w14:textId="0B816A5A" w:rsidR="008A7BC3" w:rsidRDefault="001209FB">
          <w:pPr>
            <w:pStyle w:val="TOC1"/>
            <w:tabs>
              <w:tab w:val="right" w:leader="dot" w:pos="9016"/>
            </w:tabs>
            <w:rPr>
              <w:rFonts w:asciiTheme="minorHAnsi" w:eastAsiaTheme="minorEastAsia" w:hAnsiTheme="minorHAnsi"/>
              <w:noProof/>
              <w:kern w:val="2"/>
              <w:szCs w:val="24"/>
              <w:lang w:val="en-GB" w:eastAsia="en-GB"/>
              <w14:ligatures w14:val="standardContextual"/>
            </w:rPr>
          </w:pPr>
          <w:r w:rsidRPr="008474BF">
            <w:rPr>
              <w:rFonts w:cs="Arial"/>
              <w:szCs w:val="24"/>
            </w:rPr>
            <w:fldChar w:fldCharType="begin"/>
          </w:r>
          <w:r w:rsidRPr="008474BF">
            <w:rPr>
              <w:rFonts w:cs="Arial"/>
              <w:szCs w:val="24"/>
            </w:rPr>
            <w:instrText xml:space="preserve"> TOC \o "1-3" \h \z \u </w:instrText>
          </w:r>
          <w:r w:rsidRPr="008474BF">
            <w:rPr>
              <w:rFonts w:cs="Arial"/>
              <w:szCs w:val="24"/>
            </w:rPr>
            <w:fldChar w:fldCharType="separate"/>
          </w:r>
          <w:hyperlink w:anchor="_Toc238144046" w:history="1">
            <w:r w:rsidR="008A7BC3" w:rsidRPr="004E4368">
              <w:rPr>
                <w:rStyle w:val="Hyperlink"/>
                <w:noProof/>
              </w:rPr>
              <w:t>1. Introduction</w:t>
            </w:r>
            <w:r w:rsidR="008A7BC3">
              <w:rPr>
                <w:noProof/>
                <w:webHidden/>
              </w:rPr>
              <w:tab/>
            </w:r>
            <w:r w:rsidR="008A7BC3">
              <w:rPr>
                <w:noProof/>
                <w:webHidden/>
              </w:rPr>
              <w:fldChar w:fldCharType="begin"/>
            </w:r>
            <w:r w:rsidR="008A7BC3">
              <w:rPr>
                <w:noProof/>
                <w:webHidden/>
              </w:rPr>
              <w:instrText xml:space="preserve"> PAGEREF _Toc238144046 \h </w:instrText>
            </w:r>
            <w:r w:rsidR="008A7BC3">
              <w:rPr>
                <w:noProof/>
                <w:webHidden/>
              </w:rPr>
            </w:r>
            <w:r w:rsidR="008A7BC3">
              <w:rPr>
                <w:noProof/>
                <w:webHidden/>
              </w:rPr>
              <w:fldChar w:fldCharType="separate"/>
            </w:r>
            <w:r w:rsidR="008A7BC3">
              <w:rPr>
                <w:noProof/>
                <w:webHidden/>
              </w:rPr>
              <w:t>3</w:t>
            </w:r>
            <w:r w:rsidR="008A7BC3">
              <w:rPr>
                <w:noProof/>
                <w:webHidden/>
              </w:rPr>
              <w:fldChar w:fldCharType="end"/>
            </w:r>
          </w:hyperlink>
        </w:p>
        <w:p w14:paraId="0067ABFE" w14:textId="7EE5E70D" w:rsidR="008A7BC3" w:rsidRDefault="008A7BC3">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38144047" w:history="1">
            <w:r w:rsidRPr="004E4368">
              <w:rPr>
                <w:rStyle w:val="Hyperlink"/>
                <w:noProof/>
              </w:rPr>
              <w:t>2. Project context and criteria for contracting</w:t>
            </w:r>
            <w:r>
              <w:rPr>
                <w:noProof/>
                <w:webHidden/>
              </w:rPr>
              <w:tab/>
            </w:r>
            <w:r>
              <w:rPr>
                <w:noProof/>
                <w:webHidden/>
              </w:rPr>
              <w:fldChar w:fldCharType="begin"/>
            </w:r>
            <w:r>
              <w:rPr>
                <w:noProof/>
                <w:webHidden/>
              </w:rPr>
              <w:instrText xml:space="preserve"> PAGEREF _Toc238144047 \h </w:instrText>
            </w:r>
            <w:r>
              <w:rPr>
                <w:noProof/>
                <w:webHidden/>
              </w:rPr>
            </w:r>
            <w:r>
              <w:rPr>
                <w:noProof/>
                <w:webHidden/>
              </w:rPr>
              <w:fldChar w:fldCharType="separate"/>
            </w:r>
            <w:r>
              <w:rPr>
                <w:noProof/>
                <w:webHidden/>
              </w:rPr>
              <w:t>3</w:t>
            </w:r>
            <w:r>
              <w:rPr>
                <w:noProof/>
                <w:webHidden/>
              </w:rPr>
              <w:fldChar w:fldCharType="end"/>
            </w:r>
          </w:hyperlink>
        </w:p>
        <w:p w14:paraId="243DF08A" w14:textId="5F2D181E" w:rsidR="008A7BC3" w:rsidRDefault="008A7BC3">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38144048" w:history="1">
            <w:r w:rsidRPr="004E4368">
              <w:rPr>
                <w:rStyle w:val="Hyperlink"/>
                <w:noProof/>
              </w:rPr>
              <w:t>3. Contracting methods</w:t>
            </w:r>
            <w:r>
              <w:rPr>
                <w:noProof/>
                <w:webHidden/>
              </w:rPr>
              <w:tab/>
            </w:r>
            <w:r>
              <w:rPr>
                <w:noProof/>
                <w:webHidden/>
              </w:rPr>
              <w:fldChar w:fldCharType="begin"/>
            </w:r>
            <w:r>
              <w:rPr>
                <w:noProof/>
                <w:webHidden/>
              </w:rPr>
              <w:instrText xml:space="preserve"> PAGEREF _Toc238144048 \h </w:instrText>
            </w:r>
            <w:r>
              <w:rPr>
                <w:noProof/>
                <w:webHidden/>
              </w:rPr>
            </w:r>
            <w:r>
              <w:rPr>
                <w:noProof/>
                <w:webHidden/>
              </w:rPr>
              <w:fldChar w:fldCharType="separate"/>
            </w:r>
            <w:r>
              <w:rPr>
                <w:noProof/>
                <w:webHidden/>
              </w:rPr>
              <w:t>4</w:t>
            </w:r>
            <w:r>
              <w:rPr>
                <w:noProof/>
                <w:webHidden/>
              </w:rPr>
              <w:fldChar w:fldCharType="end"/>
            </w:r>
          </w:hyperlink>
        </w:p>
        <w:p w14:paraId="774199A0" w14:textId="74016DA9" w:rsidR="008A7BC3" w:rsidRDefault="008A7BC3">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38144049" w:history="1">
            <w:r w:rsidRPr="004E4368">
              <w:rPr>
                <w:rStyle w:val="Hyperlink"/>
                <w:noProof/>
              </w:rPr>
              <w:t>3.1 Turnkey contracting</w:t>
            </w:r>
            <w:r>
              <w:rPr>
                <w:noProof/>
                <w:webHidden/>
              </w:rPr>
              <w:tab/>
            </w:r>
            <w:r>
              <w:rPr>
                <w:noProof/>
                <w:webHidden/>
              </w:rPr>
              <w:fldChar w:fldCharType="begin"/>
            </w:r>
            <w:r>
              <w:rPr>
                <w:noProof/>
                <w:webHidden/>
              </w:rPr>
              <w:instrText xml:space="preserve"> PAGEREF _Toc238144049 \h </w:instrText>
            </w:r>
            <w:r>
              <w:rPr>
                <w:noProof/>
                <w:webHidden/>
              </w:rPr>
            </w:r>
            <w:r>
              <w:rPr>
                <w:noProof/>
                <w:webHidden/>
              </w:rPr>
              <w:fldChar w:fldCharType="separate"/>
            </w:r>
            <w:r>
              <w:rPr>
                <w:noProof/>
                <w:webHidden/>
              </w:rPr>
              <w:t>4</w:t>
            </w:r>
            <w:r>
              <w:rPr>
                <w:noProof/>
                <w:webHidden/>
              </w:rPr>
              <w:fldChar w:fldCharType="end"/>
            </w:r>
          </w:hyperlink>
        </w:p>
        <w:p w14:paraId="2AAF7FE5" w14:textId="1D38E3EC" w:rsidR="008A7BC3" w:rsidRDefault="008A7BC3">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38144050" w:history="1">
            <w:r w:rsidRPr="004E4368">
              <w:rPr>
                <w:rStyle w:val="Hyperlink"/>
                <w:noProof/>
              </w:rPr>
              <w:t>3.2 Multicontracting</w:t>
            </w:r>
            <w:r>
              <w:rPr>
                <w:noProof/>
                <w:webHidden/>
              </w:rPr>
              <w:tab/>
            </w:r>
            <w:r>
              <w:rPr>
                <w:noProof/>
                <w:webHidden/>
              </w:rPr>
              <w:fldChar w:fldCharType="begin"/>
            </w:r>
            <w:r>
              <w:rPr>
                <w:noProof/>
                <w:webHidden/>
              </w:rPr>
              <w:instrText xml:space="preserve"> PAGEREF _Toc238144050 \h </w:instrText>
            </w:r>
            <w:r>
              <w:rPr>
                <w:noProof/>
                <w:webHidden/>
              </w:rPr>
            </w:r>
            <w:r>
              <w:rPr>
                <w:noProof/>
                <w:webHidden/>
              </w:rPr>
              <w:fldChar w:fldCharType="separate"/>
            </w:r>
            <w:r>
              <w:rPr>
                <w:noProof/>
                <w:webHidden/>
              </w:rPr>
              <w:t>5</w:t>
            </w:r>
            <w:r>
              <w:rPr>
                <w:noProof/>
                <w:webHidden/>
              </w:rPr>
              <w:fldChar w:fldCharType="end"/>
            </w:r>
          </w:hyperlink>
        </w:p>
        <w:p w14:paraId="29CA35E8" w14:textId="6D6644DF" w:rsidR="008A7BC3" w:rsidRDefault="008A7BC3">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38144051" w:history="1">
            <w:r w:rsidRPr="004E4368">
              <w:rPr>
                <w:rStyle w:val="Hyperlink"/>
                <w:noProof/>
              </w:rPr>
              <w:t>3.3 Do-it-yourself contracting</w:t>
            </w:r>
            <w:r>
              <w:rPr>
                <w:noProof/>
                <w:webHidden/>
              </w:rPr>
              <w:tab/>
            </w:r>
            <w:r>
              <w:rPr>
                <w:noProof/>
                <w:webHidden/>
              </w:rPr>
              <w:fldChar w:fldCharType="begin"/>
            </w:r>
            <w:r>
              <w:rPr>
                <w:noProof/>
                <w:webHidden/>
              </w:rPr>
              <w:instrText xml:space="preserve"> PAGEREF _Toc238144051 \h </w:instrText>
            </w:r>
            <w:r>
              <w:rPr>
                <w:noProof/>
                <w:webHidden/>
              </w:rPr>
            </w:r>
            <w:r>
              <w:rPr>
                <w:noProof/>
                <w:webHidden/>
              </w:rPr>
              <w:fldChar w:fldCharType="separate"/>
            </w:r>
            <w:r>
              <w:rPr>
                <w:noProof/>
                <w:webHidden/>
              </w:rPr>
              <w:t>6</w:t>
            </w:r>
            <w:r>
              <w:rPr>
                <w:noProof/>
                <w:webHidden/>
              </w:rPr>
              <w:fldChar w:fldCharType="end"/>
            </w:r>
          </w:hyperlink>
        </w:p>
        <w:p w14:paraId="4D82C438" w14:textId="7E762831" w:rsidR="008A7BC3" w:rsidRDefault="008A7BC3">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38144052" w:history="1">
            <w:r w:rsidRPr="004E4368">
              <w:rPr>
                <w:rStyle w:val="Hyperlink"/>
                <w:noProof/>
              </w:rPr>
              <w:t>3.4 Multicontracting combined with DIY</w:t>
            </w:r>
            <w:r>
              <w:rPr>
                <w:noProof/>
                <w:webHidden/>
              </w:rPr>
              <w:tab/>
            </w:r>
            <w:r>
              <w:rPr>
                <w:noProof/>
                <w:webHidden/>
              </w:rPr>
              <w:fldChar w:fldCharType="begin"/>
            </w:r>
            <w:r>
              <w:rPr>
                <w:noProof/>
                <w:webHidden/>
              </w:rPr>
              <w:instrText xml:space="preserve"> PAGEREF _Toc238144052 \h </w:instrText>
            </w:r>
            <w:r>
              <w:rPr>
                <w:noProof/>
                <w:webHidden/>
              </w:rPr>
            </w:r>
            <w:r>
              <w:rPr>
                <w:noProof/>
                <w:webHidden/>
              </w:rPr>
              <w:fldChar w:fldCharType="separate"/>
            </w:r>
            <w:r>
              <w:rPr>
                <w:noProof/>
                <w:webHidden/>
              </w:rPr>
              <w:t>7</w:t>
            </w:r>
            <w:r>
              <w:rPr>
                <w:noProof/>
                <w:webHidden/>
              </w:rPr>
              <w:fldChar w:fldCharType="end"/>
            </w:r>
          </w:hyperlink>
        </w:p>
        <w:p w14:paraId="2CAE885D" w14:textId="54D137E8" w:rsidR="008A7BC3" w:rsidRDefault="008A7BC3">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38144053" w:history="1">
            <w:r w:rsidRPr="004E4368">
              <w:rPr>
                <w:rStyle w:val="Hyperlink"/>
                <w:noProof/>
              </w:rPr>
              <w:t>4. Comparative evaluation</w:t>
            </w:r>
            <w:r>
              <w:rPr>
                <w:noProof/>
                <w:webHidden/>
              </w:rPr>
              <w:tab/>
            </w:r>
            <w:r>
              <w:rPr>
                <w:noProof/>
                <w:webHidden/>
              </w:rPr>
              <w:fldChar w:fldCharType="begin"/>
            </w:r>
            <w:r>
              <w:rPr>
                <w:noProof/>
                <w:webHidden/>
              </w:rPr>
              <w:instrText xml:space="preserve"> PAGEREF _Toc238144053 \h </w:instrText>
            </w:r>
            <w:r>
              <w:rPr>
                <w:noProof/>
                <w:webHidden/>
              </w:rPr>
            </w:r>
            <w:r>
              <w:rPr>
                <w:noProof/>
                <w:webHidden/>
              </w:rPr>
              <w:fldChar w:fldCharType="separate"/>
            </w:r>
            <w:r>
              <w:rPr>
                <w:noProof/>
                <w:webHidden/>
              </w:rPr>
              <w:t>8</w:t>
            </w:r>
            <w:r>
              <w:rPr>
                <w:noProof/>
                <w:webHidden/>
              </w:rPr>
              <w:fldChar w:fldCharType="end"/>
            </w:r>
          </w:hyperlink>
        </w:p>
        <w:p w14:paraId="3EB22077" w14:textId="2301B3D3" w:rsidR="008A7BC3" w:rsidRDefault="008A7BC3">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38144054" w:history="1">
            <w:r w:rsidRPr="004E4368">
              <w:rPr>
                <w:rStyle w:val="Hyperlink"/>
                <w:noProof/>
              </w:rPr>
              <w:t>5. Conclusion</w:t>
            </w:r>
            <w:r>
              <w:rPr>
                <w:noProof/>
                <w:webHidden/>
              </w:rPr>
              <w:tab/>
            </w:r>
            <w:r>
              <w:rPr>
                <w:noProof/>
                <w:webHidden/>
              </w:rPr>
              <w:fldChar w:fldCharType="begin"/>
            </w:r>
            <w:r>
              <w:rPr>
                <w:noProof/>
                <w:webHidden/>
              </w:rPr>
              <w:instrText xml:space="preserve"> PAGEREF _Toc238144054 \h </w:instrText>
            </w:r>
            <w:r>
              <w:rPr>
                <w:noProof/>
                <w:webHidden/>
              </w:rPr>
            </w:r>
            <w:r>
              <w:rPr>
                <w:noProof/>
                <w:webHidden/>
              </w:rPr>
              <w:fldChar w:fldCharType="separate"/>
            </w:r>
            <w:r>
              <w:rPr>
                <w:noProof/>
                <w:webHidden/>
              </w:rPr>
              <w:t>9</w:t>
            </w:r>
            <w:r>
              <w:rPr>
                <w:noProof/>
                <w:webHidden/>
              </w:rPr>
              <w:fldChar w:fldCharType="end"/>
            </w:r>
          </w:hyperlink>
        </w:p>
        <w:p w14:paraId="52945669" w14:textId="5BF334B5" w:rsidR="008A7BC3" w:rsidRDefault="008A7BC3">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38144055" w:history="1">
            <w:r w:rsidRPr="004E4368">
              <w:rPr>
                <w:rStyle w:val="Hyperlink"/>
                <w:noProof/>
              </w:rPr>
              <w:t>Reference List</w:t>
            </w:r>
            <w:r>
              <w:rPr>
                <w:noProof/>
                <w:webHidden/>
              </w:rPr>
              <w:tab/>
            </w:r>
            <w:r>
              <w:rPr>
                <w:noProof/>
                <w:webHidden/>
              </w:rPr>
              <w:fldChar w:fldCharType="begin"/>
            </w:r>
            <w:r>
              <w:rPr>
                <w:noProof/>
                <w:webHidden/>
              </w:rPr>
              <w:instrText xml:space="preserve"> PAGEREF _Toc238144055 \h </w:instrText>
            </w:r>
            <w:r>
              <w:rPr>
                <w:noProof/>
                <w:webHidden/>
              </w:rPr>
            </w:r>
            <w:r>
              <w:rPr>
                <w:noProof/>
                <w:webHidden/>
              </w:rPr>
              <w:fldChar w:fldCharType="separate"/>
            </w:r>
            <w:r>
              <w:rPr>
                <w:noProof/>
                <w:webHidden/>
              </w:rPr>
              <w:t>10</w:t>
            </w:r>
            <w:r>
              <w:rPr>
                <w:noProof/>
                <w:webHidden/>
              </w:rPr>
              <w:fldChar w:fldCharType="end"/>
            </w:r>
          </w:hyperlink>
        </w:p>
        <w:p w14:paraId="6E75CE72" w14:textId="1FC3EA8A" w:rsidR="001209FB" w:rsidRDefault="001209FB">
          <w:r w:rsidRPr="008474BF">
            <w:rPr>
              <w:rFonts w:cs="Arial"/>
              <w:b/>
              <w:bCs/>
              <w:noProof/>
              <w:szCs w:val="24"/>
            </w:rPr>
            <w:fldChar w:fldCharType="end"/>
          </w:r>
        </w:p>
      </w:sdtContent>
    </w:sdt>
    <w:p w14:paraId="1C812BE7" w14:textId="77777777" w:rsidR="00491572" w:rsidRDefault="00491572" w:rsidP="00491572">
      <w:pPr>
        <w:rPr>
          <w:b/>
          <w:bCs/>
          <w:lang w:val="en-GB"/>
        </w:rPr>
      </w:pPr>
    </w:p>
    <w:p w14:paraId="54AFE209" w14:textId="77777777" w:rsidR="00491572" w:rsidRDefault="00491572" w:rsidP="00491572">
      <w:pPr>
        <w:rPr>
          <w:b/>
          <w:bCs/>
          <w:lang w:val="en-GB"/>
        </w:rPr>
      </w:pPr>
    </w:p>
    <w:p w14:paraId="010E793A" w14:textId="77777777" w:rsidR="00491572" w:rsidRDefault="00491572" w:rsidP="00491572">
      <w:pPr>
        <w:rPr>
          <w:b/>
          <w:bCs/>
          <w:lang w:val="en-GB"/>
        </w:rPr>
      </w:pPr>
    </w:p>
    <w:p w14:paraId="695A2291" w14:textId="77777777" w:rsidR="00491572" w:rsidRDefault="00491572" w:rsidP="00491572">
      <w:pPr>
        <w:rPr>
          <w:b/>
          <w:bCs/>
          <w:lang w:val="en-GB"/>
        </w:rPr>
      </w:pPr>
    </w:p>
    <w:p w14:paraId="3A6015E6" w14:textId="77777777" w:rsidR="00491572" w:rsidRDefault="00491572" w:rsidP="00491572">
      <w:pPr>
        <w:rPr>
          <w:b/>
          <w:bCs/>
          <w:lang w:val="en-GB"/>
        </w:rPr>
      </w:pPr>
    </w:p>
    <w:p w14:paraId="7115E06E" w14:textId="77777777" w:rsidR="00491572" w:rsidRDefault="00491572" w:rsidP="00491572">
      <w:pPr>
        <w:rPr>
          <w:b/>
          <w:bCs/>
          <w:lang w:val="en-GB"/>
        </w:rPr>
      </w:pPr>
    </w:p>
    <w:p w14:paraId="640EDC67" w14:textId="77777777" w:rsidR="00491572" w:rsidRDefault="00491572" w:rsidP="00491572">
      <w:pPr>
        <w:rPr>
          <w:b/>
          <w:bCs/>
          <w:lang w:val="en-GB"/>
        </w:rPr>
      </w:pPr>
    </w:p>
    <w:p w14:paraId="54EDA3C4" w14:textId="77777777" w:rsidR="00491572" w:rsidRDefault="00491572" w:rsidP="00491572">
      <w:pPr>
        <w:rPr>
          <w:b/>
          <w:bCs/>
          <w:lang w:val="en-GB"/>
        </w:rPr>
      </w:pPr>
    </w:p>
    <w:p w14:paraId="7C87937D" w14:textId="77777777" w:rsidR="00491572" w:rsidRDefault="00491572" w:rsidP="00491572">
      <w:pPr>
        <w:rPr>
          <w:b/>
          <w:bCs/>
          <w:lang w:val="en-GB"/>
        </w:rPr>
      </w:pPr>
    </w:p>
    <w:p w14:paraId="37B9E386" w14:textId="77777777" w:rsidR="00491572" w:rsidRDefault="00491572" w:rsidP="00491572">
      <w:pPr>
        <w:rPr>
          <w:b/>
          <w:bCs/>
          <w:lang w:val="en-GB"/>
        </w:rPr>
      </w:pPr>
    </w:p>
    <w:p w14:paraId="375ECAC9" w14:textId="77777777" w:rsidR="00491572" w:rsidRDefault="00491572" w:rsidP="00491572">
      <w:pPr>
        <w:rPr>
          <w:b/>
          <w:bCs/>
          <w:lang w:val="en-GB"/>
        </w:rPr>
      </w:pPr>
    </w:p>
    <w:p w14:paraId="02A6D4E7" w14:textId="775C9F79" w:rsidR="00491572" w:rsidRPr="00491572" w:rsidRDefault="00491572" w:rsidP="006848CD">
      <w:pPr>
        <w:pStyle w:val="Heading1"/>
      </w:pPr>
      <w:bookmarkStart w:id="0" w:name="_Toc238144046"/>
      <w:r w:rsidRPr="00491572">
        <w:lastRenderedPageBreak/>
        <w:t>1. Introduction</w:t>
      </w:r>
      <w:bookmarkEnd w:id="0"/>
    </w:p>
    <w:p w14:paraId="5542413D" w14:textId="49ADB5D1" w:rsidR="00491572" w:rsidRPr="00491572" w:rsidRDefault="00491572" w:rsidP="00491572">
      <w:pPr>
        <w:rPr>
          <w:lang w:val="en-GB"/>
        </w:rPr>
      </w:pPr>
      <w:r w:rsidRPr="00491572">
        <w:rPr>
          <w:lang w:val="en-GB"/>
        </w:rPr>
        <w:t>Project management provides the structure through which temporary work is organised to achieve agreed objectives within constraints such as time, cost, quality, resources and risk (International Organization for Standardization, 2020). Few project owners, however, possess every skill or item of equipment required for delivery. Contracting allows them to obtain specialist capability from the market and establishes legally enforceable obligations concerning what must be delivered and what happens if either party fails to perform (Association for Project Management, no date). The decision to contract out is therefore not simply a purchasing exercise. It determines who controls the work, who coordinates the interfaces</w:t>
      </w:r>
      <w:r w:rsidR="006848CD">
        <w:rPr>
          <w:lang w:val="en-GB"/>
        </w:rPr>
        <w:t>, and where the consequences of delay, defects, or changing requirements lie</w:t>
      </w:r>
      <w:r w:rsidRPr="00491572">
        <w:rPr>
          <w:lang w:val="en-GB"/>
        </w:rPr>
        <w:t>.</w:t>
      </w:r>
    </w:p>
    <w:p w14:paraId="69CD9827" w14:textId="77777777" w:rsidR="00491572" w:rsidRPr="00491572" w:rsidRDefault="00491572" w:rsidP="00491572">
      <w:pPr>
        <w:rPr>
          <w:lang w:val="en-GB"/>
        </w:rPr>
      </w:pPr>
      <w:r w:rsidRPr="00491572">
        <w:rPr>
          <w:lang w:val="en-GB"/>
        </w:rPr>
        <w:t>External provision can give a project rapid access to expertise and temporary capacity while creating clearer accountability for a defined output. Yet procurement, monitoring, variations and disputes carry transaction costs. McIvor (2009) argues that outsourcing decisions require both a transaction-cost and a capability perspective; buying externally may be uneconomical when an activity is difficult to specify or the owner loses knowledge needed to govern the supplier.</w:t>
      </w:r>
    </w:p>
    <w:p w14:paraId="0F52FC98" w14:textId="7B1D18BD" w:rsidR="00491572" w:rsidRPr="00491572" w:rsidRDefault="00491572" w:rsidP="00491572">
      <w:pPr>
        <w:rPr>
          <w:lang w:val="en-GB"/>
        </w:rPr>
      </w:pPr>
      <w:r w:rsidRPr="00491572">
        <w:rPr>
          <w:lang w:val="en-GB"/>
        </w:rPr>
        <w:t xml:space="preserve">This essay evaluates turnkey, multicontracting, do-it-yourself (DIY), and multicontracting combined with DIY. These </w:t>
      </w:r>
      <w:r w:rsidR="006848CD">
        <w:rPr>
          <w:lang w:val="en-GB"/>
        </w:rPr>
        <w:t>methods allocate</w:t>
      </w:r>
      <w:r w:rsidRPr="00491572">
        <w:rPr>
          <w:lang w:val="en-GB"/>
        </w:rPr>
        <w:t xml:space="preserve"> project work and coordination, rather than pricing mechanisms such as fixed-price or cost-reimbursable contracts. The comparison </w:t>
      </w:r>
      <w:r w:rsidR="006848CD">
        <w:rPr>
          <w:lang w:val="en-GB"/>
        </w:rPr>
        <w:t>applies to converting</w:t>
      </w:r>
      <w:r w:rsidRPr="00491572">
        <w:rPr>
          <w:lang w:val="en-GB"/>
        </w:rPr>
        <w:t xml:space="preserve"> a retired British double-decker bus into a mobile sensory learning centre for neurodivergent children. The case exposes the real trade-off between specialist safety-critical work and the service knowledge held by the sponsoring charity.</w:t>
      </w:r>
    </w:p>
    <w:p w14:paraId="7DB10052" w14:textId="77777777" w:rsidR="00491572" w:rsidRPr="00491572" w:rsidRDefault="00491572" w:rsidP="006848CD">
      <w:pPr>
        <w:pStyle w:val="Heading1"/>
      </w:pPr>
      <w:bookmarkStart w:id="1" w:name="_Toc238144047"/>
      <w:r w:rsidRPr="00491572">
        <w:t>2. Project context and criteria for contracting</w:t>
      </w:r>
      <w:bookmarkEnd w:id="1"/>
    </w:p>
    <w:p w14:paraId="0A665755" w14:textId="0C117C3D" w:rsidR="00491572" w:rsidRPr="00491572" w:rsidRDefault="00491572" w:rsidP="00491572">
      <w:pPr>
        <w:rPr>
          <w:lang w:val="en-GB"/>
        </w:rPr>
      </w:pPr>
      <w:r w:rsidRPr="00491572">
        <w:rPr>
          <w:lang w:val="en-GB"/>
        </w:rPr>
        <w:t xml:space="preserve">The centre would take sensory learning, quiet-space provision and family support to schools and rural communities in Norfolk. Conversion would involve structural work, wheelchair access, power, ventilation, fire protection, acoustic treatment, sensory equipment and testing. If it continued to carry passengers as a bus or coach, </w:t>
      </w:r>
      <w:r w:rsidR="006848CD">
        <w:rPr>
          <w:lang w:val="en-GB"/>
        </w:rPr>
        <w:t>it may also require relevant accessibility approval</w:t>
      </w:r>
      <w:r w:rsidRPr="00491572">
        <w:rPr>
          <w:lang w:val="en-GB"/>
        </w:rPr>
        <w:t xml:space="preserve">; DVSA guidance recognises certification following vehicle conversion (Driver and Vehicle Standards Agency, no date). The </w:t>
      </w:r>
      <w:r w:rsidRPr="00491572">
        <w:rPr>
          <w:lang w:val="en-GB"/>
        </w:rPr>
        <w:lastRenderedPageBreak/>
        <w:t>project is compact but highly interdependent: changing the lift, battery system or layout can affect weight, space, safety and the sensory experience.</w:t>
      </w:r>
    </w:p>
    <w:p w14:paraId="13311001" w14:textId="3CE5A19E" w:rsidR="00491572" w:rsidRDefault="006848CD" w:rsidP="00491572">
      <w:pPr>
        <w:rPr>
          <w:lang w:val="en-GB"/>
        </w:rPr>
      </w:pPr>
      <w:r>
        <w:rPr>
          <w:lang w:val="en-GB"/>
        </w:rPr>
        <w:t>No delivery method is universally superior</w:t>
      </w:r>
      <w:r w:rsidR="00491572" w:rsidRPr="00491572">
        <w:rPr>
          <w:lang w:val="en-GB"/>
        </w:rPr>
        <w:t xml:space="preserve">. Research treats selection as a multi-criteria decision shaped by cost, schedule, quality, project characteristics, risk allocation and owner capability (Ahmed and El-Sayegh, 2021; Assaf et al., 2023). Chen and Liu (2024) similarly found that project owners weigh several interacting factors rather than one headline price. For the bus, </w:t>
      </w:r>
      <w:r>
        <w:rPr>
          <w:lang w:val="en-GB"/>
        </w:rPr>
        <w:t>key tests include</w:t>
      </w:r>
      <w:r w:rsidR="00491572" w:rsidRPr="00491572">
        <w:rPr>
          <w:lang w:val="en-GB"/>
        </w:rPr>
        <w:t xml:space="preserve"> whether requirements can be defined early, how tightly the work packages interact, whether the charity can coordinate specialists, and which knowledge should remain in-house.</w:t>
      </w:r>
    </w:p>
    <w:p w14:paraId="1B88F8AF" w14:textId="0E6ABE30" w:rsidR="00F108BB" w:rsidRPr="00491572" w:rsidRDefault="00F108BB" w:rsidP="00491572">
      <w:pPr>
        <w:rPr>
          <w:lang w:val="en-GB"/>
        </w:rPr>
      </w:pPr>
      <w:r w:rsidRPr="00F108BB">
        <w:t xml:space="preserve">However, much of the empirical evidence </w:t>
      </w:r>
      <w:r>
        <w:t>here comes from</w:t>
      </w:r>
      <w:r w:rsidRPr="00F108BB">
        <w:t xml:space="preserve"> construction and infrastructure projects. It is therefore applied to the bus conversion as evidence about integration and capability risk, rather than as proof that identical outcomes will occur in a smaller charity-led setting.</w:t>
      </w:r>
    </w:p>
    <w:p w14:paraId="5C3FABB6" w14:textId="77777777" w:rsidR="00491572" w:rsidRPr="00491572" w:rsidRDefault="00491572" w:rsidP="006848CD">
      <w:pPr>
        <w:pStyle w:val="Heading1"/>
      </w:pPr>
      <w:bookmarkStart w:id="2" w:name="_Toc238144048"/>
      <w:r w:rsidRPr="00491572">
        <w:t>3. Contracting methods</w:t>
      </w:r>
      <w:bookmarkEnd w:id="2"/>
    </w:p>
    <w:p w14:paraId="11AB4B8C" w14:textId="77777777" w:rsidR="00491572" w:rsidRPr="006848CD" w:rsidRDefault="00491572" w:rsidP="006848CD">
      <w:pPr>
        <w:pStyle w:val="Heading2"/>
      </w:pPr>
      <w:bookmarkStart w:id="3" w:name="_Toc238144049"/>
      <w:r w:rsidRPr="006848CD">
        <w:t>3.1 Turnkey contracting</w:t>
      </w:r>
      <w:bookmarkEnd w:id="3"/>
    </w:p>
    <w:p w14:paraId="737DF8F2" w14:textId="77777777" w:rsidR="00491572" w:rsidRPr="00491572" w:rsidRDefault="00491572" w:rsidP="00491572">
      <w:pPr>
        <w:rPr>
          <w:lang w:val="en-GB"/>
        </w:rPr>
      </w:pPr>
      <w:r w:rsidRPr="00491572">
        <w:rPr>
          <w:lang w:val="en-GB"/>
        </w:rPr>
        <w:t>Under turnkey contracting, one provider accepts responsibility for producing a complete, operational asset. The charity would issue an output specification covering capacity, accessibility, safety, sensory functions and handover standards. A specialist vehicle-conversion company would then coordinate design, engineering, equipment procurement, installation, testing and certification before handing over a bus ready for service. Turnkey identifies the concentration of delivery responsibility; it does not automatically prescribe a fixed price.</w:t>
      </w:r>
    </w:p>
    <w:p w14:paraId="42C459DE" w14:textId="52BFD835" w:rsidR="00491572" w:rsidRPr="00491572" w:rsidRDefault="00491572" w:rsidP="00491572">
      <w:pPr>
        <w:rPr>
          <w:lang w:val="en-GB"/>
        </w:rPr>
      </w:pPr>
      <w:r w:rsidRPr="00491572">
        <w:rPr>
          <w:lang w:val="en-GB"/>
        </w:rPr>
        <w:t xml:space="preserve">Its strongest advantage is integration. One contractor manages the sequence between structural alterations, electrical loads, accessibility equipment and finishes. The charity gains </w:t>
      </w:r>
      <w:r w:rsidR="006848CD">
        <w:rPr>
          <w:lang w:val="en-GB"/>
        </w:rPr>
        <w:t>a single point of accountability, less administration,</w:t>
      </w:r>
      <w:r w:rsidRPr="00491572">
        <w:rPr>
          <w:lang w:val="en-GB"/>
        </w:rPr>
        <w:t xml:space="preserve"> and potentially clearer warranties. This suits a small organisation with a clear service outcome but no in-house vehicle engineer. Integrated delivery can improve coordination, although results still depend on project conditions and selection practice (Ahmed and El-Sayegh, 2021).</w:t>
      </w:r>
    </w:p>
    <w:p w14:paraId="01B88087" w14:textId="514CD555" w:rsidR="00491572" w:rsidRPr="00491572" w:rsidRDefault="00491572" w:rsidP="00491572">
      <w:pPr>
        <w:rPr>
          <w:lang w:val="en-GB"/>
        </w:rPr>
      </w:pPr>
      <w:r w:rsidRPr="00491572">
        <w:rPr>
          <w:lang w:val="en-GB"/>
        </w:rPr>
        <w:t xml:space="preserve">Convenience also creates dependence. The contractor controls much of the design detail and may favour familiar components </w:t>
      </w:r>
      <w:r w:rsidR="00802107">
        <w:rPr>
          <w:lang w:val="en-GB"/>
        </w:rPr>
        <w:t xml:space="preserve">over the solution preferred by therapists, </w:t>
      </w:r>
      <w:r w:rsidR="00802107">
        <w:rPr>
          <w:lang w:val="en-GB"/>
        </w:rPr>
        <w:lastRenderedPageBreak/>
        <w:t>children,</w:t>
      </w:r>
      <w:r w:rsidRPr="00491572">
        <w:rPr>
          <w:lang w:val="en-GB"/>
        </w:rPr>
        <w:t xml:space="preserve"> or staff. Late requests to alter lighting, acoustic zones or equipment positions may attract expensive variations because the contractor priced an earlier specification. </w:t>
      </w:r>
      <w:r w:rsidR="006848CD">
        <w:rPr>
          <w:lang w:val="en-GB"/>
        </w:rPr>
        <w:t>When sensory needs emerge through prototyping, a supposedly complete brief can</w:t>
      </w:r>
      <w:r w:rsidRPr="00491572">
        <w:rPr>
          <w:lang w:val="en-GB"/>
        </w:rPr>
        <w:t xml:space="preserve"> create false certainty. The charity may also pay a premium for risks which the supplier cannot fully control, while contractor insolvency would threaten the entire project. Government commercial guidance consequently recommends an evidence-based delivery assessment and attention to whole-life cost, rather than assuming market delivery is automatically better (Cabinet Office, 2026).</w:t>
      </w:r>
    </w:p>
    <w:p w14:paraId="1E277D95" w14:textId="58F8312F" w:rsidR="00491572" w:rsidRPr="00491572" w:rsidRDefault="00491572" w:rsidP="00491572">
      <w:pPr>
        <w:rPr>
          <w:lang w:val="en-GB"/>
        </w:rPr>
      </w:pPr>
      <w:r w:rsidRPr="00491572">
        <w:rPr>
          <w:lang w:val="en-GB"/>
        </w:rPr>
        <w:t xml:space="preserve">Turnkey would </w:t>
      </w:r>
      <w:r w:rsidR="006848CD">
        <w:rPr>
          <w:lang w:val="en-GB"/>
        </w:rPr>
        <w:t xml:space="preserve">suit the charity if it </w:t>
      </w:r>
      <w:r w:rsidRPr="00491572">
        <w:rPr>
          <w:lang w:val="en-GB"/>
        </w:rPr>
        <w:t>could define measurable outcomes early and appoint a contractor with both vehicle and accessibility experience. It would be weaker where meaningful co-design must continue during conversion. A preliminary prototype and independent acceptance testing would therefore be necessary even if one supplier carried the main responsibility.</w:t>
      </w:r>
    </w:p>
    <w:p w14:paraId="6C097BFE" w14:textId="77777777" w:rsidR="00491572" w:rsidRPr="00491572" w:rsidRDefault="00491572" w:rsidP="006848CD">
      <w:pPr>
        <w:pStyle w:val="Heading2"/>
      </w:pPr>
      <w:bookmarkStart w:id="4" w:name="_Toc238144050"/>
      <w:r w:rsidRPr="00491572">
        <w:t>3.2 Multicontracting</w:t>
      </w:r>
      <w:bookmarkEnd w:id="4"/>
    </w:p>
    <w:p w14:paraId="42E6BF53" w14:textId="77777777" w:rsidR="00491572" w:rsidRPr="00491572" w:rsidRDefault="00491572" w:rsidP="00491572">
      <w:pPr>
        <w:rPr>
          <w:lang w:val="en-GB"/>
        </w:rPr>
      </w:pPr>
      <w:r w:rsidRPr="00491572">
        <w:rPr>
          <w:lang w:val="en-GB"/>
        </w:rPr>
        <w:t>Multicontracting divides the project into packages for which the client signs separate contracts. The charity might appoint a vehicle engineer for structural work, an accessibility specialist for the lift and restraints, an electrical contractor for batteries and wiring, an interior company for acoustic treatment, and a sensory-technology supplier for equipment. Unlike turnkey, no single contractor is responsible for integrating the finished centre; that role remains with the charity or a project manager acting for it.</w:t>
      </w:r>
    </w:p>
    <w:p w14:paraId="2946BD54" w14:textId="77777777" w:rsidR="00491572" w:rsidRPr="00491572" w:rsidRDefault="00491572" w:rsidP="00491572">
      <w:pPr>
        <w:rPr>
          <w:lang w:val="en-GB"/>
        </w:rPr>
      </w:pPr>
      <w:r w:rsidRPr="00491572">
        <w:rPr>
          <w:lang w:val="en-GB"/>
        </w:rPr>
        <w:t>Direct access to specialists can improve technical choice. Each package can be competed separately, costs are more visible, and a weak supplier can be replaced without terminating the whole arrangement. The charity can also involve sensory practitioners in selecting equipment rather than accepting a converter’s standard catalogue. Multicontracting is attractive when package boundaries are stable and the owner has enough knowledge to compare tenders and challenge technical proposals.</w:t>
      </w:r>
    </w:p>
    <w:p w14:paraId="63FE74D3" w14:textId="77777777" w:rsidR="00F55351" w:rsidRDefault="00491572" w:rsidP="00491572">
      <w:r w:rsidRPr="00491572">
        <w:rPr>
          <w:lang w:val="en-GB"/>
        </w:rPr>
        <w:t xml:space="preserve">The disadvantage is hidden in the boundaries. A heavier wheelchair lift may require structural strengthening and reduce space for batteries or sensory equipment. </w:t>
      </w:r>
      <w:r w:rsidR="006848CD">
        <w:rPr>
          <w:lang w:val="en-GB"/>
        </w:rPr>
        <w:t>A delay by one supplier can stop others, while each may blame a defect on someone</w:t>
      </w:r>
      <w:r w:rsidRPr="00491572">
        <w:rPr>
          <w:lang w:val="en-GB"/>
        </w:rPr>
        <w:t xml:space="preserve"> else. Network-contracting evidence shows that multiple providers do not automatically coordinate in the client’s interest; incentives can intensify competition, and working </w:t>
      </w:r>
      <w:r w:rsidRPr="00491572">
        <w:rPr>
          <w:lang w:val="en-GB"/>
        </w:rPr>
        <w:lastRenderedPageBreak/>
        <w:t xml:space="preserve">relationships matter (Scharpff et al., 2021). </w:t>
      </w:r>
      <w:r w:rsidR="00F55351" w:rsidRPr="00F55351">
        <w:t>The apparent saving from omitting a principal contractor should therefore be balanced against integration, delay and claims costs.</w:t>
      </w:r>
    </w:p>
    <w:p w14:paraId="5B821277" w14:textId="0545DB65" w:rsidR="00491572" w:rsidRPr="00491572" w:rsidRDefault="00491572" w:rsidP="00491572">
      <w:pPr>
        <w:rPr>
          <w:lang w:val="en-GB"/>
        </w:rPr>
      </w:pPr>
      <w:r w:rsidRPr="00491572">
        <w:rPr>
          <w:lang w:val="en-GB"/>
        </w:rPr>
        <w:t>For the sensory bus, multicontracting could work if the charity employed an experienced vehicle-conversion project manager, maintained an interface register and approved one coordinated design before fabrication. Without that capability, greater contractual control would be largely theoretical. The method is unsuitable for an urgent launch led only by volunteers because the organisation would hold coordination risks it cannot realistically manage.</w:t>
      </w:r>
    </w:p>
    <w:p w14:paraId="280B58C4" w14:textId="77777777" w:rsidR="00491572" w:rsidRPr="00491572" w:rsidRDefault="00491572" w:rsidP="006848CD">
      <w:pPr>
        <w:pStyle w:val="Heading2"/>
      </w:pPr>
      <w:bookmarkStart w:id="5" w:name="_Toc238144051"/>
      <w:r w:rsidRPr="00491572">
        <w:t>3.3 Do-it-yourself contracting</w:t>
      </w:r>
      <w:bookmarkEnd w:id="5"/>
    </w:p>
    <w:p w14:paraId="56592281" w14:textId="0145A40B" w:rsidR="00491572" w:rsidRPr="00491572" w:rsidRDefault="00491572" w:rsidP="00491572">
      <w:pPr>
        <w:rPr>
          <w:lang w:val="en-GB"/>
        </w:rPr>
      </w:pPr>
      <w:r w:rsidRPr="00491572">
        <w:rPr>
          <w:lang w:val="en-GB"/>
        </w:rPr>
        <w:t xml:space="preserve">DIY means that the sponsoring organisation delivers the project predominantly through its own staff, volunteers, equipment and management systems. In this case, the charity would buy the bus and undertake design, procurement, conversion and commissioning internally. </w:t>
      </w:r>
      <w:r w:rsidR="001209FB">
        <w:rPr>
          <w:lang w:val="en-GB"/>
        </w:rPr>
        <w:t>It may have few or no delivery contracts</w:t>
      </w:r>
      <w:r w:rsidRPr="00491572">
        <w:rPr>
          <w:lang w:val="en-GB"/>
        </w:rPr>
        <w:t xml:space="preserve">, although </w:t>
      </w:r>
      <w:r w:rsidR="006848CD">
        <w:rPr>
          <w:lang w:val="en-GB"/>
        </w:rPr>
        <w:t>it would still purchase materials</w:t>
      </w:r>
      <w:r w:rsidRPr="00491572">
        <w:rPr>
          <w:lang w:val="en-GB"/>
        </w:rPr>
        <w:t>.</w:t>
      </w:r>
    </w:p>
    <w:p w14:paraId="348D9DC2" w14:textId="61781E8D" w:rsidR="00491572" w:rsidRPr="00491572" w:rsidRDefault="00491572" w:rsidP="00491572">
      <w:pPr>
        <w:rPr>
          <w:lang w:val="en-GB"/>
        </w:rPr>
      </w:pPr>
      <w:r w:rsidRPr="00491572">
        <w:rPr>
          <w:lang w:val="en-GB"/>
        </w:rPr>
        <w:t>The method offers direct control and rapid adjustment during user testing. Staff who understand sensory overload, safeguarding and family needs can translate observations into design decisions without negotiating every change. It may also build organisational capability. In-</w:t>
      </w:r>
      <w:r w:rsidR="006848CD" w:rsidRPr="00491572">
        <w:rPr>
          <w:lang w:val="en-GB"/>
        </w:rPr>
        <w:t>house</w:t>
      </w:r>
      <w:r w:rsidR="00F108BB">
        <w:rPr>
          <w:lang w:val="en-GB"/>
        </w:rPr>
        <w:t xml:space="preserve"> </w:t>
      </w:r>
      <w:r w:rsidR="006848CD" w:rsidRPr="00491572">
        <w:rPr>
          <w:lang w:val="en-GB"/>
        </w:rPr>
        <w:t>work</w:t>
      </w:r>
      <w:r w:rsidRPr="00491572">
        <w:rPr>
          <w:lang w:val="en-GB"/>
        </w:rPr>
        <w:t xml:space="preserve"> is rational where internal capability is strong and the cost of specifying and monitoring an external transaction is high (McIvor, 2009).</w:t>
      </w:r>
    </w:p>
    <w:p w14:paraId="37E9EEB9" w14:textId="77777777" w:rsidR="00491572" w:rsidRPr="00491572" w:rsidRDefault="00491572" w:rsidP="00491572">
      <w:pPr>
        <w:rPr>
          <w:lang w:val="en-GB"/>
        </w:rPr>
      </w:pPr>
      <w:r w:rsidRPr="00491572">
        <w:rPr>
          <w:lang w:val="en-GB"/>
        </w:rPr>
        <w:t>DIY savings are easily overstated. Volunteer time, tools, insurance, training, waste, delay and rework are real costs. More importantly, commitment to the mission is not competence in vehicle structures, high-load electrical systems, fire safety or accessibility equipment. The charity would carry all defects without a contractor warranty. Government standards therefore require an evidence-based make-buy assessment covering whole-life cost and actual internal and market capability (Cabinet Office, 2026).</w:t>
      </w:r>
    </w:p>
    <w:p w14:paraId="2478017B" w14:textId="489A4956" w:rsidR="00491572" w:rsidRPr="00491572" w:rsidRDefault="00491572" w:rsidP="00491572">
      <w:pPr>
        <w:rPr>
          <w:lang w:val="en-GB"/>
        </w:rPr>
      </w:pPr>
      <w:r w:rsidRPr="00491572">
        <w:rPr>
          <w:lang w:val="en-GB"/>
        </w:rPr>
        <w:t xml:space="preserve">Full DIY is therefore difficult to defend for the conversion. It would </w:t>
      </w:r>
      <w:r w:rsidR="006848CD">
        <w:rPr>
          <w:lang w:val="en-GB"/>
        </w:rPr>
        <w:t xml:space="preserve">suit a low-risk project, such as developing portable sensory activity kits, where the work is reversible and </w:t>
      </w:r>
      <w:r w:rsidR="001209FB">
        <w:rPr>
          <w:lang w:val="en-GB"/>
        </w:rPr>
        <w:t>easy to inspect</w:t>
      </w:r>
      <w:r w:rsidRPr="00491572">
        <w:rPr>
          <w:lang w:val="en-GB"/>
        </w:rPr>
        <w:t xml:space="preserve">. Within the bus project, internal staff could safely lead user research, activity design, branding, staff procedures and evaluation, but treating these </w:t>
      </w:r>
      <w:r w:rsidRPr="00491572">
        <w:rPr>
          <w:lang w:val="en-GB"/>
        </w:rPr>
        <w:lastRenderedPageBreak/>
        <w:t>strengths as evidence that they can perform structural conversion would confuse service expertise with engineering competence.</w:t>
      </w:r>
    </w:p>
    <w:p w14:paraId="2ADD9018" w14:textId="77777777" w:rsidR="00491572" w:rsidRPr="00491572" w:rsidRDefault="00491572" w:rsidP="006848CD">
      <w:pPr>
        <w:pStyle w:val="Heading2"/>
      </w:pPr>
      <w:bookmarkStart w:id="6" w:name="_Toc238144052"/>
      <w:r w:rsidRPr="00491572">
        <w:t>3.4 Multicontracting combined with DIY</w:t>
      </w:r>
      <w:bookmarkEnd w:id="6"/>
    </w:p>
    <w:p w14:paraId="10EDBC58" w14:textId="77777777" w:rsidR="00491572" w:rsidRPr="00491572" w:rsidRDefault="00491572" w:rsidP="00491572">
      <w:pPr>
        <w:rPr>
          <w:lang w:val="en-GB"/>
        </w:rPr>
      </w:pPr>
      <w:r w:rsidRPr="00491572">
        <w:rPr>
          <w:lang w:val="en-GB"/>
        </w:rPr>
        <w:t>The combined method retains selected activities in-house and places other packages with separate specialists. For the bus, the charity could own the service concept, consultation with children and families, sensory programme, fundraising, branding, safeguarding procedures and staff training. External contractors would undertake structural alterations, electrical installation, accessibility equipment, fire protection and formal testing. The charity would still coordinate several agreements, but it would not attempt safety-critical work for which it lacks competence.</w:t>
      </w:r>
    </w:p>
    <w:p w14:paraId="0B5F245C" w14:textId="6B7346B7" w:rsidR="00491572" w:rsidRPr="00491572" w:rsidRDefault="00491572" w:rsidP="00491572">
      <w:pPr>
        <w:rPr>
          <w:lang w:val="en-GB"/>
        </w:rPr>
      </w:pPr>
      <w:r w:rsidRPr="00491572">
        <w:rPr>
          <w:lang w:val="en-GB"/>
        </w:rPr>
        <w:t xml:space="preserve">This allocation protects distinctive organisational knowledge while purchasing scarce technical capability. The charity does not pay contractors to develop activities its practitioners perform better, and user input can continue without reopening every technical contract. Outsourcing research supports evaluating both supplier and internal capabilities rather than making a simple price comparison (Jain, 2025). A technically compliant bus still fails if it is distressing or unusable for </w:t>
      </w:r>
      <w:r w:rsidR="00802107">
        <w:rPr>
          <w:lang w:val="en-GB"/>
        </w:rPr>
        <w:t>the children it is meant to serve</w:t>
      </w:r>
      <w:r w:rsidRPr="00491572">
        <w:rPr>
          <w:lang w:val="en-GB"/>
        </w:rPr>
        <w:t>.</w:t>
      </w:r>
    </w:p>
    <w:p w14:paraId="5C028D3A" w14:textId="77777777" w:rsidR="00491572" w:rsidRPr="00491572" w:rsidRDefault="00491572" w:rsidP="00491572">
      <w:pPr>
        <w:rPr>
          <w:lang w:val="en-GB"/>
        </w:rPr>
      </w:pPr>
      <w:r w:rsidRPr="00491572">
        <w:rPr>
          <w:lang w:val="en-GB"/>
        </w:rPr>
        <w:t>The hybrid still carries interface costs. Internal teams may be treated as flexible, cost-free resources, yet late approval of the sensory layout could stop wiring or invalidate a warranty. Formal responsibility also needs supportive working relationships: contracts provide a foundation, but everyday cooperation shapes how obligations operate (af Hällström, Bosch-Sijtsema and Poblete, 2025).</w:t>
      </w:r>
    </w:p>
    <w:p w14:paraId="68F0BF90" w14:textId="5328AE4B" w:rsidR="00491572" w:rsidRDefault="00491572" w:rsidP="00491572">
      <w:pPr>
        <w:rPr>
          <w:lang w:val="en-GB"/>
        </w:rPr>
      </w:pPr>
      <w:r w:rsidRPr="00491572">
        <w:rPr>
          <w:lang w:val="en-GB"/>
        </w:rPr>
        <w:t xml:space="preserve">The combined method is the strongest fit for the sensory bus, provided that the charity appoints one technical integrator and defines boundaries in a responsibility matrix. Design freezes, interface reviews and acceptance criteria should separate decisions that remain flexible from those that cannot change after structural or electrical work begins. The method is less suitable </w:t>
      </w:r>
      <w:r w:rsidR="006848CD">
        <w:rPr>
          <w:lang w:val="en-GB"/>
        </w:rPr>
        <w:t>when the client has neither competent internal staff nor time to manage dependencies; in that case, turnkey would be safer despite the greater</w:t>
      </w:r>
      <w:r w:rsidRPr="00491572">
        <w:rPr>
          <w:lang w:val="en-GB"/>
        </w:rPr>
        <w:t xml:space="preserve"> loss of control.</w:t>
      </w:r>
    </w:p>
    <w:p w14:paraId="7A9754E6" w14:textId="77777777" w:rsidR="006848CD" w:rsidRPr="00491572" w:rsidRDefault="006848CD" w:rsidP="00491572">
      <w:pPr>
        <w:rPr>
          <w:lang w:val="en-GB"/>
        </w:rPr>
      </w:pPr>
    </w:p>
    <w:p w14:paraId="76F1DAD0" w14:textId="77777777" w:rsidR="00491572" w:rsidRPr="001E1EC7" w:rsidRDefault="00491572" w:rsidP="001E1EC7">
      <w:pPr>
        <w:pStyle w:val="Heading1"/>
      </w:pPr>
      <w:bookmarkStart w:id="7" w:name="_Toc238144053"/>
      <w:r w:rsidRPr="001E1EC7">
        <w:lastRenderedPageBreak/>
        <w:t>4. Comparative evaluation</w:t>
      </w:r>
      <w:bookmarkEnd w:id="7"/>
    </w:p>
    <w:p w14:paraId="37646628" w14:textId="77777777" w:rsidR="00491572" w:rsidRPr="006848CD" w:rsidRDefault="00491572" w:rsidP="006848CD">
      <w:pPr>
        <w:jc w:val="center"/>
        <w:rPr>
          <w:i/>
          <w:iCs/>
          <w:sz w:val="20"/>
          <w:szCs w:val="20"/>
          <w:lang w:val="en-GB"/>
        </w:rPr>
      </w:pPr>
      <w:r w:rsidRPr="006848CD">
        <w:rPr>
          <w:b/>
          <w:bCs/>
          <w:i/>
          <w:iCs/>
          <w:sz w:val="20"/>
          <w:szCs w:val="20"/>
          <w:lang w:val="en-GB"/>
        </w:rPr>
        <w:t>Table 1. Contextual comparison of the four methods</w:t>
      </w:r>
    </w:p>
    <w:tbl>
      <w:tblPr>
        <w:tblW w:w="9240"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83"/>
        <w:gridCol w:w="1040"/>
        <w:gridCol w:w="1503"/>
        <w:gridCol w:w="1674"/>
        <w:gridCol w:w="1746"/>
        <w:gridCol w:w="1694"/>
      </w:tblGrid>
      <w:tr w:rsidR="00491572" w:rsidRPr="001209FB" w14:paraId="7958123A" w14:textId="77777777" w:rsidTr="001209FB">
        <w:trPr>
          <w:trHeight w:val="999"/>
          <w:tblHeader/>
          <w:tblCellSpacing w:w="15" w:type="dxa"/>
          <w:jc w:val="center"/>
        </w:trPr>
        <w:tc>
          <w:tcPr>
            <w:tcW w:w="0" w:type="auto"/>
            <w:vAlign w:val="center"/>
            <w:hideMark/>
          </w:tcPr>
          <w:p w14:paraId="21AFEB78" w14:textId="77777777" w:rsidR="00491572" w:rsidRPr="001209FB" w:rsidRDefault="00491572" w:rsidP="001209FB">
            <w:pPr>
              <w:jc w:val="center"/>
              <w:rPr>
                <w:b/>
                <w:bCs/>
                <w:sz w:val="20"/>
                <w:szCs w:val="20"/>
                <w:lang w:val="en-GB"/>
              </w:rPr>
            </w:pPr>
            <w:r w:rsidRPr="001209FB">
              <w:rPr>
                <w:b/>
                <w:bCs/>
                <w:sz w:val="20"/>
                <w:szCs w:val="20"/>
                <w:lang w:val="en-GB"/>
              </w:rPr>
              <w:t>Method</w:t>
            </w:r>
          </w:p>
        </w:tc>
        <w:tc>
          <w:tcPr>
            <w:tcW w:w="0" w:type="auto"/>
            <w:vAlign w:val="center"/>
            <w:hideMark/>
          </w:tcPr>
          <w:p w14:paraId="74E91363" w14:textId="77777777" w:rsidR="00491572" w:rsidRPr="001209FB" w:rsidRDefault="00491572" w:rsidP="001209FB">
            <w:pPr>
              <w:jc w:val="center"/>
              <w:rPr>
                <w:b/>
                <w:bCs/>
                <w:sz w:val="20"/>
                <w:szCs w:val="20"/>
                <w:lang w:val="en-GB"/>
              </w:rPr>
            </w:pPr>
            <w:r w:rsidRPr="001209FB">
              <w:rPr>
                <w:b/>
                <w:bCs/>
                <w:sz w:val="20"/>
                <w:szCs w:val="20"/>
                <w:lang w:val="en-GB"/>
              </w:rPr>
              <w:t>Client control</w:t>
            </w:r>
          </w:p>
        </w:tc>
        <w:tc>
          <w:tcPr>
            <w:tcW w:w="0" w:type="auto"/>
            <w:vAlign w:val="center"/>
            <w:hideMark/>
          </w:tcPr>
          <w:p w14:paraId="2C99B108" w14:textId="77777777" w:rsidR="00491572" w:rsidRPr="001209FB" w:rsidRDefault="00491572" w:rsidP="001209FB">
            <w:pPr>
              <w:jc w:val="center"/>
              <w:rPr>
                <w:b/>
                <w:bCs/>
                <w:sz w:val="20"/>
                <w:szCs w:val="20"/>
                <w:lang w:val="en-GB"/>
              </w:rPr>
            </w:pPr>
            <w:r w:rsidRPr="001209FB">
              <w:rPr>
                <w:b/>
                <w:bCs/>
                <w:sz w:val="20"/>
                <w:szCs w:val="20"/>
                <w:lang w:val="en-GB"/>
              </w:rPr>
              <w:t>Client coordination burden</w:t>
            </w:r>
          </w:p>
        </w:tc>
        <w:tc>
          <w:tcPr>
            <w:tcW w:w="0" w:type="auto"/>
            <w:vAlign w:val="center"/>
            <w:hideMark/>
          </w:tcPr>
          <w:p w14:paraId="1F294152" w14:textId="77777777" w:rsidR="00491572" w:rsidRPr="001209FB" w:rsidRDefault="00491572" w:rsidP="001209FB">
            <w:pPr>
              <w:jc w:val="center"/>
              <w:rPr>
                <w:b/>
                <w:bCs/>
                <w:sz w:val="20"/>
                <w:szCs w:val="20"/>
                <w:lang w:val="en-GB"/>
              </w:rPr>
            </w:pPr>
            <w:r w:rsidRPr="001209FB">
              <w:rPr>
                <w:b/>
                <w:bCs/>
                <w:sz w:val="20"/>
                <w:szCs w:val="20"/>
                <w:lang w:val="en-GB"/>
              </w:rPr>
              <w:t>Main advantage</w:t>
            </w:r>
          </w:p>
        </w:tc>
        <w:tc>
          <w:tcPr>
            <w:tcW w:w="0" w:type="auto"/>
            <w:vAlign w:val="center"/>
            <w:hideMark/>
          </w:tcPr>
          <w:p w14:paraId="0CBBB039" w14:textId="77777777" w:rsidR="00491572" w:rsidRPr="001209FB" w:rsidRDefault="00491572" w:rsidP="001209FB">
            <w:pPr>
              <w:jc w:val="center"/>
              <w:rPr>
                <w:b/>
                <w:bCs/>
                <w:sz w:val="20"/>
                <w:szCs w:val="20"/>
                <w:lang w:val="en-GB"/>
              </w:rPr>
            </w:pPr>
            <w:r w:rsidRPr="001209FB">
              <w:rPr>
                <w:b/>
                <w:bCs/>
                <w:sz w:val="20"/>
                <w:szCs w:val="20"/>
                <w:lang w:val="en-GB"/>
              </w:rPr>
              <w:t>Main exposure</w:t>
            </w:r>
          </w:p>
        </w:tc>
        <w:tc>
          <w:tcPr>
            <w:tcW w:w="0" w:type="auto"/>
            <w:vAlign w:val="center"/>
            <w:hideMark/>
          </w:tcPr>
          <w:p w14:paraId="17642E7C" w14:textId="77777777" w:rsidR="00491572" w:rsidRPr="001209FB" w:rsidRDefault="00491572" w:rsidP="001209FB">
            <w:pPr>
              <w:jc w:val="center"/>
              <w:rPr>
                <w:b/>
                <w:bCs/>
                <w:sz w:val="20"/>
                <w:szCs w:val="20"/>
                <w:lang w:val="en-GB"/>
              </w:rPr>
            </w:pPr>
            <w:r w:rsidRPr="001209FB">
              <w:rPr>
                <w:b/>
                <w:bCs/>
                <w:sz w:val="20"/>
                <w:szCs w:val="20"/>
                <w:lang w:val="en-GB"/>
              </w:rPr>
              <w:t>Fit for the sensory bus</w:t>
            </w:r>
          </w:p>
        </w:tc>
      </w:tr>
      <w:tr w:rsidR="00491572" w:rsidRPr="001209FB" w14:paraId="143A11D3" w14:textId="77777777" w:rsidTr="001209FB">
        <w:trPr>
          <w:trHeight w:val="1297"/>
          <w:tblCellSpacing w:w="15" w:type="dxa"/>
          <w:jc w:val="center"/>
        </w:trPr>
        <w:tc>
          <w:tcPr>
            <w:tcW w:w="0" w:type="auto"/>
            <w:vAlign w:val="center"/>
            <w:hideMark/>
          </w:tcPr>
          <w:p w14:paraId="42C02A57" w14:textId="77777777" w:rsidR="00491572" w:rsidRPr="001209FB" w:rsidRDefault="00491572" w:rsidP="001209FB">
            <w:pPr>
              <w:jc w:val="left"/>
              <w:rPr>
                <w:sz w:val="20"/>
                <w:szCs w:val="20"/>
                <w:lang w:val="en-GB"/>
              </w:rPr>
            </w:pPr>
            <w:r w:rsidRPr="001209FB">
              <w:rPr>
                <w:sz w:val="20"/>
                <w:szCs w:val="20"/>
                <w:lang w:val="en-GB"/>
              </w:rPr>
              <w:t>Turnkey</w:t>
            </w:r>
          </w:p>
        </w:tc>
        <w:tc>
          <w:tcPr>
            <w:tcW w:w="0" w:type="auto"/>
            <w:vAlign w:val="center"/>
            <w:hideMark/>
          </w:tcPr>
          <w:p w14:paraId="61251B67" w14:textId="77777777" w:rsidR="00491572" w:rsidRPr="001209FB" w:rsidRDefault="00491572" w:rsidP="001209FB">
            <w:pPr>
              <w:jc w:val="left"/>
              <w:rPr>
                <w:sz w:val="20"/>
                <w:szCs w:val="20"/>
                <w:lang w:val="en-GB"/>
              </w:rPr>
            </w:pPr>
            <w:r w:rsidRPr="001209FB">
              <w:rPr>
                <w:sz w:val="20"/>
                <w:szCs w:val="20"/>
                <w:lang w:val="en-GB"/>
              </w:rPr>
              <w:t>Low to moderate</w:t>
            </w:r>
          </w:p>
        </w:tc>
        <w:tc>
          <w:tcPr>
            <w:tcW w:w="0" w:type="auto"/>
            <w:vAlign w:val="center"/>
            <w:hideMark/>
          </w:tcPr>
          <w:p w14:paraId="6799296A" w14:textId="77777777" w:rsidR="00491572" w:rsidRPr="001209FB" w:rsidRDefault="00491572" w:rsidP="001209FB">
            <w:pPr>
              <w:jc w:val="left"/>
              <w:rPr>
                <w:sz w:val="20"/>
                <w:szCs w:val="20"/>
                <w:lang w:val="en-GB"/>
              </w:rPr>
            </w:pPr>
            <w:r w:rsidRPr="001209FB">
              <w:rPr>
                <w:sz w:val="20"/>
                <w:szCs w:val="20"/>
                <w:lang w:val="en-GB"/>
              </w:rPr>
              <w:t>Low</w:t>
            </w:r>
          </w:p>
        </w:tc>
        <w:tc>
          <w:tcPr>
            <w:tcW w:w="0" w:type="auto"/>
            <w:vAlign w:val="center"/>
            <w:hideMark/>
          </w:tcPr>
          <w:p w14:paraId="79D6B008" w14:textId="77777777" w:rsidR="00491572" w:rsidRPr="001209FB" w:rsidRDefault="00491572" w:rsidP="001209FB">
            <w:pPr>
              <w:jc w:val="left"/>
              <w:rPr>
                <w:sz w:val="20"/>
                <w:szCs w:val="20"/>
                <w:lang w:val="en-GB"/>
              </w:rPr>
            </w:pPr>
            <w:r w:rsidRPr="001209FB">
              <w:rPr>
                <w:sz w:val="20"/>
                <w:szCs w:val="20"/>
                <w:lang w:val="en-GB"/>
              </w:rPr>
              <w:t>Integrated delivery and one accountable provider</w:t>
            </w:r>
          </w:p>
        </w:tc>
        <w:tc>
          <w:tcPr>
            <w:tcW w:w="0" w:type="auto"/>
            <w:vAlign w:val="center"/>
            <w:hideMark/>
          </w:tcPr>
          <w:p w14:paraId="3C2C0BA8" w14:textId="77777777" w:rsidR="00491572" w:rsidRPr="001209FB" w:rsidRDefault="00491572" w:rsidP="001209FB">
            <w:pPr>
              <w:jc w:val="left"/>
              <w:rPr>
                <w:sz w:val="20"/>
                <w:szCs w:val="20"/>
                <w:lang w:val="en-GB"/>
              </w:rPr>
            </w:pPr>
            <w:r w:rsidRPr="001209FB">
              <w:rPr>
                <w:sz w:val="20"/>
                <w:szCs w:val="20"/>
                <w:lang w:val="en-GB"/>
              </w:rPr>
              <w:t>Supplier dependence and expensive changes</w:t>
            </w:r>
          </w:p>
        </w:tc>
        <w:tc>
          <w:tcPr>
            <w:tcW w:w="0" w:type="auto"/>
            <w:vAlign w:val="center"/>
            <w:hideMark/>
          </w:tcPr>
          <w:p w14:paraId="00C8037A" w14:textId="77777777" w:rsidR="00491572" w:rsidRPr="001209FB" w:rsidRDefault="00491572" w:rsidP="001209FB">
            <w:pPr>
              <w:jc w:val="left"/>
              <w:rPr>
                <w:sz w:val="20"/>
                <w:szCs w:val="20"/>
                <w:lang w:val="en-GB"/>
              </w:rPr>
            </w:pPr>
            <w:r w:rsidRPr="001209FB">
              <w:rPr>
                <w:sz w:val="20"/>
                <w:szCs w:val="20"/>
                <w:lang w:val="en-GB"/>
              </w:rPr>
              <w:t>Suitable after requirements are stabilised</w:t>
            </w:r>
          </w:p>
        </w:tc>
      </w:tr>
      <w:tr w:rsidR="00491572" w:rsidRPr="001209FB" w14:paraId="4D3EE479" w14:textId="77777777" w:rsidTr="001209FB">
        <w:trPr>
          <w:trHeight w:val="1297"/>
          <w:tblCellSpacing w:w="15" w:type="dxa"/>
          <w:jc w:val="center"/>
        </w:trPr>
        <w:tc>
          <w:tcPr>
            <w:tcW w:w="0" w:type="auto"/>
            <w:vAlign w:val="center"/>
            <w:hideMark/>
          </w:tcPr>
          <w:p w14:paraId="12CA8F77" w14:textId="77777777" w:rsidR="00491572" w:rsidRPr="001209FB" w:rsidRDefault="00491572" w:rsidP="001209FB">
            <w:pPr>
              <w:jc w:val="left"/>
              <w:rPr>
                <w:sz w:val="20"/>
                <w:szCs w:val="20"/>
                <w:lang w:val="en-GB"/>
              </w:rPr>
            </w:pPr>
            <w:r w:rsidRPr="001209FB">
              <w:rPr>
                <w:sz w:val="20"/>
                <w:szCs w:val="20"/>
                <w:lang w:val="en-GB"/>
              </w:rPr>
              <w:t>Multicontracting</w:t>
            </w:r>
          </w:p>
        </w:tc>
        <w:tc>
          <w:tcPr>
            <w:tcW w:w="0" w:type="auto"/>
            <w:vAlign w:val="center"/>
            <w:hideMark/>
          </w:tcPr>
          <w:p w14:paraId="7FEE95F7" w14:textId="77777777" w:rsidR="00491572" w:rsidRPr="001209FB" w:rsidRDefault="00491572" w:rsidP="001209FB">
            <w:pPr>
              <w:jc w:val="left"/>
              <w:rPr>
                <w:sz w:val="20"/>
                <w:szCs w:val="20"/>
                <w:lang w:val="en-GB"/>
              </w:rPr>
            </w:pPr>
            <w:r w:rsidRPr="001209FB">
              <w:rPr>
                <w:sz w:val="20"/>
                <w:szCs w:val="20"/>
                <w:lang w:val="en-GB"/>
              </w:rPr>
              <w:t>High</w:t>
            </w:r>
          </w:p>
        </w:tc>
        <w:tc>
          <w:tcPr>
            <w:tcW w:w="0" w:type="auto"/>
            <w:vAlign w:val="center"/>
            <w:hideMark/>
          </w:tcPr>
          <w:p w14:paraId="7EFC2318" w14:textId="77777777" w:rsidR="00491572" w:rsidRPr="001209FB" w:rsidRDefault="00491572" w:rsidP="001209FB">
            <w:pPr>
              <w:jc w:val="left"/>
              <w:rPr>
                <w:sz w:val="20"/>
                <w:szCs w:val="20"/>
                <w:lang w:val="en-GB"/>
              </w:rPr>
            </w:pPr>
            <w:r w:rsidRPr="001209FB">
              <w:rPr>
                <w:sz w:val="20"/>
                <w:szCs w:val="20"/>
                <w:lang w:val="en-GB"/>
              </w:rPr>
              <w:t>Very high</w:t>
            </w:r>
          </w:p>
        </w:tc>
        <w:tc>
          <w:tcPr>
            <w:tcW w:w="0" w:type="auto"/>
            <w:vAlign w:val="center"/>
            <w:hideMark/>
          </w:tcPr>
          <w:p w14:paraId="29DB49C7" w14:textId="77777777" w:rsidR="00491572" w:rsidRPr="001209FB" w:rsidRDefault="00491572" w:rsidP="001209FB">
            <w:pPr>
              <w:jc w:val="left"/>
              <w:rPr>
                <w:sz w:val="20"/>
                <w:szCs w:val="20"/>
                <w:lang w:val="en-GB"/>
              </w:rPr>
            </w:pPr>
            <w:r w:rsidRPr="001209FB">
              <w:rPr>
                <w:sz w:val="20"/>
                <w:szCs w:val="20"/>
                <w:lang w:val="en-GB"/>
              </w:rPr>
              <w:t>Direct access to specialist suppliers</w:t>
            </w:r>
          </w:p>
        </w:tc>
        <w:tc>
          <w:tcPr>
            <w:tcW w:w="0" w:type="auto"/>
            <w:vAlign w:val="center"/>
            <w:hideMark/>
          </w:tcPr>
          <w:p w14:paraId="5CAA2D16" w14:textId="77777777" w:rsidR="00491572" w:rsidRPr="001209FB" w:rsidRDefault="00491572" w:rsidP="001209FB">
            <w:pPr>
              <w:jc w:val="left"/>
              <w:rPr>
                <w:sz w:val="20"/>
                <w:szCs w:val="20"/>
                <w:lang w:val="en-GB"/>
              </w:rPr>
            </w:pPr>
            <w:r w:rsidRPr="001209FB">
              <w:rPr>
                <w:sz w:val="20"/>
                <w:szCs w:val="20"/>
                <w:lang w:val="en-GB"/>
              </w:rPr>
              <w:t>Interface failure and fragmented accountability</w:t>
            </w:r>
          </w:p>
        </w:tc>
        <w:tc>
          <w:tcPr>
            <w:tcW w:w="0" w:type="auto"/>
            <w:vAlign w:val="center"/>
            <w:hideMark/>
          </w:tcPr>
          <w:p w14:paraId="07907E03" w14:textId="77777777" w:rsidR="00491572" w:rsidRPr="001209FB" w:rsidRDefault="00491572" w:rsidP="001209FB">
            <w:pPr>
              <w:jc w:val="left"/>
              <w:rPr>
                <w:sz w:val="20"/>
                <w:szCs w:val="20"/>
                <w:lang w:val="en-GB"/>
              </w:rPr>
            </w:pPr>
            <w:r w:rsidRPr="001209FB">
              <w:rPr>
                <w:sz w:val="20"/>
                <w:szCs w:val="20"/>
                <w:lang w:val="en-GB"/>
              </w:rPr>
              <w:t>Possible only with an experienced integrator</w:t>
            </w:r>
          </w:p>
        </w:tc>
      </w:tr>
      <w:tr w:rsidR="00491572" w:rsidRPr="001209FB" w14:paraId="6A994FA0" w14:textId="77777777" w:rsidTr="001209FB">
        <w:trPr>
          <w:trHeight w:val="1308"/>
          <w:tblCellSpacing w:w="15" w:type="dxa"/>
          <w:jc w:val="center"/>
        </w:trPr>
        <w:tc>
          <w:tcPr>
            <w:tcW w:w="0" w:type="auto"/>
            <w:vAlign w:val="center"/>
            <w:hideMark/>
          </w:tcPr>
          <w:p w14:paraId="00CFD652" w14:textId="77777777" w:rsidR="00491572" w:rsidRPr="001209FB" w:rsidRDefault="00491572" w:rsidP="001209FB">
            <w:pPr>
              <w:jc w:val="left"/>
              <w:rPr>
                <w:sz w:val="20"/>
                <w:szCs w:val="20"/>
                <w:lang w:val="en-GB"/>
              </w:rPr>
            </w:pPr>
            <w:r w:rsidRPr="001209FB">
              <w:rPr>
                <w:sz w:val="20"/>
                <w:szCs w:val="20"/>
                <w:lang w:val="en-GB"/>
              </w:rPr>
              <w:t>DIY</w:t>
            </w:r>
          </w:p>
        </w:tc>
        <w:tc>
          <w:tcPr>
            <w:tcW w:w="0" w:type="auto"/>
            <w:vAlign w:val="center"/>
            <w:hideMark/>
          </w:tcPr>
          <w:p w14:paraId="405DAB88" w14:textId="77777777" w:rsidR="00491572" w:rsidRPr="001209FB" w:rsidRDefault="00491572" w:rsidP="001209FB">
            <w:pPr>
              <w:jc w:val="left"/>
              <w:rPr>
                <w:sz w:val="20"/>
                <w:szCs w:val="20"/>
                <w:lang w:val="en-GB"/>
              </w:rPr>
            </w:pPr>
            <w:r w:rsidRPr="001209FB">
              <w:rPr>
                <w:sz w:val="20"/>
                <w:szCs w:val="20"/>
                <w:lang w:val="en-GB"/>
              </w:rPr>
              <w:t>Very high</w:t>
            </w:r>
          </w:p>
        </w:tc>
        <w:tc>
          <w:tcPr>
            <w:tcW w:w="0" w:type="auto"/>
            <w:vAlign w:val="center"/>
            <w:hideMark/>
          </w:tcPr>
          <w:p w14:paraId="648A4C88" w14:textId="77777777" w:rsidR="00491572" w:rsidRPr="001209FB" w:rsidRDefault="00491572" w:rsidP="001209FB">
            <w:pPr>
              <w:jc w:val="left"/>
              <w:rPr>
                <w:sz w:val="20"/>
                <w:szCs w:val="20"/>
                <w:lang w:val="en-GB"/>
              </w:rPr>
            </w:pPr>
            <w:r w:rsidRPr="001209FB">
              <w:rPr>
                <w:sz w:val="20"/>
                <w:szCs w:val="20"/>
                <w:lang w:val="en-GB"/>
              </w:rPr>
              <w:t>High</w:t>
            </w:r>
          </w:p>
        </w:tc>
        <w:tc>
          <w:tcPr>
            <w:tcW w:w="0" w:type="auto"/>
            <w:vAlign w:val="center"/>
            <w:hideMark/>
          </w:tcPr>
          <w:p w14:paraId="28A6F7B1" w14:textId="77777777" w:rsidR="00491572" w:rsidRPr="001209FB" w:rsidRDefault="00491572" w:rsidP="001209FB">
            <w:pPr>
              <w:jc w:val="left"/>
              <w:rPr>
                <w:sz w:val="20"/>
                <w:szCs w:val="20"/>
                <w:lang w:val="en-GB"/>
              </w:rPr>
            </w:pPr>
            <w:r w:rsidRPr="001209FB">
              <w:rPr>
                <w:sz w:val="20"/>
                <w:szCs w:val="20"/>
                <w:lang w:val="en-GB"/>
              </w:rPr>
              <w:t>Retains knowledge and avoids external margins</w:t>
            </w:r>
          </w:p>
        </w:tc>
        <w:tc>
          <w:tcPr>
            <w:tcW w:w="0" w:type="auto"/>
            <w:vAlign w:val="center"/>
            <w:hideMark/>
          </w:tcPr>
          <w:p w14:paraId="28790590" w14:textId="77777777" w:rsidR="00491572" w:rsidRPr="001209FB" w:rsidRDefault="00491572" w:rsidP="001209FB">
            <w:pPr>
              <w:jc w:val="left"/>
              <w:rPr>
                <w:sz w:val="20"/>
                <w:szCs w:val="20"/>
                <w:lang w:val="en-GB"/>
              </w:rPr>
            </w:pPr>
            <w:r w:rsidRPr="001209FB">
              <w:rPr>
                <w:sz w:val="20"/>
                <w:szCs w:val="20"/>
                <w:lang w:val="en-GB"/>
              </w:rPr>
              <w:t>Capability gaps, rework and full liability</w:t>
            </w:r>
          </w:p>
        </w:tc>
        <w:tc>
          <w:tcPr>
            <w:tcW w:w="0" w:type="auto"/>
            <w:vAlign w:val="center"/>
            <w:hideMark/>
          </w:tcPr>
          <w:p w14:paraId="45D72AFF" w14:textId="77777777" w:rsidR="00491572" w:rsidRPr="001209FB" w:rsidRDefault="00491572" w:rsidP="001209FB">
            <w:pPr>
              <w:jc w:val="left"/>
              <w:rPr>
                <w:sz w:val="20"/>
                <w:szCs w:val="20"/>
                <w:lang w:val="en-GB"/>
              </w:rPr>
            </w:pPr>
            <w:r w:rsidRPr="001209FB">
              <w:rPr>
                <w:sz w:val="20"/>
                <w:szCs w:val="20"/>
                <w:lang w:val="en-GB"/>
              </w:rPr>
              <w:t>Unsuitable for the technical conversion</w:t>
            </w:r>
          </w:p>
        </w:tc>
      </w:tr>
      <w:tr w:rsidR="00491572" w:rsidRPr="001209FB" w14:paraId="0BA3EC6A" w14:textId="77777777" w:rsidTr="001209FB">
        <w:trPr>
          <w:trHeight w:val="1297"/>
          <w:tblCellSpacing w:w="15" w:type="dxa"/>
          <w:jc w:val="center"/>
        </w:trPr>
        <w:tc>
          <w:tcPr>
            <w:tcW w:w="0" w:type="auto"/>
            <w:vAlign w:val="center"/>
            <w:hideMark/>
          </w:tcPr>
          <w:p w14:paraId="1690A8E9" w14:textId="77777777" w:rsidR="00491572" w:rsidRPr="001209FB" w:rsidRDefault="00491572" w:rsidP="001209FB">
            <w:pPr>
              <w:jc w:val="left"/>
              <w:rPr>
                <w:sz w:val="20"/>
                <w:szCs w:val="20"/>
                <w:lang w:val="en-GB"/>
              </w:rPr>
            </w:pPr>
            <w:r w:rsidRPr="001209FB">
              <w:rPr>
                <w:sz w:val="20"/>
                <w:szCs w:val="20"/>
                <w:lang w:val="en-GB"/>
              </w:rPr>
              <w:t>Multicontracting + DIY</w:t>
            </w:r>
          </w:p>
        </w:tc>
        <w:tc>
          <w:tcPr>
            <w:tcW w:w="0" w:type="auto"/>
            <w:vAlign w:val="center"/>
            <w:hideMark/>
          </w:tcPr>
          <w:p w14:paraId="46ACA8D1" w14:textId="77777777" w:rsidR="00491572" w:rsidRPr="001209FB" w:rsidRDefault="00491572" w:rsidP="001209FB">
            <w:pPr>
              <w:jc w:val="left"/>
              <w:rPr>
                <w:sz w:val="20"/>
                <w:szCs w:val="20"/>
                <w:lang w:val="en-GB"/>
              </w:rPr>
            </w:pPr>
            <w:r w:rsidRPr="001209FB">
              <w:rPr>
                <w:sz w:val="20"/>
                <w:szCs w:val="20"/>
                <w:lang w:val="en-GB"/>
              </w:rPr>
              <w:t>High but selective</w:t>
            </w:r>
          </w:p>
        </w:tc>
        <w:tc>
          <w:tcPr>
            <w:tcW w:w="0" w:type="auto"/>
            <w:vAlign w:val="center"/>
            <w:hideMark/>
          </w:tcPr>
          <w:p w14:paraId="68D54047" w14:textId="77777777" w:rsidR="00491572" w:rsidRPr="001209FB" w:rsidRDefault="00491572" w:rsidP="001209FB">
            <w:pPr>
              <w:jc w:val="left"/>
              <w:rPr>
                <w:sz w:val="20"/>
                <w:szCs w:val="20"/>
                <w:lang w:val="en-GB"/>
              </w:rPr>
            </w:pPr>
            <w:r w:rsidRPr="001209FB">
              <w:rPr>
                <w:sz w:val="20"/>
                <w:szCs w:val="20"/>
                <w:lang w:val="en-GB"/>
              </w:rPr>
              <w:t>High</w:t>
            </w:r>
          </w:p>
        </w:tc>
        <w:tc>
          <w:tcPr>
            <w:tcW w:w="0" w:type="auto"/>
            <w:vAlign w:val="center"/>
            <w:hideMark/>
          </w:tcPr>
          <w:p w14:paraId="580FC247" w14:textId="77777777" w:rsidR="00491572" w:rsidRPr="001209FB" w:rsidRDefault="00491572" w:rsidP="001209FB">
            <w:pPr>
              <w:jc w:val="left"/>
              <w:rPr>
                <w:sz w:val="20"/>
                <w:szCs w:val="20"/>
                <w:lang w:val="en-GB"/>
              </w:rPr>
            </w:pPr>
            <w:r w:rsidRPr="001209FB">
              <w:rPr>
                <w:sz w:val="20"/>
                <w:szCs w:val="20"/>
                <w:lang w:val="en-GB"/>
              </w:rPr>
              <w:t>Aligns each package with the strongest capability</w:t>
            </w:r>
          </w:p>
        </w:tc>
        <w:tc>
          <w:tcPr>
            <w:tcW w:w="0" w:type="auto"/>
            <w:vAlign w:val="center"/>
            <w:hideMark/>
          </w:tcPr>
          <w:p w14:paraId="6F9CF981" w14:textId="77777777" w:rsidR="00491572" w:rsidRPr="001209FB" w:rsidRDefault="00491572" w:rsidP="001209FB">
            <w:pPr>
              <w:jc w:val="left"/>
              <w:rPr>
                <w:sz w:val="20"/>
                <w:szCs w:val="20"/>
                <w:lang w:val="en-GB"/>
              </w:rPr>
            </w:pPr>
            <w:r w:rsidRPr="001209FB">
              <w:rPr>
                <w:sz w:val="20"/>
                <w:szCs w:val="20"/>
                <w:lang w:val="en-GB"/>
              </w:rPr>
              <w:t>Boundary and scheduling disputes</w:t>
            </w:r>
          </w:p>
        </w:tc>
        <w:tc>
          <w:tcPr>
            <w:tcW w:w="0" w:type="auto"/>
            <w:vAlign w:val="center"/>
            <w:hideMark/>
          </w:tcPr>
          <w:p w14:paraId="741CB04A" w14:textId="77777777" w:rsidR="00491572" w:rsidRPr="001209FB" w:rsidRDefault="00491572" w:rsidP="001209FB">
            <w:pPr>
              <w:jc w:val="left"/>
              <w:rPr>
                <w:sz w:val="20"/>
                <w:szCs w:val="20"/>
                <w:lang w:val="en-GB"/>
              </w:rPr>
            </w:pPr>
            <w:r w:rsidRPr="001209FB">
              <w:rPr>
                <w:sz w:val="20"/>
                <w:szCs w:val="20"/>
                <w:lang w:val="en-GB"/>
              </w:rPr>
              <w:t>Best fit with formal interface control</w:t>
            </w:r>
          </w:p>
        </w:tc>
      </w:tr>
    </w:tbl>
    <w:p w14:paraId="2AB156C8" w14:textId="77777777" w:rsidR="00491572" w:rsidRPr="001209FB" w:rsidRDefault="00491572" w:rsidP="00491572">
      <w:pPr>
        <w:rPr>
          <w:sz w:val="20"/>
          <w:szCs w:val="20"/>
          <w:lang w:val="en-GB"/>
        </w:rPr>
      </w:pPr>
      <w:r w:rsidRPr="001209FB">
        <w:rPr>
          <w:i/>
          <w:iCs/>
          <w:sz w:val="20"/>
          <w:szCs w:val="20"/>
          <w:lang w:val="en-GB"/>
        </w:rPr>
        <w:t>Source: Author’s analysis, informed by Ahmed and El-Sayegh (2021), Assaf et al. (2023) and Chen and Liu (2024).</w:t>
      </w:r>
    </w:p>
    <w:p w14:paraId="705AF9F0" w14:textId="5B4C5652" w:rsidR="00491572" w:rsidRPr="00491572" w:rsidRDefault="00491572" w:rsidP="00491572">
      <w:pPr>
        <w:rPr>
          <w:lang w:val="en-GB"/>
        </w:rPr>
      </w:pPr>
      <w:r w:rsidRPr="00491572">
        <w:rPr>
          <w:lang w:val="en-GB"/>
        </w:rPr>
        <w:t xml:space="preserve">Control and risk do not simply move in opposite directions. Turnkey reduces coordination but cannot transfer reputational harm if the centre is unsafe. Multicontracting increases choice while relocating integration to the client, and DIY concentrates technical and opportunity costs internally. The hybrid performs best because the project joins regulated vehicle engineering with sensory-service expertise. Its advantage rests on managing that boundary, not dividing work evenly. Sustainability and user </w:t>
      </w:r>
      <w:r w:rsidR="00802107">
        <w:rPr>
          <w:lang w:val="en-GB"/>
        </w:rPr>
        <w:t>well-being</w:t>
      </w:r>
      <w:r w:rsidRPr="00491572">
        <w:rPr>
          <w:lang w:val="en-GB"/>
        </w:rPr>
        <w:t xml:space="preserve"> should also influence delivery-method selection (Ahmed and El-Sayegh, 2024).</w:t>
      </w:r>
    </w:p>
    <w:p w14:paraId="6D3370BC" w14:textId="77777777" w:rsidR="00491572" w:rsidRPr="00491572" w:rsidRDefault="00491572" w:rsidP="001E1EC7">
      <w:pPr>
        <w:pStyle w:val="Heading1"/>
      </w:pPr>
      <w:bookmarkStart w:id="8" w:name="_Toc238144054"/>
      <w:r w:rsidRPr="00491572">
        <w:t>5. Conclusion</w:t>
      </w:r>
      <w:bookmarkEnd w:id="8"/>
    </w:p>
    <w:p w14:paraId="6978C292" w14:textId="77777777" w:rsidR="00491572" w:rsidRPr="00491572" w:rsidRDefault="00491572" w:rsidP="00491572">
      <w:pPr>
        <w:rPr>
          <w:lang w:val="en-GB"/>
        </w:rPr>
      </w:pPr>
      <w:r w:rsidRPr="00491572">
        <w:rPr>
          <w:lang w:val="en-GB"/>
        </w:rPr>
        <w:t xml:space="preserve">The four methods allocate delivery, coordination and risk differently. Turnkey offers one accountable contractor but reduces design influence and makes later learning </w:t>
      </w:r>
      <w:r w:rsidRPr="00491572">
        <w:rPr>
          <w:lang w:val="en-GB"/>
        </w:rPr>
        <w:lastRenderedPageBreak/>
        <w:t>expensive. Multicontracting gives direct access to specialists yet leaves the client integrating schedules, designs and warranties. DIY retains control and learning but only creates value when internal capability and opportunity costs are assessed honestly. Combining multicontracting with DIY permits selective make-buy decisions, although weak interfaces can reproduce the disadvantages of both approaches.</w:t>
      </w:r>
    </w:p>
    <w:p w14:paraId="58CD58FE" w14:textId="77777777" w:rsidR="00491572" w:rsidRPr="00491572" w:rsidRDefault="00491572" w:rsidP="00491572">
      <w:pPr>
        <w:rPr>
          <w:lang w:val="en-GB"/>
        </w:rPr>
      </w:pPr>
      <w:r w:rsidRPr="00491572">
        <w:rPr>
          <w:lang w:val="en-GB"/>
        </w:rPr>
        <w:t>For a mobile sensory learning centre, full DIY would expose the charity to unacceptable engineering and compliance risks. Pure multicontracting would also be fragile without experienced technical coordination. Turnkey becomes credible once the requirements are stable, particularly for an owner with limited management capacity. Nevertheless, the combined method offers the best contextual fit: specialist firms should deliver and certify the vehicle systems, while the charity retains user consultation, sensory-service design and operational preparation.</w:t>
      </w:r>
    </w:p>
    <w:p w14:paraId="58DBEF13" w14:textId="72B9BC92" w:rsidR="00491572" w:rsidRPr="00491572" w:rsidRDefault="00491572" w:rsidP="00491572">
      <w:pPr>
        <w:rPr>
          <w:lang w:val="en-GB"/>
        </w:rPr>
      </w:pPr>
      <w:r w:rsidRPr="00491572">
        <w:rPr>
          <w:lang w:val="en-GB"/>
        </w:rPr>
        <w:t>The recommendation is conditional</w:t>
      </w:r>
      <w:r w:rsidR="001209FB">
        <w:rPr>
          <w:lang w:val="en-GB"/>
        </w:rPr>
        <w:t>, not</w:t>
      </w:r>
      <w:r w:rsidRPr="00491572">
        <w:rPr>
          <w:lang w:val="en-GB"/>
        </w:rPr>
        <w:t xml:space="preserve"> universal. It depends on a named technical integrator, a responsibility matrix, design-stage approvals and clear acceptance tests. Contracting does not remove the owner’s accountability for outcomes; it determines which party has the competence and authority to manage each part of delivery. The strongest method </w:t>
      </w:r>
      <w:r w:rsidR="001209FB">
        <w:rPr>
          <w:lang w:val="en-GB"/>
        </w:rPr>
        <w:t xml:space="preserve">therefore </w:t>
      </w:r>
      <w:r w:rsidRPr="00491572">
        <w:rPr>
          <w:lang w:val="en-GB"/>
        </w:rPr>
        <w:t>places each interface, not merely each task, with the party best able to control its consequences.</w:t>
      </w:r>
    </w:p>
    <w:p w14:paraId="1993C055" w14:textId="77777777" w:rsidR="001209FB" w:rsidRDefault="001209FB" w:rsidP="00491572">
      <w:pPr>
        <w:rPr>
          <w:b/>
          <w:bCs/>
          <w:lang w:val="en-GB"/>
        </w:rPr>
      </w:pPr>
    </w:p>
    <w:p w14:paraId="24C81893" w14:textId="77777777" w:rsidR="001209FB" w:rsidRDefault="001209FB" w:rsidP="00491572">
      <w:pPr>
        <w:rPr>
          <w:b/>
          <w:bCs/>
          <w:lang w:val="en-GB"/>
        </w:rPr>
      </w:pPr>
    </w:p>
    <w:p w14:paraId="2659B870" w14:textId="77777777" w:rsidR="001209FB" w:rsidRDefault="001209FB" w:rsidP="00491572">
      <w:pPr>
        <w:rPr>
          <w:b/>
          <w:bCs/>
          <w:lang w:val="en-GB"/>
        </w:rPr>
      </w:pPr>
    </w:p>
    <w:p w14:paraId="7C401E74" w14:textId="77777777" w:rsidR="001209FB" w:rsidRDefault="001209FB" w:rsidP="00491572">
      <w:pPr>
        <w:rPr>
          <w:b/>
          <w:bCs/>
          <w:lang w:val="en-GB"/>
        </w:rPr>
      </w:pPr>
    </w:p>
    <w:p w14:paraId="3CDFB8B8" w14:textId="77777777" w:rsidR="001209FB" w:rsidRDefault="001209FB" w:rsidP="00491572">
      <w:pPr>
        <w:rPr>
          <w:b/>
          <w:bCs/>
          <w:lang w:val="en-GB"/>
        </w:rPr>
      </w:pPr>
    </w:p>
    <w:p w14:paraId="353E77B1" w14:textId="77777777" w:rsidR="001209FB" w:rsidRDefault="001209FB" w:rsidP="00491572">
      <w:pPr>
        <w:rPr>
          <w:b/>
          <w:bCs/>
          <w:lang w:val="en-GB"/>
        </w:rPr>
      </w:pPr>
    </w:p>
    <w:p w14:paraId="0175F492" w14:textId="77777777" w:rsidR="001209FB" w:rsidRDefault="001209FB" w:rsidP="00491572">
      <w:pPr>
        <w:rPr>
          <w:b/>
          <w:bCs/>
          <w:lang w:val="en-GB"/>
        </w:rPr>
      </w:pPr>
    </w:p>
    <w:p w14:paraId="5EB0F9E7" w14:textId="77777777" w:rsidR="001209FB" w:rsidRDefault="001209FB" w:rsidP="00491572">
      <w:pPr>
        <w:rPr>
          <w:b/>
          <w:bCs/>
          <w:lang w:val="en-GB"/>
        </w:rPr>
      </w:pPr>
    </w:p>
    <w:p w14:paraId="4FCAA563" w14:textId="77777777" w:rsidR="001209FB" w:rsidRDefault="001209FB" w:rsidP="00491572">
      <w:pPr>
        <w:rPr>
          <w:b/>
          <w:bCs/>
          <w:lang w:val="en-GB"/>
        </w:rPr>
      </w:pPr>
    </w:p>
    <w:p w14:paraId="6DC1C943" w14:textId="77777777" w:rsidR="001209FB" w:rsidRDefault="001209FB" w:rsidP="00491572">
      <w:pPr>
        <w:rPr>
          <w:b/>
          <w:bCs/>
          <w:lang w:val="en-GB"/>
        </w:rPr>
      </w:pPr>
    </w:p>
    <w:p w14:paraId="135FDB0E" w14:textId="77777777" w:rsidR="001209FB" w:rsidRDefault="001209FB" w:rsidP="00491572">
      <w:pPr>
        <w:rPr>
          <w:b/>
          <w:bCs/>
          <w:lang w:val="en-GB"/>
        </w:rPr>
      </w:pPr>
    </w:p>
    <w:p w14:paraId="059C285F" w14:textId="77777777" w:rsidR="001209FB" w:rsidRDefault="001209FB" w:rsidP="00491572">
      <w:pPr>
        <w:rPr>
          <w:b/>
          <w:bCs/>
          <w:lang w:val="en-GB"/>
        </w:rPr>
      </w:pPr>
    </w:p>
    <w:p w14:paraId="7C2E9B5D" w14:textId="77777777" w:rsidR="001209FB" w:rsidRDefault="001209FB" w:rsidP="00491572">
      <w:pPr>
        <w:rPr>
          <w:b/>
          <w:bCs/>
          <w:lang w:val="en-GB"/>
        </w:rPr>
      </w:pPr>
    </w:p>
    <w:p w14:paraId="086F8DD6" w14:textId="52C57537" w:rsidR="00491572" w:rsidRPr="00491572" w:rsidRDefault="00491572" w:rsidP="001E1EC7">
      <w:pPr>
        <w:pStyle w:val="Heading1"/>
      </w:pPr>
      <w:bookmarkStart w:id="9" w:name="_Toc238144055"/>
      <w:r w:rsidRPr="00491572">
        <w:lastRenderedPageBreak/>
        <w:t>Reference List</w:t>
      </w:r>
      <w:bookmarkEnd w:id="9"/>
    </w:p>
    <w:p w14:paraId="4340ABBB" w14:textId="77777777" w:rsidR="001209FB" w:rsidRDefault="001209FB" w:rsidP="001209FB">
      <w:pPr>
        <w:ind w:left="720" w:hanging="720"/>
        <w:jc w:val="left"/>
      </w:pPr>
    </w:p>
    <w:p w14:paraId="23090B70" w14:textId="77777777" w:rsidR="001209FB" w:rsidRPr="00491572" w:rsidRDefault="001209FB" w:rsidP="001209FB">
      <w:pPr>
        <w:ind w:left="720" w:hanging="720"/>
        <w:jc w:val="left"/>
        <w:rPr>
          <w:lang w:val="en-GB"/>
        </w:rPr>
      </w:pPr>
      <w:r w:rsidRPr="00491572">
        <w:rPr>
          <w:lang w:val="en-GB"/>
        </w:rPr>
        <w:t xml:space="preserve">af Hällström, A., Bosch-Sijtsema, P. and Poblete, L. (2025) ‘Challenges with collaboration: the interaction of formal and informal ties in infrastructure construction’, </w:t>
      </w:r>
      <w:r w:rsidRPr="00491572">
        <w:rPr>
          <w:i/>
          <w:iCs/>
          <w:lang w:val="en-GB"/>
        </w:rPr>
        <w:t>Construction Management and Economics</w:t>
      </w:r>
      <w:r w:rsidRPr="00491572">
        <w:rPr>
          <w:lang w:val="en-GB"/>
        </w:rPr>
        <w:t xml:space="preserve">, 43(1), pp. 7–25. Available at: </w:t>
      </w:r>
      <w:hyperlink r:id="rId9" w:history="1">
        <w:r w:rsidRPr="00491572">
          <w:rPr>
            <w:rStyle w:val="Hyperlink"/>
            <w:lang w:val="en-GB"/>
          </w:rPr>
          <w:t>https://doi.org/10.1080/01446193.2024.2371153</w:t>
        </w:r>
      </w:hyperlink>
      <w:r w:rsidRPr="00491572">
        <w:rPr>
          <w:lang w:val="en-GB"/>
        </w:rPr>
        <w:t xml:space="preserve"> (Accessed: 20 August 2026).</w:t>
      </w:r>
    </w:p>
    <w:p w14:paraId="2D088DBF" w14:textId="77777777" w:rsidR="001209FB" w:rsidRPr="00491572" w:rsidRDefault="001209FB" w:rsidP="001209FB">
      <w:pPr>
        <w:ind w:left="720" w:hanging="720"/>
        <w:jc w:val="left"/>
        <w:rPr>
          <w:lang w:val="en-GB"/>
        </w:rPr>
      </w:pPr>
      <w:r w:rsidRPr="00491572">
        <w:rPr>
          <w:lang w:val="en-GB"/>
        </w:rPr>
        <w:t xml:space="preserve">Ahmed, S. and El-Sayegh, S. (2021) ‘Critical review of the evolution of project delivery methods in the construction industry’, </w:t>
      </w:r>
      <w:r w:rsidRPr="00491572">
        <w:rPr>
          <w:i/>
          <w:iCs/>
          <w:lang w:val="en-GB"/>
        </w:rPr>
        <w:t>Buildings</w:t>
      </w:r>
      <w:r w:rsidRPr="00491572">
        <w:rPr>
          <w:lang w:val="en-GB"/>
        </w:rPr>
        <w:t xml:space="preserve">, 11(1), article 11. Available at: </w:t>
      </w:r>
      <w:hyperlink r:id="rId10" w:history="1">
        <w:r w:rsidRPr="00491572">
          <w:rPr>
            <w:rStyle w:val="Hyperlink"/>
            <w:lang w:val="en-GB"/>
          </w:rPr>
          <w:t>https://doi.org/10.3390/buildings11010011</w:t>
        </w:r>
      </w:hyperlink>
      <w:r w:rsidRPr="00491572">
        <w:rPr>
          <w:lang w:val="en-GB"/>
        </w:rPr>
        <w:t xml:space="preserve"> (Accessed: 20 August 2026).</w:t>
      </w:r>
    </w:p>
    <w:p w14:paraId="3C32ABDB" w14:textId="77777777" w:rsidR="001209FB" w:rsidRPr="00491572" w:rsidRDefault="001209FB" w:rsidP="001209FB">
      <w:pPr>
        <w:ind w:left="720" w:hanging="720"/>
        <w:jc w:val="left"/>
        <w:rPr>
          <w:lang w:val="en-GB"/>
        </w:rPr>
      </w:pPr>
      <w:r w:rsidRPr="00491572">
        <w:rPr>
          <w:lang w:val="en-GB"/>
        </w:rPr>
        <w:t xml:space="preserve">Ahmed, S. and El-Sayegh, S. (2024) ‘Relevant criteria for selecting project delivery methods in sustainable construction’, </w:t>
      </w:r>
      <w:r w:rsidRPr="00491572">
        <w:rPr>
          <w:i/>
          <w:iCs/>
          <w:lang w:val="en-GB"/>
        </w:rPr>
        <w:t>International Journal of Construction Management</w:t>
      </w:r>
      <w:r w:rsidRPr="00491572">
        <w:rPr>
          <w:lang w:val="en-GB"/>
        </w:rPr>
        <w:t xml:space="preserve">, 24(5), pp. 512–520. Available at: </w:t>
      </w:r>
      <w:hyperlink r:id="rId11" w:history="1">
        <w:r w:rsidRPr="00491572">
          <w:rPr>
            <w:rStyle w:val="Hyperlink"/>
            <w:lang w:val="en-GB"/>
          </w:rPr>
          <w:t>https://doi.org/10.1080/15623599.2023.2179609</w:t>
        </w:r>
      </w:hyperlink>
      <w:r w:rsidRPr="00491572">
        <w:rPr>
          <w:lang w:val="en-GB"/>
        </w:rPr>
        <w:t xml:space="preserve"> (Accessed: 20 August 2026).</w:t>
      </w:r>
    </w:p>
    <w:p w14:paraId="7EF7D7BB" w14:textId="77777777" w:rsidR="001209FB" w:rsidRPr="00491572" w:rsidRDefault="001209FB" w:rsidP="001209FB">
      <w:pPr>
        <w:ind w:left="720" w:hanging="720"/>
        <w:jc w:val="left"/>
        <w:rPr>
          <w:lang w:val="en-GB"/>
        </w:rPr>
      </w:pPr>
      <w:r w:rsidRPr="00491572">
        <w:rPr>
          <w:lang w:val="en-GB"/>
        </w:rPr>
        <w:t xml:space="preserve">Assaf, M., Hussein, M., Abdelkhalek, S. and Zayed, T. (2023) ‘A multi-criteria decision-making model for selecting the best project delivery systems for offsite construction projects’, </w:t>
      </w:r>
      <w:r w:rsidRPr="00491572">
        <w:rPr>
          <w:i/>
          <w:iCs/>
          <w:lang w:val="en-GB"/>
        </w:rPr>
        <w:t>Buildings</w:t>
      </w:r>
      <w:r w:rsidRPr="00491572">
        <w:rPr>
          <w:lang w:val="en-GB"/>
        </w:rPr>
        <w:t xml:space="preserve">, 13(2), article 571. Available at: </w:t>
      </w:r>
      <w:hyperlink r:id="rId12" w:history="1">
        <w:r w:rsidRPr="00491572">
          <w:rPr>
            <w:rStyle w:val="Hyperlink"/>
            <w:lang w:val="en-GB"/>
          </w:rPr>
          <w:t>https://doi.org/10.3390/buildings13020571</w:t>
        </w:r>
      </w:hyperlink>
      <w:r w:rsidRPr="00491572">
        <w:rPr>
          <w:lang w:val="en-GB"/>
        </w:rPr>
        <w:t xml:space="preserve"> (Accessed: 20 August 2026).</w:t>
      </w:r>
    </w:p>
    <w:p w14:paraId="051C25B6" w14:textId="77777777" w:rsidR="001209FB" w:rsidRPr="00491572" w:rsidRDefault="001209FB" w:rsidP="001209FB">
      <w:pPr>
        <w:ind w:left="720" w:hanging="720"/>
        <w:jc w:val="left"/>
        <w:rPr>
          <w:lang w:val="en-GB"/>
        </w:rPr>
      </w:pPr>
      <w:r w:rsidRPr="00491572">
        <w:rPr>
          <w:lang w:val="en-GB"/>
        </w:rPr>
        <w:t xml:space="preserve">Association for Project Management (APM) (no date) </w:t>
      </w:r>
      <w:r w:rsidRPr="00491572">
        <w:rPr>
          <w:i/>
          <w:iCs/>
          <w:lang w:val="en-GB"/>
        </w:rPr>
        <w:t>What is managing contracts in project management?</w:t>
      </w:r>
      <w:r w:rsidRPr="00491572">
        <w:rPr>
          <w:lang w:val="en-GB"/>
        </w:rPr>
        <w:t xml:space="preserve"> Available at: </w:t>
      </w:r>
      <w:hyperlink r:id="rId13" w:history="1">
        <w:r w:rsidRPr="00491572">
          <w:rPr>
            <w:rStyle w:val="Hyperlink"/>
            <w:lang w:val="en-GB"/>
          </w:rPr>
          <w:t>https://www.apm.org.uk/resources/what-is-project-management/what-is-managing-contracts-in-project-management/</w:t>
        </w:r>
      </w:hyperlink>
      <w:r w:rsidRPr="00491572">
        <w:rPr>
          <w:lang w:val="en-GB"/>
        </w:rPr>
        <w:t xml:space="preserve"> (Accessed: 20 August 2026).</w:t>
      </w:r>
    </w:p>
    <w:p w14:paraId="23DF6580" w14:textId="77777777" w:rsidR="001209FB" w:rsidRPr="00491572" w:rsidRDefault="001209FB" w:rsidP="001209FB">
      <w:pPr>
        <w:ind w:left="720" w:hanging="720"/>
        <w:jc w:val="left"/>
        <w:rPr>
          <w:lang w:val="en-GB"/>
        </w:rPr>
      </w:pPr>
      <w:r w:rsidRPr="00491572">
        <w:rPr>
          <w:lang w:val="en-GB"/>
        </w:rPr>
        <w:t xml:space="preserve">Cabinet Office (2026) </w:t>
      </w:r>
      <w:r w:rsidRPr="00491572">
        <w:rPr>
          <w:i/>
          <w:iCs/>
          <w:lang w:val="en-GB"/>
        </w:rPr>
        <w:t>Government Functional Standard GovS 008: Commercial</w:t>
      </w:r>
      <w:r w:rsidRPr="00491572">
        <w:rPr>
          <w:lang w:val="en-GB"/>
        </w:rPr>
        <w:t xml:space="preserve">. Available at: </w:t>
      </w:r>
      <w:hyperlink r:id="rId14" w:history="1">
        <w:r w:rsidRPr="00491572">
          <w:rPr>
            <w:rStyle w:val="Hyperlink"/>
            <w:lang w:val="en-GB"/>
          </w:rPr>
          <w:t>https://www.gov.uk/government/publications/government-functional-standard-govs-008-commercial-and-commercial-continuous-improvement-assessment-framework/government-functional-standard-govs-008-commercial-html</w:t>
        </w:r>
      </w:hyperlink>
      <w:r w:rsidRPr="00491572">
        <w:rPr>
          <w:lang w:val="en-GB"/>
        </w:rPr>
        <w:t xml:space="preserve"> (Accessed: 20 August 2026).</w:t>
      </w:r>
    </w:p>
    <w:p w14:paraId="4C45A3AF" w14:textId="77777777" w:rsidR="001209FB" w:rsidRPr="00491572" w:rsidRDefault="001209FB" w:rsidP="001209FB">
      <w:pPr>
        <w:ind w:left="720" w:hanging="720"/>
        <w:jc w:val="left"/>
        <w:rPr>
          <w:lang w:val="en-GB"/>
        </w:rPr>
      </w:pPr>
      <w:r w:rsidRPr="00491572">
        <w:rPr>
          <w:lang w:val="en-GB"/>
        </w:rPr>
        <w:t xml:space="preserve">Chen, S. and Liu, X. (2024) ‘Key factors affecting project delivery system selection in the Chinese construction industry’, </w:t>
      </w:r>
      <w:r w:rsidRPr="00491572">
        <w:rPr>
          <w:i/>
          <w:iCs/>
          <w:lang w:val="en-GB"/>
        </w:rPr>
        <w:t>Heliyon</w:t>
      </w:r>
      <w:r w:rsidRPr="00491572">
        <w:rPr>
          <w:lang w:val="en-GB"/>
        </w:rPr>
        <w:t xml:space="preserve">, 10(21), article e39201. Available at: </w:t>
      </w:r>
      <w:hyperlink r:id="rId15" w:history="1">
        <w:r w:rsidRPr="00491572">
          <w:rPr>
            <w:rStyle w:val="Hyperlink"/>
            <w:lang w:val="en-GB"/>
          </w:rPr>
          <w:t>https://doi.org/10.1016/j.heliyon.2024.e39201</w:t>
        </w:r>
      </w:hyperlink>
      <w:r w:rsidRPr="00491572">
        <w:rPr>
          <w:lang w:val="en-GB"/>
        </w:rPr>
        <w:t xml:space="preserve"> (Accessed: 20 August 2026).</w:t>
      </w:r>
    </w:p>
    <w:p w14:paraId="26A555A8" w14:textId="77777777" w:rsidR="001209FB" w:rsidRPr="00491572" w:rsidRDefault="001209FB" w:rsidP="001209FB">
      <w:pPr>
        <w:ind w:left="720" w:hanging="720"/>
        <w:jc w:val="left"/>
        <w:rPr>
          <w:lang w:val="en-GB"/>
        </w:rPr>
      </w:pPr>
      <w:r w:rsidRPr="00491572">
        <w:rPr>
          <w:lang w:val="en-GB"/>
        </w:rPr>
        <w:lastRenderedPageBreak/>
        <w:t xml:space="preserve">Driver and Vehicle Standards Agency (DVSA) (no date) </w:t>
      </w:r>
      <w:r w:rsidRPr="00491572">
        <w:rPr>
          <w:i/>
          <w:iCs/>
          <w:lang w:val="en-GB"/>
        </w:rPr>
        <w:t>Vehicle approval: Accessibility certificate test</w:t>
      </w:r>
      <w:r w:rsidRPr="00491572">
        <w:rPr>
          <w:lang w:val="en-GB"/>
        </w:rPr>
        <w:t xml:space="preserve">. Available at: </w:t>
      </w:r>
      <w:hyperlink r:id="rId16" w:history="1">
        <w:r w:rsidRPr="00491572">
          <w:rPr>
            <w:rStyle w:val="Hyperlink"/>
            <w:lang w:val="en-GB"/>
          </w:rPr>
          <w:t>https://www.gov.uk/vehicle-approval/accessibility-certificate-test</w:t>
        </w:r>
      </w:hyperlink>
      <w:r w:rsidRPr="00491572">
        <w:rPr>
          <w:lang w:val="en-GB"/>
        </w:rPr>
        <w:t xml:space="preserve"> (Accessed: 20 August 2026).</w:t>
      </w:r>
    </w:p>
    <w:p w14:paraId="2FD3C2C8" w14:textId="77777777" w:rsidR="001209FB" w:rsidRPr="00491572" w:rsidRDefault="001209FB" w:rsidP="001209FB">
      <w:pPr>
        <w:ind w:left="720" w:hanging="720"/>
        <w:jc w:val="left"/>
        <w:rPr>
          <w:lang w:val="en-GB"/>
        </w:rPr>
      </w:pPr>
      <w:r w:rsidRPr="00491572">
        <w:rPr>
          <w:lang w:val="en-GB"/>
        </w:rPr>
        <w:t xml:space="preserve">International Organization for Standardization (2020) </w:t>
      </w:r>
      <w:r w:rsidRPr="00491572">
        <w:rPr>
          <w:i/>
          <w:iCs/>
          <w:lang w:val="en-GB"/>
        </w:rPr>
        <w:t>ISO 21502:2020 Project, programme and portfolio management – Guidance on project management</w:t>
      </w:r>
      <w:r w:rsidRPr="00491572">
        <w:rPr>
          <w:lang w:val="en-GB"/>
        </w:rPr>
        <w:t>. Geneva: ISO.</w:t>
      </w:r>
    </w:p>
    <w:p w14:paraId="69E447B3" w14:textId="77777777" w:rsidR="001209FB" w:rsidRPr="00491572" w:rsidRDefault="001209FB" w:rsidP="001209FB">
      <w:pPr>
        <w:ind w:left="720" w:hanging="720"/>
        <w:jc w:val="left"/>
        <w:rPr>
          <w:lang w:val="en-GB"/>
        </w:rPr>
      </w:pPr>
      <w:r w:rsidRPr="00491572">
        <w:rPr>
          <w:lang w:val="en-GB"/>
        </w:rPr>
        <w:t xml:space="preserve">Jain, A. (2025) ‘Capability joint effects, transaction costs, outsourcing decisions, and performance’, </w:t>
      </w:r>
      <w:r w:rsidRPr="00491572">
        <w:rPr>
          <w:i/>
          <w:iCs/>
          <w:lang w:val="en-GB"/>
        </w:rPr>
        <w:t>Journal of Business Research</w:t>
      </w:r>
      <w:r w:rsidRPr="00491572">
        <w:rPr>
          <w:lang w:val="en-GB"/>
        </w:rPr>
        <w:t xml:space="preserve">, 200, article 115618. Available at: </w:t>
      </w:r>
      <w:hyperlink r:id="rId17" w:history="1">
        <w:r w:rsidRPr="00491572">
          <w:rPr>
            <w:rStyle w:val="Hyperlink"/>
            <w:lang w:val="en-GB"/>
          </w:rPr>
          <w:t>https://doi.org/10.1016/j.jbusres.2025.115618</w:t>
        </w:r>
      </w:hyperlink>
      <w:r w:rsidRPr="00491572">
        <w:rPr>
          <w:lang w:val="en-GB"/>
        </w:rPr>
        <w:t xml:space="preserve"> (Accessed: 20 August 2026).</w:t>
      </w:r>
    </w:p>
    <w:p w14:paraId="759F7E15" w14:textId="77777777" w:rsidR="001209FB" w:rsidRPr="00491572" w:rsidRDefault="001209FB" w:rsidP="001209FB">
      <w:pPr>
        <w:ind w:left="720" w:hanging="720"/>
        <w:jc w:val="left"/>
        <w:rPr>
          <w:lang w:val="en-GB"/>
        </w:rPr>
      </w:pPr>
      <w:r w:rsidRPr="00491572">
        <w:rPr>
          <w:lang w:val="en-GB"/>
        </w:rPr>
        <w:t xml:space="preserve">McIvor, R. (2009) ‘How the transaction cost and resource-based theories of the firm inform outsourcing evaluation’, </w:t>
      </w:r>
      <w:r w:rsidRPr="00491572">
        <w:rPr>
          <w:i/>
          <w:iCs/>
          <w:lang w:val="en-GB"/>
        </w:rPr>
        <w:t>Journal of Operations Management</w:t>
      </w:r>
      <w:r w:rsidRPr="00491572">
        <w:rPr>
          <w:lang w:val="en-GB"/>
        </w:rPr>
        <w:t xml:space="preserve">, 27(1), pp. 45–63. Available at: </w:t>
      </w:r>
      <w:hyperlink r:id="rId18" w:history="1">
        <w:r w:rsidRPr="00491572">
          <w:rPr>
            <w:rStyle w:val="Hyperlink"/>
            <w:lang w:val="en-GB"/>
          </w:rPr>
          <w:t>https://doi.org/10.1016/j.jom.2008.03.004</w:t>
        </w:r>
      </w:hyperlink>
      <w:r w:rsidRPr="00491572">
        <w:rPr>
          <w:lang w:val="en-GB"/>
        </w:rPr>
        <w:t xml:space="preserve"> (Accessed: 20 August 2026).</w:t>
      </w:r>
    </w:p>
    <w:p w14:paraId="02B4E697" w14:textId="77777777" w:rsidR="001209FB" w:rsidRPr="00491572" w:rsidRDefault="001209FB" w:rsidP="001209FB">
      <w:pPr>
        <w:ind w:left="720" w:hanging="720"/>
        <w:jc w:val="left"/>
        <w:rPr>
          <w:lang w:val="en-GB"/>
        </w:rPr>
      </w:pPr>
      <w:r w:rsidRPr="00491572">
        <w:rPr>
          <w:lang w:val="en-GB"/>
        </w:rPr>
        <w:t xml:space="preserve">Scharpff, J., Schraven, D., Volker, L., Spaan, M.T.J. and de Weerdt, M.M. (2021) ‘Can multiple contractors self-regulate their joint service delivery? A serious gaming experiment on road maintenance planning’, </w:t>
      </w:r>
      <w:r w:rsidRPr="00491572">
        <w:rPr>
          <w:i/>
          <w:iCs/>
          <w:lang w:val="en-GB"/>
        </w:rPr>
        <w:t>Construction Management and Economics</w:t>
      </w:r>
      <w:r w:rsidRPr="00491572">
        <w:rPr>
          <w:lang w:val="en-GB"/>
        </w:rPr>
        <w:t xml:space="preserve">, 39(2), pp. 99–116. Available at: </w:t>
      </w:r>
      <w:hyperlink r:id="rId19" w:history="1">
        <w:r w:rsidRPr="00491572">
          <w:rPr>
            <w:rStyle w:val="Hyperlink"/>
            <w:lang w:val="en-GB"/>
          </w:rPr>
          <w:t>https://doi.org/10.1080/01446193.2020.1806336</w:t>
        </w:r>
      </w:hyperlink>
      <w:r w:rsidRPr="00491572">
        <w:rPr>
          <w:lang w:val="en-GB"/>
        </w:rPr>
        <w:t xml:space="preserve"> (Accessed: 20 August 2026).</w:t>
      </w:r>
    </w:p>
    <w:sectPr w:rsidR="001209FB" w:rsidRPr="00491572">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DEC09" w14:textId="77777777" w:rsidR="00D13C87" w:rsidRDefault="00D13C87" w:rsidP="001209FB">
      <w:pPr>
        <w:spacing w:after="0" w:line="240" w:lineRule="auto"/>
      </w:pPr>
      <w:r>
        <w:separator/>
      </w:r>
    </w:p>
  </w:endnote>
  <w:endnote w:type="continuationSeparator" w:id="0">
    <w:p w14:paraId="3B6C78A3" w14:textId="77777777" w:rsidR="00D13C87" w:rsidRDefault="00D13C87" w:rsidP="00120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2221164"/>
      <w:docPartObj>
        <w:docPartGallery w:val="Page Numbers (Bottom of Page)"/>
        <w:docPartUnique/>
      </w:docPartObj>
    </w:sdtPr>
    <w:sdtEndPr>
      <w:rPr>
        <w:noProof/>
      </w:rPr>
    </w:sdtEndPr>
    <w:sdtContent>
      <w:p w14:paraId="00961267" w14:textId="437A2728" w:rsidR="001209FB" w:rsidRDefault="001209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5027C6" w14:textId="77777777" w:rsidR="001209FB" w:rsidRDefault="001209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2A412" w14:textId="77777777" w:rsidR="00D13C87" w:rsidRDefault="00D13C87" w:rsidP="001209FB">
      <w:pPr>
        <w:spacing w:after="0" w:line="240" w:lineRule="auto"/>
      </w:pPr>
      <w:r>
        <w:separator/>
      </w:r>
    </w:p>
  </w:footnote>
  <w:footnote w:type="continuationSeparator" w:id="0">
    <w:p w14:paraId="4165381F" w14:textId="77777777" w:rsidR="00D13C87" w:rsidRDefault="00D13C87" w:rsidP="001209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14494"/>
    <w:multiLevelType w:val="multilevel"/>
    <w:tmpl w:val="596CF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AD5172"/>
    <w:multiLevelType w:val="hybridMultilevel"/>
    <w:tmpl w:val="4B320E40"/>
    <w:lvl w:ilvl="0" w:tplc="0F242E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6216622">
    <w:abstractNumId w:val="1"/>
  </w:num>
  <w:num w:numId="2" w16cid:durableId="798256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C44"/>
    <w:rsid w:val="00021DDB"/>
    <w:rsid w:val="000407FD"/>
    <w:rsid w:val="001209FB"/>
    <w:rsid w:val="00162559"/>
    <w:rsid w:val="00180F4A"/>
    <w:rsid w:val="00193CA5"/>
    <w:rsid w:val="001A2B2A"/>
    <w:rsid w:val="001E1EC7"/>
    <w:rsid w:val="001E3BE1"/>
    <w:rsid w:val="002679EC"/>
    <w:rsid w:val="00364454"/>
    <w:rsid w:val="00463C22"/>
    <w:rsid w:val="00491572"/>
    <w:rsid w:val="00593F5C"/>
    <w:rsid w:val="006052FB"/>
    <w:rsid w:val="00674C44"/>
    <w:rsid w:val="006848CD"/>
    <w:rsid w:val="007178F4"/>
    <w:rsid w:val="00802107"/>
    <w:rsid w:val="008474BF"/>
    <w:rsid w:val="00855389"/>
    <w:rsid w:val="008A7BC3"/>
    <w:rsid w:val="008E27EC"/>
    <w:rsid w:val="009E5D84"/>
    <w:rsid w:val="00B30D25"/>
    <w:rsid w:val="00BB01A5"/>
    <w:rsid w:val="00CF7753"/>
    <w:rsid w:val="00D13C87"/>
    <w:rsid w:val="00E07036"/>
    <w:rsid w:val="00E52E4E"/>
    <w:rsid w:val="00F108BB"/>
    <w:rsid w:val="00F16AE4"/>
    <w:rsid w:val="00F55351"/>
    <w:rsid w:val="00FD71C2"/>
    <w:rsid w:val="00FF3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7F1B3"/>
  <w15:chartTrackingRefBased/>
  <w15:docId w15:val="{14F6A52A-7922-4C12-99C0-17A3A8A57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389"/>
    <w:pPr>
      <w:spacing w:after="80"/>
    </w:pPr>
    <w:rPr>
      <w:rFonts w:ascii="Arial" w:hAnsi="Arial"/>
      <w:sz w:val="24"/>
      <w:lang w:val="en-US"/>
    </w:rPr>
  </w:style>
  <w:style w:type="paragraph" w:styleId="Heading1">
    <w:name w:val="heading 1"/>
    <w:basedOn w:val="Normal"/>
    <w:next w:val="Normal"/>
    <w:link w:val="Heading1Char"/>
    <w:autoRedefine/>
    <w:uiPriority w:val="9"/>
    <w:qFormat/>
    <w:rsid w:val="001E1EC7"/>
    <w:pPr>
      <w:keepNext/>
      <w:keepLines/>
      <w:spacing w:before="480" w:after="0"/>
      <w:outlineLvl w:val="0"/>
    </w:pPr>
    <w:rPr>
      <w:rFonts w:eastAsiaTheme="majorEastAsia" w:cstheme="majorBidi"/>
      <w:b/>
      <w:bCs/>
      <w:szCs w:val="28"/>
      <w:lang w:val="en-GB"/>
    </w:rPr>
  </w:style>
  <w:style w:type="paragraph" w:styleId="Heading2">
    <w:name w:val="heading 2"/>
    <w:basedOn w:val="Normal"/>
    <w:next w:val="Normal"/>
    <w:link w:val="Heading2Char"/>
    <w:autoRedefine/>
    <w:uiPriority w:val="9"/>
    <w:unhideWhenUsed/>
    <w:qFormat/>
    <w:rsid w:val="006848CD"/>
    <w:pPr>
      <w:keepNext/>
      <w:keepLines/>
      <w:spacing w:before="160"/>
      <w:outlineLvl w:val="1"/>
    </w:pPr>
    <w:rPr>
      <w:rFonts w:eastAsiaTheme="majorEastAsia" w:cstheme="majorBidi"/>
      <w:bCs/>
      <w:szCs w:val="32"/>
      <w:lang w:val="en-GB"/>
    </w:rPr>
  </w:style>
  <w:style w:type="paragraph" w:styleId="Heading3">
    <w:name w:val="heading 3"/>
    <w:basedOn w:val="Normal"/>
    <w:next w:val="Normal"/>
    <w:link w:val="Heading3Char"/>
    <w:autoRedefine/>
    <w:uiPriority w:val="9"/>
    <w:unhideWhenUsed/>
    <w:qFormat/>
    <w:rsid w:val="00193CA5"/>
    <w:pPr>
      <w:keepNext/>
      <w:keepLines/>
      <w:spacing w:before="160"/>
      <w:outlineLvl w:val="2"/>
    </w:pPr>
    <w:rPr>
      <w:rFonts w:eastAsiaTheme="majorEastAsia" w:cstheme="majorBidi"/>
      <w:szCs w:val="28"/>
    </w:rPr>
  </w:style>
  <w:style w:type="paragraph" w:styleId="Heading4">
    <w:name w:val="heading 4"/>
    <w:basedOn w:val="Normal"/>
    <w:next w:val="Normal"/>
    <w:link w:val="Heading4Char"/>
    <w:uiPriority w:val="9"/>
    <w:semiHidden/>
    <w:unhideWhenUsed/>
    <w:qFormat/>
    <w:rsid w:val="00674C4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74C4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74C4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74C4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74C4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74C4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93CA5"/>
    <w:rPr>
      <w:rFonts w:ascii="Arial" w:eastAsiaTheme="majorEastAsia" w:hAnsi="Arial" w:cstheme="majorBidi"/>
      <w:sz w:val="24"/>
      <w:szCs w:val="28"/>
    </w:rPr>
  </w:style>
  <w:style w:type="character" w:customStyle="1" w:styleId="Heading1Char">
    <w:name w:val="Heading 1 Char"/>
    <w:basedOn w:val="DefaultParagraphFont"/>
    <w:link w:val="Heading1"/>
    <w:uiPriority w:val="9"/>
    <w:rsid w:val="001E1EC7"/>
    <w:rPr>
      <w:rFonts w:ascii="Arial" w:eastAsiaTheme="majorEastAsia" w:hAnsi="Arial" w:cstheme="majorBidi"/>
      <w:b/>
      <w:bCs/>
      <w:sz w:val="24"/>
      <w:szCs w:val="28"/>
    </w:rPr>
  </w:style>
  <w:style w:type="character" w:customStyle="1" w:styleId="Heading2Char">
    <w:name w:val="Heading 2 Char"/>
    <w:basedOn w:val="DefaultParagraphFont"/>
    <w:link w:val="Heading2"/>
    <w:uiPriority w:val="9"/>
    <w:rsid w:val="006848CD"/>
    <w:rPr>
      <w:rFonts w:ascii="Arial" w:eastAsiaTheme="majorEastAsia" w:hAnsi="Arial" w:cstheme="majorBidi"/>
      <w:bCs/>
      <w:sz w:val="24"/>
      <w:szCs w:val="32"/>
    </w:rPr>
  </w:style>
  <w:style w:type="character" w:customStyle="1" w:styleId="Heading4Char">
    <w:name w:val="Heading 4 Char"/>
    <w:basedOn w:val="DefaultParagraphFont"/>
    <w:link w:val="Heading4"/>
    <w:uiPriority w:val="9"/>
    <w:semiHidden/>
    <w:rsid w:val="00674C44"/>
    <w:rPr>
      <w:rFonts w:eastAsiaTheme="majorEastAsia" w:cstheme="majorBidi"/>
      <w:i/>
      <w:iCs/>
      <w:color w:val="0F4761" w:themeColor="accent1" w:themeShade="BF"/>
      <w:sz w:val="24"/>
      <w:lang w:val="en-US"/>
    </w:rPr>
  </w:style>
  <w:style w:type="character" w:customStyle="1" w:styleId="Heading5Char">
    <w:name w:val="Heading 5 Char"/>
    <w:basedOn w:val="DefaultParagraphFont"/>
    <w:link w:val="Heading5"/>
    <w:uiPriority w:val="9"/>
    <w:semiHidden/>
    <w:rsid w:val="00674C44"/>
    <w:rPr>
      <w:rFonts w:eastAsiaTheme="majorEastAsia" w:cstheme="majorBidi"/>
      <w:color w:val="0F4761" w:themeColor="accent1" w:themeShade="BF"/>
      <w:sz w:val="24"/>
      <w:lang w:val="en-US"/>
    </w:rPr>
  </w:style>
  <w:style w:type="character" w:customStyle="1" w:styleId="Heading6Char">
    <w:name w:val="Heading 6 Char"/>
    <w:basedOn w:val="DefaultParagraphFont"/>
    <w:link w:val="Heading6"/>
    <w:uiPriority w:val="9"/>
    <w:semiHidden/>
    <w:rsid w:val="00674C44"/>
    <w:rPr>
      <w:rFonts w:eastAsiaTheme="majorEastAsia" w:cstheme="majorBidi"/>
      <w:i/>
      <w:iCs/>
      <w:color w:val="595959" w:themeColor="text1" w:themeTint="A6"/>
      <w:sz w:val="24"/>
      <w:lang w:val="en-US"/>
    </w:rPr>
  </w:style>
  <w:style w:type="character" w:customStyle="1" w:styleId="Heading7Char">
    <w:name w:val="Heading 7 Char"/>
    <w:basedOn w:val="DefaultParagraphFont"/>
    <w:link w:val="Heading7"/>
    <w:uiPriority w:val="9"/>
    <w:semiHidden/>
    <w:rsid w:val="00674C44"/>
    <w:rPr>
      <w:rFonts w:eastAsiaTheme="majorEastAsia" w:cstheme="majorBidi"/>
      <w:color w:val="595959" w:themeColor="text1" w:themeTint="A6"/>
      <w:sz w:val="24"/>
      <w:lang w:val="en-US"/>
    </w:rPr>
  </w:style>
  <w:style w:type="character" w:customStyle="1" w:styleId="Heading8Char">
    <w:name w:val="Heading 8 Char"/>
    <w:basedOn w:val="DefaultParagraphFont"/>
    <w:link w:val="Heading8"/>
    <w:uiPriority w:val="9"/>
    <w:semiHidden/>
    <w:rsid w:val="00674C44"/>
    <w:rPr>
      <w:rFonts w:eastAsiaTheme="majorEastAsia" w:cstheme="majorBidi"/>
      <w:i/>
      <w:iCs/>
      <w:color w:val="272727" w:themeColor="text1" w:themeTint="D8"/>
      <w:sz w:val="24"/>
      <w:lang w:val="en-US"/>
    </w:rPr>
  </w:style>
  <w:style w:type="character" w:customStyle="1" w:styleId="Heading9Char">
    <w:name w:val="Heading 9 Char"/>
    <w:basedOn w:val="DefaultParagraphFont"/>
    <w:link w:val="Heading9"/>
    <w:uiPriority w:val="9"/>
    <w:semiHidden/>
    <w:rsid w:val="00674C44"/>
    <w:rPr>
      <w:rFonts w:eastAsiaTheme="majorEastAsia" w:cstheme="majorBidi"/>
      <w:color w:val="272727" w:themeColor="text1" w:themeTint="D8"/>
      <w:sz w:val="24"/>
      <w:lang w:val="en-US"/>
    </w:rPr>
  </w:style>
  <w:style w:type="paragraph" w:styleId="Title">
    <w:name w:val="Title"/>
    <w:basedOn w:val="Normal"/>
    <w:next w:val="Normal"/>
    <w:link w:val="TitleChar"/>
    <w:uiPriority w:val="10"/>
    <w:qFormat/>
    <w:rsid w:val="00674C44"/>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4C44"/>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674C4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4C44"/>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674C4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74C44"/>
    <w:rPr>
      <w:rFonts w:ascii="Arial" w:hAnsi="Arial"/>
      <w:i/>
      <w:iCs/>
      <w:color w:val="404040" w:themeColor="text1" w:themeTint="BF"/>
      <w:sz w:val="24"/>
      <w:lang w:val="en-US"/>
    </w:rPr>
  </w:style>
  <w:style w:type="paragraph" w:styleId="ListParagraph">
    <w:name w:val="List Paragraph"/>
    <w:basedOn w:val="Normal"/>
    <w:uiPriority w:val="34"/>
    <w:qFormat/>
    <w:rsid w:val="00674C44"/>
    <w:pPr>
      <w:ind w:left="720"/>
      <w:contextualSpacing/>
    </w:pPr>
  </w:style>
  <w:style w:type="character" w:styleId="IntenseEmphasis">
    <w:name w:val="Intense Emphasis"/>
    <w:basedOn w:val="DefaultParagraphFont"/>
    <w:uiPriority w:val="21"/>
    <w:qFormat/>
    <w:rsid w:val="00674C44"/>
    <w:rPr>
      <w:i/>
      <w:iCs/>
      <w:color w:val="0F4761" w:themeColor="accent1" w:themeShade="BF"/>
    </w:rPr>
  </w:style>
  <w:style w:type="paragraph" w:styleId="IntenseQuote">
    <w:name w:val="Intense Quote"/>
    <w:basedOn w:val="Normal"/>
    <w:next w:val="Normal"/>
    <w:link w:val="IntenseQuoteChar"/>
    <w:uiPriority w:val="30"/>
    <w:qFormat/>
    <w:rsid w:val="00674C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4C44"/>
    <w:rPr>
      <w:rFonts w:ascii="Arial" w:hAnsi="Arial"/>
      <w:i/>
      <w:iCs/>
      <w:color w:val="0F4761" w:themeColor="accent1" w:themeShade="BF"/>
      <w:sz w:val="24"/>
      <w:lang w:val="en-US"/>
    </w:rPr>
  </w:style>
  <w:style w:type="character" w:styleId="IntenseReference">
    <w:name w:val="Intense Reference"/>
    <w:basedOn w:val="DefaultParagraphFont"/>
    <w:uiPriority w:val="32"/>
    <w:qFormat/>
    <w:rsid w:val="00674C44"/>
    <w:rPr>
      <w:b/>
      <w:bCs/>
      <w:smallCaps/>
      <w:color w:val="0F4761" w:themeColor="accent1" w:themeShade="BF"/>
      <w:spacing w:val="5"/>
    </w:rPr>
  </w:style>
  <w:style w:type="character" w:styleId="Hyperlink">
    <w:name w:val="Hyperlink"/>
    <w:basedOn w:val="DefaultParagraphFont"/>
    <w:uiPriority w:val="99"/>
    <w:unhideWhenUsed/>
    <w:rsid w:val="00491572"/>
    <w:rPr>
      <w:color w:val="467886" w:themeColor="hyperlink"/>
      <w:u w:val="single"/>
    </w:rPr>
  </w:style>
  <w:style w:type="character" w:styleId="UnresolvedMention">
    <w:name w:val="Unresolved Mention"/>
    <w:basedOn w:val="DefaultParagraphFont"/>
    <w:uiPriority w:val="99"/>
    <w:semiHidden/>
    <w:unhideWhenUsed/>
    <w:rsid w:val="00491572"/>
    <w:rPr>
      <w:color w:val="605E5C"/>
      <w:shd w:val="clear" w:color="auto" w:fill="E1DFDD"/>
    </w:rPr>
  </w:style>
  <w:style w:type="paragraph" w:styleId="Header">
    <w:name w:val="header"/>
    <w:basedOn w:val="Normal"/>
    <w:link w:val="HeaderChar"/>
    <w:uiPriority w:val="99"/>
    <w:unhideWhenUsed/>
    <w:rsid w:val="001209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09FB"/>
    <w:rPr>
      <w:rFonts w:ascii="Arial" w:hAnsi="Arial"/>
      <w:sz w:val="24"/>
      <w:lang w:val="en-US"/>
    </w:rPr>
  </w:style>
  <w:style w:type="paragraph" w:styleId="Footer">
    <w:name w:val="footer"/>
    <w:basedOn w:val="Normal"/>
    <w:link w:val="FooterChar"/>
    <w:uiPriority w:val="99"/>
    <w:unhideWhenUsed/>
    <w:rsid w:val="001209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09FB"/>
    <w:rPr>
      <w:rFonts w:ascii="Arial" w:hAnsi="Arial"/>
      <w:sz w:val="24"/>
      <w:lang w:val="en-US"/>
    </w:rPr>
  </w:style>
  <w:style w:type="paragraph" w:styleId="TOCHeading">
    <w:name w:val="TOC Heading"/>
    <w:basedOn w:val="Heading1"/>
    <w:next w:val="Normal"/>
    <w:uiPriority w:val="39"/>
    <w:unhideWhenUsed/>
    <w:qFormat/>
    <w:rsid w:val="001209FB"/>
    <w:pPr>
      <w:spacing w:before="240" w:line="259" w:lineRule="auto"/>
      <w:jc w:val="left"/>
      <w:outlineLvl w:val="9"/>
    </w:pPr>
    <w:rPr>
      <w:rFonts w:asciiTheme="majorHAnsi" w:hAnsiTheme="majorHAnsi"/>
      <w:b w:val="0"/>
      <w:bCs w:val="0"/>
      <w:color w:val="0F4761" w:themeColor="accent1" w:themeShade="BF"/>
      <w:sz w:val="32"/>
      <w:szCs w:val="32"/>
      <w:lang w:val="en-US"/>
    </w:rPr>
  </w:style>
  <w:style w:type="paragraph" w:styleId="TOC1">
    <w:name w:val="toc 1"/>
    <w:basedOn w:val="Normal"/>
    <w:next w:val="Normal"/>
    <w:autoRedefine/>
    <w:uiPriority w:val="39"/>
    <w:unhideWhenUsed/>
    <w:rsid w:val="001209FB"/>
    <w:pPr>
      <w:spacing w:after="100"/>
    </w:pPr>
  </w:style>
  <w:style w:type="paragraph" w:styleId="TOC2">
    <w:name w:val="toc 2"/>
    <w:basedOn w:val="Normal"/>
    <w:next w:val="Normal"/>
    <w:autoRedefine/>
    <w:uiPriority w:val="39"/>
    <w:unhideWhenUsed/>
    <w:rsid w:val="001209F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pm.org.uk/resources/what-is-project-management/what-is-managing-contracts-in-project-management/" TargetMode="External"/><Relationship Id="rId18" Type="http://schemas.openxmlformats.org/officeDocument/2006/relationships/hyperlink" Target="https://doi.org/10.1016/j.jom.2008.03.00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3390/buildings13020571" TargetMode="External"/><Relationship Id="rId17" Type="http://schemas.openxmlformats.org/officeDocument/2006/relationships/hyperlink" Target="https://doi.org/10.1016/j.jbusres.2025.115618" TargetMode="External"/><Relationship Id="rId2" Type="http://schemas.openxmlformats.org/officeDocument/2006/relationships/numbering" Target="numbering.xml"/><Relationship Id="rId16" Type="http://schemas.openxmlformats.org/officeDocument/2006/relationships/hyperlink" Target="https://www.gov.uk/vehicle-approval/accessibility-certificate-tes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5623599.2023.2179609" TargetMode="External"/><Relationship Id="rId5" Type="http://schemas.openxmlformats.org/officeDocument/2006/relationships/webSettings" Target="webSettings.xml"/><Relationship Id="rId15" Type="http://schemas.openxmlformats.org/officeDocument/2006/relationships/hyperlink" Target="https://doi.org/10.1016/j.heliyon.2024.e39201" TargetMode="External"/><Relationship Id="rId10" Type="http://schemas.openxmlformats.org/officeDocument/2006/relationships/hyperlink" Target="https://doi.org/10.3390/buildings11010011" TargetMode="External"/><Relationship Id="rId19" Type="http://schemas.openxmlformats.org/officeDocument/2006/relationships/hyperlink" Target="https://doi.org/10.1080/01446193.2020.1806336" TargetMode="External"/><Relationship Id="rId4" Type="http://schemas.openxmlformats.org/officeDocument/2006/relationships/settings" Target="settings.xml"/><Relationship Id="rId9" Type="http://schemas.openxmlformats.org/officeDocument/2006/relationships/hyperlink" Target="https://doi.org/10.1080/01446193.2024.2371153" TargetMode="External"/><Relationship Id="rId14" Type="http://schemas.openxmlformats.org/officeDocument/2006/relationships/hyperlink" Target="https://www.gov.uk/government/publications/government-functional-standard-govs-008-commercial-and-commercial-continuous-improvement-assessment-framework/government-functional-standard-govs-008-commercial-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5391351-195E-49D1-B1A8-7367D7E85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3000</Words>
  <Characters>17103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Antal-Berbecaru (2242917)</dc:creator>
  <cp:keywords/>
  <dc:description/>
  <cp:lastModifiedBy>Carmen Antal-Berbecaru (2242917)</cp:lastModifiedBy>
  <cp:revision>6</cp:revision>
  <dcterms:created xsi:type="dcterms:W3CDTF">2026-08-20T17:06:00Z</dcterms:created>
  <dcterms:modified xsi:type="dcterms:W3CDTF">2026-08-20T17:47:00Z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278c33e9-524f-4d3c-bd46-427eac86f4aa</vt:lpwstr>
  </property>
</Properties>
</file>