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DD53B" w14:textId="5B4B9BCD" w:rsidR="007862B5" w:rsidRDefault="008E472F" w:rsidP="008E472F">
      <w:pPr>
        <w:pStyle w:val="NormalWeb"/>
        <w:spacing w:after="120" w:line="360" w:lineRule="auto"/>
        <w:rPr>
          <w:rFonts w:eastAsia="Times New Roman"/>
          <w:b/>
          <w:bCs/>
          <w:sz w:val="32"/>
          <w:szCs w:val="32"/>
          <w:lang w:eastAsia="en-GB"/>
        </w:rPr>
      </w:pPr>
      <w:r>
        <w:rPr>
          <w:noProof/>
        </w:rPr>
        <w:drawing>
          <wp:inline distT="0" distB="0" distL="0" distR="0" wp14:anchorId="7EA4DFA9" wp14:editId="16254E95">
            <wp:extent cx="2980055" cy="1188085"/>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3B850DA1" w14:textId="77777777" w:rsidR="009678D4" w:rsidRPr="00E61ECF" w:rsidRDefault="009678D4" w:rsidP="008E472F">
      <w:pPr>
        <w:pStyle w:val="NormalWeb"/>
        <w:spacing w:after="120" w:line="360" w:lineRule="auto"/>
        <w:rPr>
          <w:rFonts w:eastAsia="Times New Roman"/>
          <w:b/>
          <w:bCs/>
          <w:sz w:val="32"/>
          <w:szCs w:val="32"/>
          <w:lang w:eastAsia="en-GB"/>
        </w:rPr>
      </w:pPr>
    </w:p>
    <w:p w14:paraId="5C9F2D8A"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b/>
          <w:sz w:val="32"/>
          <w:lang w:val="en-US"/>
        </w:rPr>
        <w:t>Gaps and Challenges in Arabic Language Teaching in the UK Post-16 Sector:</w:t>
      </w:r>
    </w:p>
    <w:p w14:paraId="61A2E5EA"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b/>
          <w:sz w:val="32"/>
          <w:lang w:val="en-US"/>
        </w:rPr>
        <w:t>Evidence from Wales and UWTSD</w:t>
      </w:r>
    </w:p>
    <w:p w14:paraId="415B3998" w14:textId="77777777" w:rsidR="009678D4" w:rsidRPr="009678D4" w:rsidRDefault="009678D4" w:rsidP="009678D4">
      <w:pPr>
        <w:rPr>
          <w:rFonts w:ascii="Times New Roman" w:eastAsia="MS Mincho" w:hAnsi="Times New Roman" w:cs="Times New Roman"/>
          <w:sz w:val="24"/>
          <w:lang w:val="en-US"/>
        </w:rPr>
      </w:pPr>
    </w:p>
    <w:p w14:paraId="63BD5229" w14:textId="77777777" w:rsidR="009678D4" w:rsidRPr="009678D4" w:rsidRDefault="009678D4" w:rsidP="009678D4">
      <w:pPr>
        <w:rPr>
          <w:rFonts w:ascii="Times New Roman" w:eastAsia="MS Mincho" w:hAnsi="Times New Roman" w:cs="Times New Roman"/>
          <w:sz w:val="24"/>
          <w:lang w:val="en-US"/>
        </w:rPr>
      </w:pPr>
    </w:p>
    <w:p w14:paraId="7105D5D8" w14:textId="77777777" w:rsidR="009678D4" w:rsidRPr="009678D4" w:rsidRDefault="009678D4" w:rsidP="009678D4">
      <w:pPr>
        <w:rPr>
          <w:rFonts w:ascii="Times New Roman" w:eastAsia="MS Mincho" w:hAnsi="Times New Roman" w:cs="Times New Roman"/>
          <w:sz w:val="24"/>
          <w:lang w:val="en-US"/>
        </w:rPr>
      </w:pPr>
    </w:p>
    <w:p w14:paraId="07E9AF57"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b/>
          <w:sz w:val="24"/>
          <w:lang w:val="en-US"/>
        </w:rPr>
        <w:t>Elsayed Elhoshi</w:t>
      </w:r>
    </w:p>
    <w:p w14:paraId="2AF8576D"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sz w:val="24"/>
          <w:lang w:val="en-US"/>
        </w:rPr>
        <w:t>Student Number: 2420482</w:t>
      </w:r>
    </w:p>
    <w:p w14:paraId="143EBAA1" w14:textId="77777777" w:rsidR="009678D4" w:rsidRPr="009678D4" w:rsidRDefault="009678D4" w:rsidP="009678D4">
      <w:pPr>
        <w:rPr>
          <w:rFonts w:ascii="Times New Roman" w:eastAsia="MS Mincho" w:hAnsi="Times New Roman" w:cs="Times New Roman"/>
          <w:sz w:val="24"/>
          <w:lang w:val="en-US"/>
        </w:rPr>
      </w:pPr>
    </w:p>
    <w:p w14:paraId="458A77A6" w14:textId="77777777" w:rsidR="009678D4" w:rsidRPr="009678D4" w:rsidRDefault="009678D4" w:rsidP="009678D4">
      <w:pPr>
        <w:rPr>
          <w:rFonts w:ascii="Times New Roman" w:eastAsia="MS Mincho" w:hAnsi="Times New Roman" w:cs="Times New Roman"/>
          <w:sz w:val="24"/>
          <w:lang w:val="en-US"/>
        </w:rPr>
      </w:pPr>
    </w:p>
    <w:p w14:paraId="6C1CE7E1"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sz w:val="24"/>
          <w:lang w:val="en-US"/>
        </w:rPr>
        <w:t>Module Code: ECPT6009</w:t>
      </w:r>
    </w:p>
    <w:p w14:paraId="2BF89501"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sz w:val="24"/>
          <w:lang w:val="en-US"/>
        </w:rPr>
        <w:t>Module Title: Action Research Project</w:t>
      </w:r>
    </w:p>
    <w:p w14:paraId="7A792159" w14:textId="77777777" w:rsidR="009678D4" w:rsidRPr="009678D4" w:rsidRDefault="009678D4" w:rsidP="009678D4">
      <w:pPr>
        <w:rPr>
          <w:rFonts w:ascii="Times New Roman" w:eastAsia="MS Mincho" w:hAnsi="Times New Roman" w:cs="Times New Roman"/>
          <w:sz w:val="24"/>
          <w:lang w:val="en-US"/>
        </w:rPr>
      </w:pPr>
    </w:p>
    <w:p w14:paraId="1401594F"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sz w:val="24"/>
          <w:lang w:val="en-US"/>
        </w:rPr>
        <w:t>Assessment: A1 Research Project</w:t>
      </w:r>
    </w:p>
    <w:p w14:paraId="12CBD67D" w14:textId="77777777" w:rsidR="009678D4" w:rsidRPr="009678D4" w:rsidRDefault="009678D4" w:rsidP="009678D4">
      <w:pPr>
        <w:rPr>
          <w:rFonts w:ascii="Times New Roman" w:eastAsia="MS Mincho" w:hAnsi="Times New Roman" w:cs="Times New Roman"/>
          <w:sz w:val="24"/>
          <w:lang w:val="en-US"/>
        </w:rPr>
      </w:pPr>
    </w:p>
    <w:p w14:paraId="30F02206" w14:textId="77777777" w:rsidR="009678D4" w:rsidRPr="009678D4" w:rsidRDefault="009678D4" w:rsidP="009678D4">
      <w:pPr>
        <w:rPr>
          <w:rFonts w:ascii="Times New Roman" w:eastAsia="MS Mincho" w:hAnsi="Times New Roman" w:cs="Times New Roman"/>
          <w:sz w:val="24"/>
          <w:lang w:val="en-US"/>
        </w:rPr>
      </w:pPr>
    </w:p>
    <w:p w14:paraId="075604E5" w14:textId="77777777" w:rsidR="009678D4" w:rsidRPr="009678D4" w:rsidRDefault="009678D4" w:rsidP="009678D4">
      <w:pPr>
        <w:jc w:val="center"/>
        <w:rPr>
          <w:rFonts w:ascii="Times New Roman" w:eastAsia="MS Mincho" w:hAnsi="Times New Roman" w:cs="Times New Roman"/>
          <w:sz w:val="24"/>
          <w:lang w:val="en-US"/>
        </w:rPr>
      </w:pPr>
      <w:r w:rsidRPr="009678D4">
        <w:rPr>
          <w:rFonts w:ascii="Times New Roman" w:eastAsia="MS Mincho" w:hAnsi="Times New Roman" w:cs="Times New Roman"/>
          <w:sz w:val="24"/>
          <w:lang w:val="en-US"/>
        </w:rPr>
        <w:t>Academic Year: 2025/2026</w:t>
      </w:r>
    </w:p>
    <w:p w14:paraId="073BC267" w14:textId="77777777" w:rsidR="007862B5" w:rsidRPr="00E61ECF" w:rsidRDefault="007862B5" w:rsidP="009678D4">
      <w:pPr>
        <w:pStyle w:val="NormalWeb"/>
        <w:spacing w:after="120" w:line="360" w:lineRule="auto"/>
        <w:jc w:val="center"/>
        <w:rPr>
          <w:rFonts w:eastAsia="Times New Roman"/>
          <w:b/>
          <w:bCs/>
          <w:sz w:val="32"/>
          <w:szCs w:val="32"/>
          <w:lang w:eastAsia="en-GB"/>
        </w:rPr>
      </w:pPr>
    </w:p>
    <w:p w14:paraId="2C6EA95F" w14:textId="77777777" w:rsidR="00A24C67" w:rsidRPr="00E61ECF" w:rsidRDefault="00A24C67" w:rsidP="009565BA">
      <w:pPr>
        <w:pStyle w:val="NormalWeb"/>
        <w:spacing w:after="120" w:line="360" w:lineRule="auto"/>
        <w:jc w:val="both"/>
        <w:rPr>
          <w:rFonts w:eastAsia="Times New Roman"/>
          <w:b/>
          <w:bCs/>
          <w:sz w:val="28"/>
          <w:szCs w:val="28"/>
          <w:lang w:eastAsia="en-GB"/>
        </w:rPr>
      </w:pPr>
    </w:p>
    <w:p w14:paraId="7C782F52" w14:textId="77777777" w:rsidR="00A24C67" w:rsidRPr="00E61ECF" w:rsidRDefault="00A24C67" w:rsidP="009565BA">
      <w:pPr>
        <w:pStyle w:val="NormalWeb"/>
        <w:spacing w:after="120" w:line="360" w:lineRule="auto"/>
        <w:jc w:val="both"/>
        <w:rPr>
          <w:rFonts w:eastAsia="Times New Roman"/>
          <w:b/>
          <w:bCs/>
          <w:sz w:val="28"/>
          <w:szCs w:val="28"/>
          <w:lang w:eastAsia="en-GB"/>
        </w:rPr>
      </w:pPr>
    </w:p>
    <w:p w14:paraId="02F30039" w14:textId="376F8334" w:rsidR="00A24C67" w:rsidRPr="002862C9" w:rsidRDefault="00A24C67" w:rsidP="00BA5DDC">
      <w:pPr>
        <w:spacing w:before="100" w:beforeAutospacing="1" w:after="120" w:afterAutospacing="1" w:line="360" w:lineRule="auto"/>
        <w:jc w:val="both"/>
        <w:rPr>
          <w:rFonts w:ascii="Times New Roman" w:eastAsia="Times New Roman" w:hAnsi="Times New Roman" w:cs="Times New Roman"/>
          <w:sz w:val="28"/>
          <w:szCs w:val="28"/>
          <w:lang w:eastAsia="en-GB"/>
        </w:rPr>
      </w:pPr>
      <w:r w:rsidRPr="002862C9">
        <w:rPr>
          <w:rFonts w:ascii="Times New Roman" w:eastAsia="Times New Roman" w:hAnsi="Times New Roman" w:cs="Times New Roman"/>
          <w:b/>
          <w:bCs/>
          <w:sz w:val="28"/>
          <w:szCs w:val="28"/>
          <w:lang w:eastAsia="en-GB"/>
        </w:rPr>
        <w:lastRenderedPageBreak/>
        <w:t>Table of Contents</w:t>
      </w:r>
    </w:p>
    <w:p w14:paraId="780FDB35" w14:textId="2D2B5836" w:rsidR="00A24C67" w:rsidRPr="00E61ECF" w:rsidRDefault="00A24C67" w:rsidP="00BA5DD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b/>
          <w:bCs/>
          <w:sz w:val="24"/>
          <w:szCs w:val="24"/>
          <w:lang w:eastAsia="en-GB"/>
        </w:rPr>
        <w:t>1. Introduction</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w:t>
      </w:r>
      <w:r w:rsidR="005601DD" w:rsidRPr="00E61ECF">
        <w:rPr>
          <w:rFonts w:ascii="Times New Roman" w:eastAsia="Times New Roman" w:hAnsi="Times New Roman" w:cs="Times New Roman"/>
          <w:sz w:val="24"/>
          <w:szCs w:val="24"/>
          <w:lang w:eastAsia="en-GB"/>
        </w:rPr>
        <w:t>3</w:t>
      </w:r>
    </w:p>
    <w:p w14:paraId="4EC4FA07" w14:textId="54A1CD4D" w:rsidR="00A24C67" w:rsidRPr="00E61ECF" w:rsidRDefault="00A24C67" w:rsidP="00ED5E68">
      <w:pPr>
        <w:spacing w:before="100" w:beforeAutospacing="1" w:after="120" w:afterAutospacing="1" w:line="360" w:lineRule="auto"/>
        <w:jc w:val="both"/>
        <w:rPr>
          <w:rFonts w:ascii="Times New Roman" w:eastAsia="Times New Roman" w:hAnsi="Times New Roman" w:cs="Times New Roman"/>
          <w:b/>
          <w:bCs/>
          <w:sz w:val="24"/>
          <w:szCs w:val="24"/>
          <w:lang w:eastAsia="en-GB"/>
        </w:rPr>
      </w:pPr>
      <w:r w:rsidRPr="00E61ECF">
        <w:rPr>
          <w:rFonts w:ascii="Times New Roman" w:eastAsia="Times New Roman" w:hAnsi="Times New Roman" w:cs="Times New Roman"/>
          <w:b/>
          <w:bCs/>
          <w:sz w:val="24"/>
          <w:szCs w:val="24"/>
          <w:lang w:eastAsia="en-GB"/>
        </w:rPr>
        <w:t>2. Literature Review</w:t>
      </w:r>
      <w:r w:rsidRPr="00E61ECF">
        <w:rPr>
          <w:rFonts w:ascii="Times New Roman" w:eastAsia="Times New Roman" w:hAnsi="Times New Roman" w:cs="Times New Roman"/>
          <w:sz w:val="24"/>
          <w:szCs w:val="24"/>
          <w:lang w:eastAsia="en-GB"/>
        </w:rPr>
        <w:t xml:space="preserve"> .................................................................................... 4</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2.1 Historical Development</w:t>
      </w:r>
      <w:r w:rsidR="00021CF1" w:rsidRPr="00E61ECF">
        <w:rPr>
          <w:rFonts w:ascii="Times New Roman" w:eastAsia="Times New Roman" w:hAnsi="Times New Roman" w:cs="Times New Roman"/>
          <w:sz w:val="24"/>
          <w:szCs w:val="24"/>
          <w:lang w:eastAsia="en-GB"/>
        </w:rPr>
        <w:t xml:space="preserve"> </w:t>
      </w:r>
      <w:r w:rsidR="00BD7DB9" w:rsidRPr="00E61ECF">
        <w:rPr>
          <w:rFonts w:ascii="Times New Roman" w:eastAsia="Times New Roman" w:hAnsi="Times New Roman" w:cs="Times New Roman"/>
          <w:sz w:val="24"/>
          <w:szCs w:val="24"/>
          <w:lang w:eastAsia="en-GB"/>
        </w:rPr>
        <w:t xml:space="preserve">and Current Position ………………………. </w:t>
      </w:r>
      <w:r w:rsidRPr="00E61ECF">
        <w:rPr>
          <w:rFonts w:ascii="Times New Roman" w:eastAsia="Times New Roman" w:hAnsi="Times New Roman" w:cs="Times New Roman"/>
          <w:sz w:val="24"/>
          <w:szCs w:val="24"/>
          <w:lang w:eastAsia="en-GB"/>
        </w:rPr>
        <w:t>4</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2.2 Curriculum Design and Pedagogical Approaches ...............................</w:t>
      </w:r>
      <w:r w:rsidR="005601DD" w:rsidRPr="00E61ECF">
        <w:rPr>
          <w:rFonts w:ascii="Times New Roman" w:eastAsia="Times New Roman" w:hAnsi="Times New Roman" w:cs="Times New Roman"/>
          <w:sz w:val="24"/>
          <w:szCs w:val="24"/>
          <w:lang w:eastAsia="en-GB"/>
        </w:rPr>
        <w:t xml:space="preserve"> 5</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2.3 Teacher Qualifications, Professional Development, and Identity .......</w:t>
      </w:r>
      <w:r w:rsidR="005601DD" w:rsidRPr="00E61ECF">
        <w:rPr>
          <w:rFonts w:ascii="Times New Roman" w:eastAsia="Times New Roman" w:hAnsi="Times New Roman" w:cs="Times New Roman"/>
          <w:sz w:val="24"/>
          <w:szCs w:val="24"/>
          <w:lang w:eastAsia="en-GB"/>
        </w:rPr>
        <w:t xml:space="preserve"> 6</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2.4 Resources, Materials Development, and Digital Learning ..................</w:t>
      </w:r>
      <w:r w:rsidR="005601DD" w:rsidRPr="00E61ECF">
        <w:rPr>
          <w:rFonts w:ascii="Times New Roman" w:eastAsia="Times New Roman" w:hAnsi="Times New Roman" w:cs="Times New Roman"/>
          <w:sz w:val="24"/>
          <w:szCs w:val="24"/>
          <w:lang w:eastAsia="en-GB"/>
        </w:rPr>
        <w:t xml:space="preserve"> 6</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2.5 The Welsh Context and UWTSD .........................................................</w:t>
      </w:r>
      <w:r w:rsidR="005601DD" w:rsidRPr="00E61ECF">
        <w:rPr>
          <w:rFonts w:ascii="Times New Roman" w:eastAsia="Times New Roman" w:hAnsi="Times New Roman" w:cs="Times New Roman"/>
          <w:sz w:val="24"/>
          <w:szCs w:val="24"/>
          <w:lang w:eastAsia="en-GB"/>
        </w:rPr>
        <w:t xml:space="preserve"> 7</w:t>
      </w:r>
      <w:r w:rsidRPr="00E61ECF">
        <w:rPr>
          <w:rFonts w:ascii="Times New Roman" w:eastAsia="Times New Roman" w:hAnsi="Times New Roman" w:cs="Times New Roman"/>
          <w:sz w:val="24"/>
          <w:szCs w:val="24"/>
          <w:lang w:eastAsia="en-GB"/>
        </w:rPr>
        <w:br/>
      </w:r>
      <w:r w:rsidRPr="00E61ECF">
        <w:rPr>
          <w:rFonts w:ascii="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2.6 Theoretical Framework ........................................................................</w:t>
      </w:r>
      <w:r w:rsidR="009F0098" w:rsidRPr="00E61ECF">
        <w:rPr>
          <w:rFonts w:ascii="Times New Roman" w:eastAsia="Times New Roman" w:hAnsi="Times New Roman" w:cs="Times New Roman"/>
          <w:sz w:val="24"/>
          <w:szCs w:val="24"/>
          <w:lang w:eastAsia="en-GB"/>
        </w:rPr>
        <w:t>..........................</w:t>
      </w:r>
      <w:r w:rsidR="00ED5E68" w:rsidRPr="00E61ECF">
        <w:rPr>
          <w:rFonts w:ascii="Times New Roman" w:eastAsia="Times New Roman" w:hAnsi="Times New Roman" w:cs="Times New Roman"/>
          <w:sz w:val="24"/>
          <w:szCs w:val="24"/>
          <w:lang w:eastAsia="en-GB"/>
        </w:rPr>
        <w:t xml:space="preserve"> 8</w:t>
      </w:r>
    </w:p>
    <w:p w14:paraId="75B8B575" w14:textId="07BAA2CB" w:rsidR="00A24C67" w:rsidRPr="00E61ECF" w:rsidRDefault="00A24C67" w:rsidP="00ED5E68">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b/>
          <w:bCs/>
          <w:sz w:val="24"/>
          <w:szCs w:val="24"/>
          <w:lang w:eastAsia="en-GB"/>
        </w:rPr>
        <w:t>3. Methodology: Action Research</w:t>
      </w:r>
      <w:r w:rsidRPr="00E61ECF">
        <w:rPr>
          <w:rFonts w:ascii="Times New Roman" w:eastAsia="Times New Roman" w:hAnsi="Times New Roman" w:cs="Times New Roman"/>
          <w:sz w:val="24"/>
          <w:szCs w:val="24"/>
          <w:lang w:eastAsia="en-GB"/>
        </w:rPr>
        <w:t xml:space="preserve"> ............................................................</w:t>
      </w:r>
      <w:r w:rsidR="005601DD" w:rsidRPr="00E61ECF">
        <w:rPr>
          <w:rFonts w:ascii="Times New Roman" w:eastAsia="Times New Roman" w:hAnsi="Times New Roman" w:cs="Times New Roman"/>
          <w:sz w:val="24"/>
          <w:szCs w:val="24"/>
          <w:lang w:eastAsia="en-GB"/>
        </w:rPr>
        <w:t>... 8</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3.1 Research Approach and Rationale ....................................................... </w:t>
      </w:r>
      <w:r w:rsidR="005601DD" w:rsidRPr="00E61ECF">
        <w:rPr>
          <w:rFonts w:ascii="Times New Roman" w:eastAsia="Times New Roman" w:hAnsi="Times New Roman" w:cs="Times New Roman"/>
          <w:sz w:val="24"/>
          <w:szCs w:val="24"/>
          <w:lang w:eastAsia="en-GB"/>
        </w:rPr>
        <w:t>8</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3.2 Research Questions .............................................................................. </w:t>
      </w:r>
      <w:r w:rsidR="009F0098" w:rsidRPr="00E61ECF">
        <w:rPr>
          <w:rFonts w:ascii="Times New Roman" w:eastAsia="Times New Roman" w:hAnsi="Times New Roman" w:cs="Times New Roman"/>
          <w:sz w:val="24"/>
          <w:szCs w:val="24"/>
          <w:lang w:eastAsia="en-GB"/>
        </w:rPr>
        <w:t>9</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3.3 Data Collection Methods ......................................................................</w:t>
      </w:r>
      <w:r w:rsidR="009F0098" w:rsidRPr="00E61ECF">
        <w:rPr>
          <w:rFonts w:ascii="Times New Roman" w:eastAsia="Times New Roman" w:hAnsi="Times New Roman" w:cs="Times New Roman"/>
          <w:sz w:val="24"/>
          <w:szCs w:val="24"/>
          <w:lang w:eastAsia="en-GB"/>
        </w:rPr>
        <w:t xml:space="preserve"> 9</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3.4 Ethical Considerations .........................................................................</w:t>
      </w:r>
      <w:r w:rsidR="009F0098" w:rsidRPr="00E61ECF">
        <w:rPr>
          <w:rFonts w:ascii="Times New Roman" w:eastAsia="Times New Roman" w:hAnsi="Times New Roman" w:cs="Times New Roman"/>
          <w:sz w:val="24"/>
          <w:szCs w:val="24"/>
          <w:lang w:eastAsia="en-GB"/>
        </w:rPr>
        <w:t>.</w:t>
      </w:r>
      <w:r w:rsidRPr="00E61ECF">
        <w:rPr>
          <w:rFonts w:ascii="Times New Roman" w:eastAsia="Times New Roman" w:hAnsi="Times New Roman" w:cs="Times New Roman"/>
          <w:sz w:val="24"/>
          <w:szCs w:val="24"/>
          <w:lang w:eastAsia="en-GB"/>
        </w:rPr>
        <w:t xml:space="preserve"> 9</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3.5 Data Analysis ....................................................................................... </w:t>
      </w:r>
      <w:r w:rsidR="009F0098" w:rsidRPr="00E61ECF">
        <w:rPr>
          <w:rFonts w:ascii="Times New Roman" w:eastAsia="Times New Roman" w:hAnsi="Times New Roman" w:cs="Times New Roman"/>
          <w:sz w:val="24"/>
          <w:szCs w:val="24"/>
          <w:lang w:eastAsia="en-GB"/>
        </w:rPr>
        <w:t>10</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3.6 Limitations ...........................................................................................</w:t>
      </w:r>
      <w:r w:rsidR="009F0098" w:rsidRPr="00E61ECF">
        <w:rPr>
          <w:rFonts w:ascii="Times New Roman" w:eastAsia="Times New Roman" w:hAnsi="Times New Roman" w:cs="Times New Roman"/>
          <w:sz w:val="24"/>
          <w:szCs w:val="24"/>
          <w:lang w:eastAsia="en-GB"/>
        </w:rPr>
        <w:t xml:space="preserve">                         10</w:t>
      </w:r>
    </w:p>
    <w:p w14:paraId="4A163E51" w14:textId="46C3062A" w:rsidR="00A24C67" w:rsidRPr="00E61ECF" w:rsidRDefault="00A24C67" w:rsidP="00ED5E68">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b/>
          <w:bCs/>
          <w:sz w:val="24"/>
          <w:szCs w:val="24"/>
          <w:lang w:eastAsia="en-GB"/>
        </w:rPr>
        <w:t>4. Results, Evidence, Discussion, and Conclusion</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 10</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4.1</w:t>
      </w:r>
      <w:r w:rsidR="007862B5" w:rsidRPr="00E61ECF">
        <w:rPr>
          <w:rFonts w:ascii="Times New Roman" w:eastAsia="Times New Roman" w:hAnsi="Times New Roman" w:cs="Times New Roman"/>
          <w:sz w:val="24"/>
          <w:szCs w:val="24"/>
          <w:lang w:eastAsia="en-GB"/>
        </w:rPr>
        <w:t xml:space="preserve"> Finding…………...……</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10</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Theme 1: Marginalisation and Limited Access ..................................... </w:t>
      </w:r>
      <w:r w:rsidR="009F0098" w:rsidRPr="00E61ECF">
        <w:rPr>
          <w:rFonts w:ascii="Times New Roman" w:eastAsia="Times New Roman" w:hAnsi="Times New Roman" w:cs="Times New Roman"/>
          <w:sz w:val="24"/>
          <w:szCs w:val="24"/>
          <w:lang w:eastAsia="en-GB"/>
        </w:rPr>
        <w:t>10</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Theme 2: Curriculum Instability and Institutional Support .................. </w:t>
      </w:r>
      <w:r w:rsidR="009F0098" w:rsidRPr="00E61ECF">
        <w:rPr>
          <w:rFonts w:ascii="Times New Roman" w:eastAsia="Times New Roman" w:hAnsi="Times New Roman" w:cs="Times New Roman"/>
          <w:sz w:val="24"/>
          <w:szCs w:val="24"/>
          <w:lang w:eastAsia="en-GB"/>
        </w:rPr>
        <w:t>11</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Theme 3: Challenges in Resource Provision </w:t>
      </w:r>
      <w:r w:rsidR="00ED5E68" w:rsidRPr="00E61ECF">
        <w:rPr>
          <w:rFonts w:ascii="Times New Roman" w:eastAsia="Times New Roman" w:hAnsi="Times New Roman" w:cs="Times New Roman"/>
          <w:sz w:val="24"/>
          <w:szCs w:val="24"/>
          <w:lang w:eastAsia="en-GB"/>
        </w:rPr>
        <w:t>..</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12</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Theme 4: Learner Diversity and Unmet Needs .................................... </w:t>
      </w:r>
      <w:r w:rsidR="009F0098" w:rsidRPr="00E61ECF">
        <w:rPr>
          <w:rFonts w:ascii="Times New Roman" w:eastAsia="Times New Roman" w:hAnsi="Times New Roman" w:cs="Times New Roman"/>
          <w:sz w:val="24"/>
          <w:szCs w:val="24"/>
          <w:lang w:eastAsia="en-GB"/>
        </w:rPr>
        <w:t>12</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 xml:space="preserve">Theme 5: Fragmented Provision within Post-16 Institutions </w:t>
      </w:r>
      <w:r w:rsidR="00ED5E68" w:rsidRPr="00E61ECF">
        <w:rPr>
          <w:rFonts w:ascii="Times New Roman" w:eastAsia="Times New Roman" w:hAnsi="Times New Roman" w:cs="Times New Roman"/>
          <w:sz w:val="24"/>
          <w:szCs w:val="24"/>
          <w:lang w:eastAsia="en-GB"/>
        </w:rPr>
        <w:t>.</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13</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4.2</w:t>
      </w:r>
      <w:r w:rsidR="00ED5E68" w:rsidRPr="00E61ECF">
        <w:rPr>
          <w:rFonts w:ascii="Times New Roman" w:eastAsia="Times New Roman" w:hAnsi="Times New Roman" w:cs="Times New Roman"/>
          <w:sz w:val="24"/>
          <w:szCs w:val="24"/>
          <w:lang w:eastAsia="en-GB"/>
        </w:rPr>
        <w:t xml:space="preserve"> Discu</w:t>
      </w:r>
      <w:r w:rsidRPr="00E61ECF">
        <w:rPr>
          <w:rFonts w:ascii="Times New Roman" w:eastAsia="Times New Roman" w:hAnsi="Times New Roman" w:cs="Times New Roman"/>
          <w:sz w:val="24"/>
          <w:szCs w:val="24"/>
          <w:lang w:eastAsia="en-GB"/>
        </w:rPr>
        <w:t>ssion</w:t>
      </w:r>
      <w:r w:rsidR="007862B5" w:rsidRPr="00E61ECF">
        <w:rPr>
          <w:rFonts w:ascii="Times New Roman" w:eastAsia="Times New Roman" w:hAnsi="Times New Roman" w:cs="Times New Roman"/>
          <w:sz w:val="24"/>
          <w:szCs w:val="24"/>
          <w:lang w:eastAsia="en-GB"/>
        </w:rPr>
        <w:t xml:space="preserve"> ………</w:t>
      </w:r>
      <w:r w:rsidR="00ED5E68" w:rsidRPr="00E61ECF">
        <w:rPr>
          <w:rFonts w:ascii="Times New Roman" w:eastAsia="Times New Roman" w:hAnsi="Times New Roman" w:cs="Times New Roman"/>
          <w:sz w:val="24"/>
          <w:szCs w:val="24"/>
          <w:lang w:eastAsia="en-GB"/>
        </w:rPr>
        <w:t xml:space="preserve"> ……………………………………………………………………13</w:t>
      </w:r>
      <w:r w:rsidRPr="00E61ECF">
        <w:rPr>
          <w:rFonts w:ascii="Times New Roman" w:eastAsia="Times New Roman" w:hAnsi="Times New Roman" w:cs="Times New Roman"/>
          <w:sz w:val="24"/>
          <w:szCs w:val="24"/>
          <w:lang w:eastAsia="en-GB"/>
        </w:rPr>
        <w:br/>
      </w:r>
      <w:r w:rsidRPr="00E61ECF">
        <w:rPr>
          <w:rFonts w:ascii="Times New Roman" w:eastAsia="Times New Roman" w:hAnsi="Times New Roman" w:cs="Times New Roman"/>
          <w:sz w:val="24"/>
          <w:szCs w:val="24"/>
          <w:lang w:eastAsia="en-GB"/>
        </w:rPr>
        <w:t> </w:t>
      </w:r>
      <w:r w:rsidRPr="00E61ECF">
        <w:rPr>
          <w:rFonts w:ascii="Times New Roman" w:eastAsia="Times New Roman" w:hAnsi="Times New Roman" w:cs="Times New Roman"/>
          <w:sz w:val="24"/>
          <w:szCs w:val="24"/>
          <w:lang w:eastAsia="en-GB"/>
        </w:rPr>
        <w:t>4.3 Conclusion ..........................................................................................</w:t>
      </w:r>
      <w:r w:rsidR="009F0098" w:rsidRPr="00E61ECF">
        <w:rPr>
          <w:rFonts w:ascii="Times New Roman" w:eastAsia="Times New Roman" w:hAnsi="Times New Roman" w:cs="Times New Roman"/>
          <w:sz w:val="24"/>
          <w:szCs w:val="24"/>
          <w:lang w:eastAsia="en-GB"/>
        </w:rPr>
        <w:t>..........</w:t>
      </w:r>
      <w:r w:rsidR="007862B5" w:rsidRPr="00E61ECF">
        <w:rPr>
          <w:rFonts w:ascii="Times New Roman" w:eastAsia="Times New Roman" w:hAnsi="Times New Roman" w:cs="Times New Roman"/>
          <w:sz w:val="24"/>
          <w:szCs w:val="24"/>
          <w:lang w:eastAsia="en-GB"/>
        </w:rPr>
        <w:t>.......</w:t>
      </w:r>
      <w:r w:rsidR="009F0098" w:rsidRPr="00E61ECF">
        <w:rPr>
          <w:rFonts w:ascii="Times New Roman" w:eastAsia="Times New Roman" w:hAnsi="Times New Roman" w:cs="Times New Roman"/>
          <w:sz w:val="24"/>
          <w:szCs w:val="24"/>
          <w:lang w:eastAsia="en-GB"/>
        </w:rPr>
        <w:t>..</w:t>
      </w:r>
      <w:r w:rsidR="007862B5" w:rsidRPr="00E61ECF">
        <w:rPr>
          <w:rFonts w:ascii="Times New Roman" w:eastAsia="Times New Roman" w:hAnsi="Times New Roman" w:cs="Times New Roman"/>
          <w:sz w:val="24"/>
          <w:szCs w:val="24"/>
          <w:lang w:eastAsia="en-GB"/>
        </w:rPr>
        <w:t>.....</w:t>
      </w:r>
      <w:r w:rsidR="009F0098" w:rsidRPr="00E61ECF">
        <w:rPr>
          <w:rFonts w:ascii="Times New Roman" w:eastAsia="Times New Roman" w:hAnsi="Times New Roman" w:cs="Times New Roman"/>
          <w:sz w:val="24"/>
          <w:szCs w:val="24"/>
          <w:lang w:eastAsia="en-GB"/>
        </w:rPr>
        <w:t>..14</w:t>
      </w:r>
    </w:p>
    <w:p w14:paraId="52618A28" w14:textId="2785C7E1" w:rsidR="00A24C67" w:rsidRPr="00E61ECF" w:rsidRDefault="00A24C67" w:rsidP="00ED5E68">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b/>
          <w:bCs/>
          <w:sz w:val="24"/>
          <w:szCs w:val="24"/>
          <w:lang w:eastAsia="en-GB"/>
        </w:rPr>
        <w:t>5. Recommendations</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w:t>
      </w:r>
      <w:r w:rsidRPr="00E61ECF">
        <w:rPr>
          <w:rFonts w:ascii="Times New Roman" w:eastAsia="Times New Roman" w:hAnsi="Times New Roman" w:cs="Times New Roman"/>
          <w:sz w:val="24"/>
          <w:szCs w:val="24"/>
          <w:lang w:eastAsia="en-GB"/>
        </w:rPr>
        <w:t xml:space="preserve"> </w:t>
      </w:r>
      <w:r w:rsidR="009F0098" w:rsidRPr="00E61ECF">
        <w:rPr>
          <w:rFonts w:ascii="Times New Roman" w:eastAsia="Times New Roman" w:hAnsi="Times New Roman" w:cs="Times New Roman"/>
          <w:sz w:val="24"/>
          <w:szCs w:val="24"/>
          <w:lang w:eastAsia="en-GB"/>
        </w:rPr>
        <w:t>15</w:t>
      </w:r>
    </w:p>
    <w:p w14:paraId="55413696" w14:textId="211CCE39" w:rsidR="00A24C67" w:rsidRPr="002862C9" w:rsidRDefault="00A24C67" w:rsidP="002862C9">
      <w:pPr>
        <w:pStyle w:val="Heading1"/>
        <w:spacing w:before="100" w:beforeAutospacing="1" w:after="120" w:afterAutospacing="1" w:line="360" w:lineRule="auto"/>
        <w:jc w:val="both"/>
        <w:rPr>
          <w:rFonts w:ascii="Times New Roman" w:eastAsia="Times New Roman" w:hAnsi="Times New Roman" w:cs="Times New Roman"/>
          <w:color w:val="auto"/>
          <w:sz w:val="24"/>
          <w:szCs w:val="24"/>
          <w:lang w:eastAsia="en-GB"/>
        </w:rPr>
        <w:sectPr w:rsidR="00A24C67" w:rsidRPr="002862C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r w:rsidRPr="00E61ECF">
        <w:rPr>
          <w:rFonts w:ascii="Times New Roman" w:eastAsia="Times New Roman" w:hAnsi="Times New Roman" w:cs="Times New Roman"/>
          <w:b/>
          <w:bCs/>
          <w:color w:val="auto"/>
          <w:sz w:val="24"/>
          <w:szCs w:val="24"/>
          <w:lang w:eastAsia="en-GB"/>
        </w:rPr>
        <w:t>6. Reference List</w:t>
      </w:r>
      <w:r w:rsidRPr="00E61ECF">
        <w:rPr>
          <w:rFonts w:ascii="Times New Roman" w:eastAsia="Times New Roman" w:hAnsi="Times New Roman" w:cs="Times New Roman"/>
          <w:color w:val="auto"/>
          <w:sz w:val="24"/>
          <w:szCs w:val="24"/>
          <w:lang w:eastAsia="en-GB"/>
        </w:rPr>
        <w:t xml:space="preserve"> ......................................................................................</w:t>
      </w:r>
      <w:r w:rsidR="009F0098" w:rsidRPr="00E61ECF">
        <w:rPr>
          <w:rFonts w:ascii="Times New Roman" w:eastAsia="Times New Roman" w:hAnsi="Times New Roman" w:cs="Times New Roman"/>
          <w:color w:val="auto"/>
          <w:sz w:val="24"/>
          <w:szCs w:val="24"/>
          <w:lang w:eastAsia="en-GB"/>
        </w:rPr>
        <w:t>............................</w:t>
      </w:r>
      <w:r w:rsidRPr="00E61ECF">
        <w:rPr>
          <w:rFonts w:ascii="Times New Roman" w:eastAsia="Times New Roman" w:hAnsi="Times New Roman" w:cs="Times New Roman"/>
          <w:color w:val="auto"/>
          <w:sz w:val="24"/>
          <w:szCs w:val="24"/>
          <w:lang w:eastAsia="en-GB"/>
        </w:rPr>
        <w:t xml:space="preserve"> </w:t>
      </w:r>
      <w:r w:rsidR="009F0098" w:rsidRPr="00E61ECF">
        <w:rPr>
          <w:rFonts w:ascii="Times New Roman" w:eastAsia="Times New Roman" w:hAnsi="Times New Roman" w:cs="Times New Roman"/>
          <w:color w:val="auto"/>
          <w:sz w:val="24"/>
          <w:szCs w:val="24"/>
          <w:lang w:eastAsia="en-GB"/>
        </w:rPr>
        <w:t>17</w:t>
      </w:r>
    </w:p>
    <w:p w14:paraId="488DC969" w14:textId="03B7B154" w:rsidR="00B628AA" w:rsidRPr="00E61ECF" w:rsidRDefault="00B628AA" w:rsidP="00BA5DDC">
      <w:pPr>
        <w:pStyle w:val="Heading1"/>
        <w:spacing w:after="120" w:line="360" w:lineRule="auto"/>
        <w:rPr>
          <w:rFonts w:ascii="Times New Roman" w:eastAsia="Times New Roman" w:hAnsi="Times New Roman" w:cs="Times New Roman"/>
          <w:color w:val="auto"/>
          <w:sz w:val="32"/>
          <w:szCs w:val="32"/>
          <w:lang w:eastAsia="en-GB"/>
        </w:rPr>
      </w:pPr>
      <w:r w:rsidRPr="00E61ECF">
        <w:rPr>
          <w:rFonts w:ascii="Times New Roman" w:eastAsia="Times New Roman" w:hAnsi="Times New Roman" w:cs="Times New Roman"/>
          <w:b/>
          <w:bCs/>
          <w:color w:val="auto"/>
          <w:sz w:val="28"/>
          <w:szCs w:val="28"/>
          <w:lang w:eastAsia="en-GB"/>
        </w:rPr>
        <w:lastRenderedPageBreak/>
        <w:t>1.</w:t>
      </w:r>
      <w:r w:rsidR="00CB01A7" w:rsidRPr="00E61ECF">
        <w:rPr>
          <w:rFonts w:ascii="Times New Roman" w:eastAsia="Times New Roman" w:hAnsi="Times New Roman" w:cs="Times New Roman"/>
          <w:b/>
          <w:bCs/>
          <w:color w:val="auto"/>
          <w:sz w:val="28"/>
          <w:szCs w:val="28"/>
          <w:lang w:eastAsia="en-GB"/>
        </w:rPr>
        <w:t>0</w:t>
      </w:r>
      <w:r w:rsidRPr="00E61ECF">
        <w:rPr>
          <w:rFonts w:ascii="Times New Roman" w:eastAsia="Times New Roman" w:hAnsi="Times New Roman" w:cs="Times New Roman"/>
          <w:b/>
          <w:bCs/>
          <w:color w:val="auto"/>
          <w:sz w:val="28"/>
          <w:szCs w:val="28"/>
          <w:lang w:eastAsia="en-GB"/>
        </w:rPr>
        <w:t xml:space="preserve"> Introduction</w:t>
      </w:r>
    </w:p>
    <w:p w14:paraId="6092BD60" w14:textId="77777777" w:rsidR="00511B54" w:rsidRPr="00E61ECF" w:rsidRDefault="00511B54" w:rsidP="00511B54">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Arabic is one of the most widely spoken languages globally and is increasingly recognised for its cultural, economic, and political significance. In the United Kingdom, interest in Arabic has grown due to global political developments, migration, and its strategic importance for diplomacy, security, and trade (British Council, 2013). Despite this, Arabic provision in the UK post-16 education sector remains fragmented and inconsistent. Compared with European languages such as French, Spanish, Italian, and German, Arabic is far less widely available. A survey of UK modern foreign language departments found that French was offered in 99% of institutions and Spanish in 94%, while German and Italian were available in 72% and 58% respectively; in contrast, Arabic was offered in only 22% of institutions (University Council of Modern Languages, 2018). This study therefore investigates the gaps and challenges in Arabic language teaching within the context of the University of Wales Trinity Saint David (UWTSD) and the wider Welsh post-16 sector.</w:t>
      </w:r>
    </w:p>
    <w:p w14:paraId="2A6C9263" w14:textId="77777777" w:rsidR="00511B54" w:rsidRPr="00E61ECF" w:rsidRDefault="00511B54" w:rsidP="00511B54">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With over 400 million speakers worldwide, Arabic is among the most widely used languages globally (</w:t>
      </w:r>
      <w:proofErr w:type="spellStart"/>
      <w:r w:rsidRPr="00E61ECF">
        <w:rPr>
          <w:rFonts w:ascii="Times New Roman" w:eastAsia="Times New Roman" w:hAnsi="Times New Roman" w:cs="Times New Roman"/>
          <w:sz w:val="24"/>
          <w:szCs w:val="24"/>
          <w:lang w:eastAsia="en-GB"/>
        </w:rPr>
        <w:t>Ishkewy</w:t>
      </w:r>
      <w:proofErr w:type="spellEnd"/>
      <w:r w:rsidRPr="00E61ECF">
        <w:rPr>
          <w:rFonts w:ascii="Times New Roman" w:eastAsia="Times New Roman" w:hAnsi="Times New Roman" w:cs="Times New Roman"/>
          <w:sz w:val="24"/>
          <w:szCs w:val="24"/>
          <w:lang w:eastAsia="en-GB"/>
        </w:rPr>
        <w:t>, Harb and Farahat, 2014) and is often ranked fifth after Mandarin Chinese, Spanish, English, and Hindi (</w:t>
      </w:r>
      <w:proofErr w:type="spellStart"/>
      <w:r w:rsidRPr="00E61ECF">
        <w:rPr>
          <w:rFonts w:ascii="Times New Roman" w:eastAsia="Times New Roman" w:hAnsi="Times New Roman" w:cs="Times New Roman"/>
          <w:sz w:val="24"/>
          <w:szCs w:val="24"/>
          <w:lang w:eastAsia="en-GB"/>
        </w:rPr>
        <w:t>Shlowiy</w:t>
      </w:r>
      <w:proofErr w:type="spellEnd"/>
      <w:r w:rsidRPr="00E61ECF">
        <w:rPr>
          <w:rFonts w:ascii="Times New Roman" w:eastAsia="Times New Roman" w:hAnsi="Times New Roman" w:cs="Times New Roman"/>
          <w:sz w:val="24"/>
          <w:szCs w:val="24"/>
          <w:lang w:eastAsia="en-GB"/>
        </w:rPr>
        <w:t xml:space="preserve"> and Saad, 2022). Its global significance supports international communication, diplomacy, and economic engagement, particularly with Arab League countries.</w:t>
      </w:r>
    </w:p>
    <w:p w14:paraId="2238AD5E" w14:textId="77777777" w:rsidR="00511B54" w:rsidRPr="00E61ECF" w:rsidRDefault="00511B54" w:rsidP="00511B54">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In Wales, the Welsh Government’s </w:t>
      </w:r>
      <w:r w:rsidRPr="00E61ECF">
        <w:rPr>
          <w:rFonts w:ascii="Times New Roman" w:eastAsia="Times New Roman" w:hAnsi="Times New Roman" w:cs="Times New Roman"/>
          <w:i/>
          <w:iCs/>
          <w:sz w:val="24"/>
          <w:szCs w:val="24"/>
          <w:lang w:eastAsia="en-GB"/>
        </w:rPr>
        <w:t>Global Futures</w:t>
      </w:r>
      <w:r w:rsidRPr="00E61ECF">
        <w:rPr>
          <w:rFonts w:ascii="Times New Roman" w:eastAsia="Times New Roman" w:hAnsi="Times New Roman" w:cs="Times New Roman"/>
          <w:sz w:val="24"/>
          <w:szCs w:val="24"/>
          <w:lang w:eastAsia="en-GB"/>
        </w:rPr>
        <w:t xml:space="preserve"> strategy (2022) promotes international language learning but provides limited guidance on Arabic. At UWTSD, Arabic provision appears limited and lacks a coordinated framework, potentially restricting learner progression. This study therefore explores how these structural and institutional gaps shape Arabic language education in the Welsh post-16 context.</w:t>
      </w:r>
    </w:p>
    <w:p w14:paraId="22F5B35A" w14:textId="2D6BF562" w:rsidR="00080502" w:rsidRPr="00E61ECF" w:rsidRDefault="00995824" w:rsidP="00080502">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This research is informed by professional teaching experience in the post-16 sector, where persistent issues have been observed, including the lack of standardised curricula, limited teaching resources, variations in teacher qualifications, and unclear progression pathways. </w:t>
      </w:r>
      <w:r w:rsidR="00080502" w:rsidRPr="00E61ECF">
        <w:rPr>
          <w:rFonts w:ascii="Times New Roman" w:eastAsia="Times New Roman" w:hAnsi="Times New Roman" w:cs="Times New Roman"/>
          <w:sz w:val="24"/>
          <w:szCs w:val="24"/>
          <w:lang w:eastAsia="en-GB"/>
        </w:rPr>
        <w:t>Comparative experience in Southeast Asia, including Malaysia, Indonesia, and Thailand, suggests that these challenges are more pronounced in the UK, specifically in Wales, where Arabic programmes are often less structured.</w:t>
      </w:r>
    </w:p>
    <w:p w14:paraId="0645EBFE" w14:textId="77777777" w:rsidR="00021CF1" w:rsidRPr="00E61ECF" w:rsidRDefault="00021CF1" w:rsidP="00080502">
      <w:pPr>
        <w:spacing w:before="100" w:beforeAutospacing="1" w:after="120" w:afterAutospacing="1" w:line="360" w:lineRule="auto"/>
        <w:jc w:val="both"/>
        <w:rPr>
          <w:rFonts w:ascii="Times New Roman" w:eastAsia="Times New Roman" w:hAnsi="Times New Roman" w:cs="Times New Roman"/>
          <w:sz w:val="24"/>
          <w:szCs w:val="24"/>
          <w:lang w:eastAsia="en-GB"/>
        </w:rPr>
      </w:pPr>
    </w:p>
    <w:p w14:paraId="2232E362" w14:textId="38AB1D2D" w:rsidR="007F4F3C" w:rsidRPr="00E61ECF" w:rsidRDefault="007F4F3C" w:rsidP="00BA5DDC">
      <w:pPr>
        <w:pStyle w:val="Heading1"/>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8"/>
          <w:szCs w:val="28"/>
          <w:lang w:eastAsia="en-GB"/>
        </w:rPr>
        <w:lastRenderedPageBreak/>
        <w:t>2.</w:t>
      </w:r>
      <w:r w:rsidR="00CB01A7" w:rsidRPr="00E61ECF">
        <w:rPr>
          <w:rFonts w:ascii="Times New Roman" w:eastAsia="Times New Roman" w:hAnsi="Times New Roman" w:cs="Times New Roman"/>
          <w:b/>
          <w:bCs/>
          <w:color w:val="auto"/>
          <w:sz w:val="28"/>
          <w:szCs w:val="28"/>
          <w:lang w:eastAsia="en-GB"/>
        </w:rPr>
        <w:t>0</w:t>
      </w:r>
      <w:r w:rsidRPr="00E61ECF">
        <w:rPr>
          <w:rFonts w:ascii="Times New Roman" w:eastAsia="Times New Roman" w:hAnsi="Times New Roman" w:cs="Times New Roman"/>
          <w:b/>
          <w:bCs/>
          <w:color w:val="auto"/>
          <w:sz w:val="28"/>
          <w:szCs w:val="28"/>
          <w:lang w:eastAsia="en-GB"/>
        </w:rPr>
        <w:t xml:space="preserve"> Literature Review</w:t>
      </w:r>
    </w:p>
    <w:p w14:paraId="1549EBFD"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2.1 Historical Development and Current Position of Arabic Language Teaching in the UK</w:t>
      </w:r>
    </w:p>
    <w:p w14:paraId="4FEF0407" w14:textId="22F7F984"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Research on Arabic language education in the UK highlights persistent structural and pedagogical challenges. Soliman and Khalil (2022) observe that Arabic is frequently taught through community or supplementary schools rather than mainstream institutions. This results in inconsistencies in curriculum design, teaching approaches, and assessment practices. Furthermore, teachers often face limited access to professional development opportunities and structured training for teaching Arabic as a foreign or heritage language. The linguistic complexity of Arabic</w:t>
      </w:r>
      <w:r w:rsidR="00080502" w:rsidRPr="00E61ECF">
        <w:rPr>
          <w:rFonts w:ascii="Times New Roman" w:eastAsia="Times New Roman" w:hAnsi="Times New Roman" w:cs="Times New Roman"/>
          <w:sz w:val="24"/>
          <w:szCs w:val="24"/>
          <w:lang w:eastAsia="en-GB"/>
        </w:rPr>
        <w:t xml:space="preserve">, </w:t>
      </w:r>
      <w:r w:rsidRPr="00E61ECF">
        <w:rPr>
          <w:rFonts w:ascii="Times New Roman" w:eastAsia="Times New Roman" w:hAnsi="Times New Roman" w:cs="Times New Roman"/>
          <w:sz w:val="24"/>
          <w:szCs w:val="24"/>
          <w:lang w:eastAsia="en-GB"/>
        </w:rPr>
        <w:t>including the distinction between Modern Standard Arabic (MSA) and regional spoken varieties</w:t>
      </w:r>
      <w:r w:rsidR="00080502" w:rsidRPr="00E61ECF">
        <w:rPr>
          <w:rFonts w:ascii="Times New Roman" w:eastAsia="Times New Roman" w:hAnsi="Times New Roman" w:cs="Times New Roman"/>
          <w:sz w:val="24"/>
          <w:szCs w:val="24"/>
          <w:lang w:eastAsia="en-GB"/>
        </w:rPr>
        <w:t xml:space="preserve">, </w:t>
      </w:r>
      <w:r w:rsidRPr="00E61ECF">
        <w:rPr>
          <w:rFonts w:ascii="Times New Roman" w:eastAsia="Times New Roman" w:hAnsi="Times New Roman" w:cs="Times New Roman"/>
          <w:sz w:val="24"/>
          <w:szCs w:val="24"/>
          <w:lang w:eastAsia="en-GB"/>
        </w:rPr>
        <w:t>presents additional difficulties for educators and learners. These challenges are compounded by the relatively low prioritisation of Arabic within the UK’s wider language education landscape.</w:t>
      </w:r>
    </w:p>
    <w:p w14:paraId="1F7A6673"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Historically, Arabic teaching in UK higher education emerged through Middle Eastern and Islamic studies programmes. Bernasek and Canning (2009) highlight that the growth of these programmes was often driven by political, cultural, and strategic considerations, linking language learning with regional expertise and government priorities. Early university provision focused primarily on literary Arabic, establishing a precedent for the dominance of MSA in contemporary curricula. The British Council (2017) identifies Arabic as one of the languages of strategic importance to the UK, alongside Spanish, Mandarin, French, and German, emphasising its relevance for economic, diplomatic, and security interests. Despite this, a national deficit in foreign language skills persists, indicating that the provision of Arabic remains insufficient to meet the UK’s evolving needs.</w:t>
      </w:r>
    </w:p>
    <w:p w14:paraId="15067638" w14:textId="0C44DBE9"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Mapping studies of language provision in UK higher education reveal uneven availability of Arabic programmes and inconsistent pathways from school to university (British Academy, 2018). Many institutions offer Arabic in limited contexts, with disparities in staffing, programme scope, and progression opportunities. This fragmented provision contrasts sharply with widely taught European languages, highlighting the marginal status of Arabic in the UK’s educational infrastructure. The traditional emphasis on MSA, while academically valuable, does not fully account for the sociolinguistic realities of Arabic as a </w:t>
      </w:r>
      <w:proofErr w:type="spellStart"/>
      <w:r w:rsidRPr="00E61ECF">
        <w:rPr>
          <w:rFonts w:ascii="Times New Roman" w:eastAsia="Times New Roman" w:hAnsi="Times New Roman" w:cs="Times New Roman"/>
          <w:sz w:val="24"/>
          <w:szCs w:val="24"/>
          <w:lang w:eastAsia="en-GB"/>
        </w:rPr>
        <w:t>diglossic</w:t>
      </w:r>
      <w:proofErr w:type="spellEnd"/>
      <w:r w:rsidRPr="00E61ECF">
        <w:rPr>
          <w:rFonts w:ascii="Times New Roman" w:eastAsia="Times New Roman" w:hAnsi="Times New Roman" w:cs="Times New Roman"/>
          <w:sz w:val="24"/>
          <w:szCs w:val="24"/>
          <w:lang w:eastAsia="en-GB"/>
        </w:rPr>
        <w:t xml:space="preserve"> language, where spoken varieties differ significantly from formal written forms. Al-Batal </w:t>
      </w:r>
      <w:r w:rsidRPr="00E61ECF">
        <w:rPr>
          <w:rFonts w:ascii="Times New Roman" w:eastAsia="Times New Roman" w:hAnsi="Times New Roman" w:cs="Times New Roman"/>
          <w:sz w:val="24"/>
          <w:szCs w:val="24"/>
          <w:lang w:eastAsia="en-GB"/>
        </w:rPr>
        <w:lastRenderedPageBreak/>
        <w:t>(2017) argues that an exclusive focus on MSA can limit learners’ communicative competence and reduce the practical relevance of their studies.</w:t>
      </w:r>
    </w:p>
    <w:p w14:paraId="33F20029"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2.2 Curriculum Design and Pedagogical Approaches</w:t>
      </w:r>
    </w:p>
    <w:p w14:paraId="65FCF91D"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Curriculum design in Arabic language education must address the distinct needs of two primary learner groups: foreign language learners with no prior exposure and heritage learners who already possess some oral proficiency in a family dialect (Wahba, Taha, &amp; England, 2018). Each group has differing motivations, linguistic resources, and learning goals. However, many programmes fail to differentiate effectively, leading to misalignment between learner needs and instructional provision.</w:t>
      </w:r>
    </w:p>
    <w:p w14:paraId="34EDADAB"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Al-Batal (2017) emphasises that learners require both grammatical knowledge and communicative competence. Traditional curricula that prioritise literary Arabic at the expense of spoken varieties may produce students capable of reading classical texts but unable to engage in everyday conversation. This gap can reduce motivation and retention, particularly for adult learners or those seeking practical language skills. Al-Batal advocates integrating spoken varieties alongside MSA, enabling learners to engage meaningfully with Arabic-speaking communities and cultural contexts.</w:t>
      </w:r>
    </w:p>
    <w:p w14:paraId="1D2C54B0"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Teaching spoken Arabic, however, presents unique challenges due to diglossia. Ferguson’s (1959, cited in Wahba et al., 2018) concept of diglossia explains the coexistence of formal and informal varieties serving distinct social functions. In the Arab world, MSA is used for formal writing, media, and official discourse, while regional dialects dominate everyday communication. Each Arab country has distinct dialects, creating additional pedagogical decisions regarding which variety to prioritise and how to sequence instruction. Some programmes continue to focus almost exclusively on MSA, whereas others attempt integration with spoken dialects, though no standardised methodology exists.</w:t>
      </w:r>
    </w:p>
    <w:p w14:paraId="12BED183" w14:textId="63F9BB3A"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Heritage learners face further challenges. Zabarah (2016) notes that these students often possess oral fluency in a dialect but lack literacy in MSA. When placed in mainstream classes without tailored instruction, they may become disengaged, resulting in higher attrition rates. A lack of recognition for their existing linguistic resources can further exacerbate disengagement. Effective curriculum design must therefore accommodate both foreign and </w:t>
      </w:r>
      <w:r w:rsidRPr="00E61ECF">
        <w:rPr>
          <w:rFonts w:ascii="Times New Roman" w:eastAsia="Times New Roman" w:hAnsi="Times New Roman" w:cs="Times New Roman"/>
          <w:sz w:val="24"/>
          <w:szCs w:val="24"/>
          <w:lang w:eastAsia="en-GB"/>
        </w:rPr>
        <w:lastRenderedPageBreak/>
        <w:t>heritage learners, providing pathways that develop literacy, oral skills, and cultural competence concurrently.</w:t>
      </w:r>
    </w:p>
    <w:p w14:paraId="3D783F12"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2.3 Teacher Qualifications, Professional Development, and Identity</w:t>
      </w:r>
    </w:p>
    <w:p w14:paraId="49185D05"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Teacher preparation is a critical factor influencing the quality of Arabic provision. Soliman and Khalil (2022) report that many Arabic teachers in the UK have limited access to formal pedagogical training, relying instead on informal networks, self-developed materials, and prior linguistic expertise. The British Council (2023) further highlights that Arabic teachers often enter the profession through non-traditional routes due to the scarcity of structured training programmes and recognised qualifications.</w:t>
      </w:r>
    </w:p>
    <w:p w14:paraId="46B56D98"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diversity in professional pathways results in a workforce with varying degrees of pedagogical and linguistic competence. Some teachers possess strong academic or linguistic expertise but lack formal teaching skills, while others gain experience through community-based instruction without accredited qualifications. The lack of standardisation presents challenges for professional identity, career progression, and the consistency of learning outcomes across institutions.</w:t>
      </w:r>
    </w:p>
    <w:p w14:paraId="0B956ED2" w14:textId="3E53BEE0"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Professional standards, such as the Education and Training Foundation (ETF) Professional Standards for Teachers and Trainers (2022), provide benchmarks for post-16 educators in England and Wales. These standards emphasise the integration of subject expertise and pedagogical competence, requiring teachers to plan effective learning programmes, adapt instruction to meet diverse learner needs, and engage in reflective practice. While these frameworks offer guidance, the structural limitations of Arabic provision in the UK often impede teachers’ ability to fully meet these standards, highlighting a need for expanded training opportunities and institutional support.</w:t>
      </w:r>
    </w:p>
    <w:p w14:paraId="7EC9267B"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2.4 Resources, Materials Development, and Digital Learning</w:t>
      </w:r>
    </w:p>
    <w:p w14:paraId="05D645BB"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Teaching resources are a vital component of Arabic language provision. Compared with more widely taught languages, Arabic lacks a broad range of suitable materials, particularly for intermediate and advanced learners, as well as adult learners in post-16 education (Wahba et al., 2018). This scarcity places additional burdens on teachers, who must adapt or create resources to meet learner needs.</w:t>
      </w:r>
    </w:p>
    <w:p w14:paraId="083DD2F4"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lastRenderedPageBreak/>
        <w:t>While commercial textbooks have increased, many focus primarily on MSA, with limited attention to spoken varieties (Al-Batal, 2017). Furthermore, most are designed for full-time university students, making them less accessible for adult learners balancing study with work and family responsibilities.</w:t>
      </w:r>
    </w:p>
    <w:p w14:paraId="46D2A113"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Digital resources, including platforms such as BBC Arabic, CNN Arabic, and Al Jazeera, offer supplementary learning opportunities and authentic language exposure. Boyd-Barrett (2015) highlights the expanding role of Arabic-language media in global communication, reflecting the growing significance of the Arab media market. However, Wahba et al. (2018) caution that digital materials vary in pedagogical quality and require structured integration into curricula, which many institutions lack capacity to provide. Most digital resources target beginner learners, leaving a gap for advanced and specialised study.</w:t>
      </w:r>
    </w:p>
    <w:p w14:paraId="7E0AEEC3" w14:textId="0AC45CAC"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Enhanced resource provision could significantly improve Arabic programmes. High-quality materials, combined with digital tools and careful curriculum integration, can increase learner engagement, support progression, and attract a diverse student population. For institutions such as UWTSD, this could enhance the visibility, sustainability, and appeal of Arabic programmes while aligning with the growing demand for multilingual graduates in global business, diplomacy, and cultural exchange.</w:t>
      </w:r>
    </w:p>
    <w:p w14:paraId="0476B57D"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2.5 The Welsh Context and UWTSD</w:t>
      </w:r>
    </w:p>
    <w:p w14:paraId="591D3F9F"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Research on Arabic language teaching in Wales is limited, presenting a notable gap in the literature. The Welsh Government’s </w:t>
      </w:r>
      <w:r w:rsidRPr="00E61ECF">
        <w:rPr>
          <w:rFonts w:ascii="Times New Roman" w:eastAsia="Times New Roman" w:hAnsi="Times New Roman" w:cs="Times New Roman"/>
          <w:i/>
          <w:iCs/>
          <w:sz w:val="24"/>
          <w:szCs w:val="24"/>
          <w:lang w:eastAsia="en-GB"/>
        </w:rPr>
        <w:t>Global Futures</w:t>
      </w:r>
      <w:r w:rsidRPr="00E61ECF">
        <w:rPr>
          <w:rFonts w:ascii="Times New Roman" w:eastAsia="Times New Roman" w:hAnsi="Times New Roman" w:cs="Times New Roman"/>
          <w:sz w:val="24"/>
          <w:szCs w:val="24"/>
          <w:lang w:eastAsia="en-GB"/>
        </w:rPr>
        <w:t xml:space="preserve"> strategy (2022) promotes international language learning and linguistic diversity, yet focuses predominantly on European languages and Mandarin, providing minimal guidance on Arabic.</w:t>
      </w:r>
    </w:p>
    <w:p w14:paraId="521E8DFA"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The Welsh context also presents challenges related to resource accessibility. English-medium Arabic materials are increasingly available, but Welsh-medium resources are scarce. This restricts bilingual learning opportunities, reduces equitable access for Welsh-speaking learners, and limits integration within Wales’s broader language policy (Welsh Government, 2022). Phonetic similarities between Arabic and Welsh offer potential for comparative learning, though these opportunities remain underexplored.</w:t>
      </w:r>
    </w:p>
    <w:p w14:paraId="31DB4D9E" w14:textId="7D2309C2"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lastRenderedPageBreak/>
        <w:t>Within higher education, Arabic provision is fragmented. At UWTSD, Arabic is not offered as a dedicated programme but is embedded within wider subject areas, such as Religion, Philosophy and Ethics (UWTSD CRM Enquiries Team, 2026). This mirrors national trends, where Arabic is often delivered alongside broader academic disciplines rather than as an independent field. Fragmentation limits learner progression, reduces visibility, and complicates curriculum design.</w:t>
      </w:r>
    </w:p>
    <w:p w14:paraId="453D67A9" w14:textId="77777777" w:rsidR="007F4F3C" w:rsidRPr="00E61ECF" w:rsidRDefault="007F4F3C"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2.6 Theoretical Framework</w:t>
      </w:r>
    </w:p>
    <w:p w14:paraId="5FBEA040"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study draws on Vygotsky’s (1978) sociocultural theory, which emphasises the social and contextual nature of language learning. Language acquisition occurs through participation in meaningful social practices and interactions, not solely through memorisation of linguistic forms. This perspective underscores the importance of connecting learners with authentic Arabic-speaking communities and cultural contexts.</w:t>
      </w:r>
    </w:p>
    <w:p w14:paraId="2F1699A2" w14:textId="77777777" w:rsidR="007F4F3C" w:rsidRPr="00E61ECF" w:rsidRDefault="007F4F3C" w:rsidP="00EF3717">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Critical pedagogy (Freire, 1970) also informs the research, highlighting how educational practices can reproduce or challenge social inequalities. In Arabic language teaching, this perspective raises questions about whose variety of Arabic is taught, which cultural narratives are prioritised, and whether provision empowers learners or primarily assimilates them into dominant cultural frameworks. Together, these frameworks provide a lens for understanding the structural, social, and pedagogical challenges shaping Arabic language education in the UK, particularly within under-researched contexts such as Wales and UWTSD.</w:t>
      </w:r>
    </w:p>
    <w:p w14:paraId="7F099F67" w14:textId="178B23F6" w:rsidR="0055542F" w:rsidRPr="00E61ECF" w:rsidRDefault="0055542F" w:rsidP="00BA5DDC">
      <w:pPr>
        <w:pStyle w:val="Heading1"/>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8"/>
          <w:szCs w:val="28"/>
          <w:lang w:eastAsia="en-GB"/>
        </w:rPr>
        <w:t>3.</w:t>
      </w:r>
      <w:r w:rsidR="00CB01A7" w:rsidRPr="00E61ECF">
        <w:rPr>
          <w:rFonts w:ascii="Times New Roman" w:eastAsia="Times New Roman" w:hAnsi="Times New Roman" w:cs="Times New Roman"/>
          <w:b/>
          <w:bCs/>
          <w:color w:val="auto"/>
          <w:sz w:val="28"/>
          <w:szCs w:val="28"/>
          <w:lang w:eastAsia="en-GB"/>
        </w:rPr>
        <w:t>0</w:t>
      </w:r>
      <w:r w:rsidRPr="00E61ECF">
        <w:rPr>
          <w:rFonts w:ascii="Times New Roman" w:eastAsia="Times New Roman" w:hAnsi="Times New Roman" w:cs="Times New Roman"/>
          <w:b/>
          <w:bCs/>
          <w:color w:val="auto"/>
          <w:sz w:val="28"/>
          <w:szCs w:val="28"/>
          <w:lang w:eastAsia="en-GB"/>
        </w:rPr>
        <w:t xml:space="preserve"> Methodology: Action Research</w:t>
      </w:r>
    </w:p>
    <w:p w14:paraId="2F3540DC"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3.1 Research Approach and Rationale</w:t>
      </w:r>
    </w:p>
    <w:p w14:paraId="2905F6F0" w14:textId="521C6970" w:rsidR="0055542F"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study adopts an action research approach, which bridges theory and practice, enabling practitioners to investigate and reflect on their work to implement improvements within real educational settings (McAteer, 2013). Kemmis and McTaggart (2005) similarly describe action research as a participatory, reflective process through which practitioners examine their practice to enhance understanding, foster change, and improve outcomes. The study follows the action research cycle</w:t>
      </w:r>
      <w:r w:rsidR="00080502" w:rsidRPr="00E61ECF">
        <w:rPr>
          <w:rFonts w:ascii="Times New Roman" w:eastAsia="Times New Roman" w:hAnsi="Times New Roman" w:cs="Times New Roman"/>
          <w:sz w:val="24"/>
          <w:szCs w:val="24"/>
          <w:lang w:eastAsia="en-GB"/>
        </w:rPr>
        <w:t xml:space="preserve">, </w:t>
      </w:r>
      <w:r w:rsidRPr="00E61ECF">
        <w:rPr>
          <w:rFonts w:ascii="Times New Roman" w:eastAsia="Times New Roman" w:hAnsi="Times New Roman" w:cs="Times New Roman"/>
          <w:sz w:val="24"/>
          <w:szCs w:val="24"/>
          <w:lang w:eastAsia="en-GB"/>
        </w:rPr>
        <w:t>planning, action, observation, and reflection</w:t>
      </w:r>
      <w:r w:rsidR="00080502" w:rsidRPr="00E61ECF">
        <w:rPr>
          <w:rFonts w:ascii="Times New Roman" w:eastAsia="Times New Roman" w:hAnsi="Times New Roman" w:cs="Times New Roman"/>
          <w:sz w:val="24"/>
          <w:szCs w:val="24"/>
          <w:lang w:eastAsia="en-GB"/>
        </w:rPr>
        <w:t xml:space="preserve">, </w:t>
      </w:r>
      <w:r w:rsidRPr="00E61ECF">
        <w:rPr>
          <w:rFonts w:ascii="Times New Roman" w:eastAsia="Times New Roman" w:hAnsi="Times New Roman" w:cs="Times New Roman"/>
          <w:sz w:val="24"/>
          <w:szCs w:val="24"/>
          <w:lang w:eastAsia="en-GB"/>
        </w:rPr>
        <w:t xml:space="preserve">focusing on the initial planning and investigation phase. Findings and recommendations from this phase can inform future cycles of practice throughout my teaching career. This iterative process </w:t>
      </w:r>
      <w:r w:rsidRPr="00E61ECF">
        <w:rPr>
          <w:rFonts w:ascii="Times New Roman" w:eastAsia="Times New Roman" w:hAnsi="Times New Roman" w:cs="Times New Roman"/>
          <w:sz w:val="24"/>
          <w:szCs w:val="24"/>
          <w:lang w:eastAsia="en-GB"/>
        </w:rPr>
        <w:lastRenderedPageBreak/>
        <w:t>aligns with programme requirements for practitioner-researchers and allows me, as a trainee teacher in the PCET sector, to explore issues in my teaching context systematically. It also supports evidence-based, practical improvements guided by my reflections, experiences, and active engagement in teaching.</w:t>
      </w:r>
    </w:p>
    <w:p w14:paraId="64DF25CF"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3.2 Research Questions</w:t>
      </w:r>
    </w:p>
    <w:p w14:paraId="5FBA611F" w14:textId="77777777" w:rsidR="0055542F"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The study is guided by three research questions, developed with input from my programme tutor and refined through preliminary literature review:</w:t>
      </w:r>
    </w:p>
    <w:p w14:paraId="0C2CC3D2" w14:textId="77777777" w:rsidR="0055542F" w:rsidRPr="00E61ECF" w:rsidRDefault="0055542F" w:rsidP="0055542F">
      <w:pPr>
        <w:numPr>
          <w:ilvl w:val="0"/>
          <w:numId w:val="19"/>
        </w:num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What are the key gaps and challenges in Arabic language teaching within the post-16 sector in the UK, particularly in the Welsh context and at UWTSD?</w:t>
      </w:r>
    </w:p>
    <w:p w14:paraId="2C6115CC" w14:textId="77777777" w:rsidR="0055542F" w:rsidRPr="00E61ECF" w:rsidRDefault="0055542F" w:rsidP="0055542F">
      <w:pPr>
        <w:numPr>
          <w:ilvl w:val="0"/>
          <w:numId w:val="19"/>
        </w:num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How do current teaching practices, resources, and curriculum design influence learner engagement, progression, and outcomes in Arabic language courses?</w:t>
      </w:r>
    </w:p>
    <w:p w14:paraId="238E0A07" w14:textId="77777777" w:rsidR="0055542F" w:rsidRPr="00E61ECF" w:rsidRDefault="0055542F" w:rsidP="0055542F">
      <w:pPr>
        <w:numPr>
          <w:ilvl w:val="0"/>
          <w:numId w:val="19"/>
        </w:num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What evidence-based recommendations can address these gaps and enhance Arabic language provision at UWTSD and across the wider post-16 sector?</w:t>
      </w:r>
    </w:p>
    <w:p w14:paraId="1B237CFF"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3.3 Data Collection Methods</w:t>
      </w:r>
    </w:p>
    <w:p w14:paraId="3B7EFCEE" w14:textId="77777777" w:rsidR="0055542F"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Data were collected using multiple methods to ensure triangulation. Six Arabic language teachers in post-16 settings across Swansea and other regions of Wales participated, representing further education colleges, Arabic adult education centres within Islamic centres, and private tutoring. Participants responded to guided questions exploring professional experiences, challenges, resources, professional development access, and learner needs. Institutional information from UWTSD’s information centre provided contextual background. While UWTSD informed institutional context, participant evidence reflects a broader range of post-16 Arabic teaching in Wales.</w:t>
      </w:r>
    </w:p>
    <w:p w14:paraId="11BA1C71"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3.4 Ethical Considerations</w:t>
      </w:r>
    </w:p>
    <w:p w14:paraId="2BE1D6B2" w14:textId="77777777" w:rsidR="0055542F"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Research followed UWTSD ethical guidelines. Ethical approval was obtained prior to data collection. Participants received clear written and verbal information about the study, their rights, and data usage, with informed consent obtained before participation. Anonymity and confidentiality were maintained using pseudonyms. Research involved professionals in their roles, avoiding vulnerable populations or highly sensitive topics, in full compliance with university ethics requirements.</w:t>
      </w:r>
    </w:p>
    <w:p w14:paraId="11F6349F"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lastRenderedPageBreak/>
        <w:t>3.5 Data Analysis</w:t>
      </w:r>
    </w:p>
    <w:p w14:paraId="2D4D75F4" w14:textId="77777777" w:rsidR="0055542F"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Teacher data were analysed using Braun and Clarke’s (2006) six-phase thematic analysis, including familiarisation, coding, theme identification, review, definition, and report production. Iterative analysis allowed reflection and verification with participants to ensure accuracy. UWTSD institutional data were similarly coded, contextualising teachers’ perspectives within Wales’ educational landscape. This triangulated approach captured practical teaching realities and broader contextual factors, enhancing credibility and providing a comprehensive understanding of sector gaps and challenges.</w:t>
      </w:r>
    </w:p>
    <w:p w14:paraId="0FB2E257" w14:textId="77777777" w:rsidR="0055542F" w:rsidRPr="00E61ECF" w:rsidRDefault="0055542F"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3.6 Limitations</w:t>
      </w:r>
    </w:p>
    <w:p w14:paraId="59EAE06A" w14:textId="3A1317C0" w:rsidR="00311542" w:rsidRPr="00E61ECF" w:rsidRDefault="0055542F" w:rsidP="0055542F">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Limitations include a small sample drawn primarily from Swansea and surrounding areas, limiting generalisability. Data rely on self-reported teacher perspectives, with learner views represented indirectly, potentially introducing subjectivity (Denzin &amp; Lincoln, 2011). My insider perspective provides contextual insight but may also introduce bias (Berger, 2015). The study focuses on identifying gaps and recommendations rather than implementing interventions, requiring future cycles to evaluate their effectiveness.</w:t>
      </w:r>
    </w:p>
    <w:p w14:paraId="0CF66F7E" w14:textId="4FEF5B53" w:rsidR="001A6C46" w:rsidRPr="00E61ECF" w:rsidRDefault="001A6C46" w:rsidP="00BA5DDC">
      <w:pPr>
        <w:pStyle w:val="Heading1"/>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8"/>
          <w:szCs w:val="28"/>
          <w:lang w:eastAsia="en-GB"/>
        </w:rPr>
        <w:t>4.</w:t>
      </w:r>
      <w:r w:rsidR="00CB01A7" w:rsidRPr="00E61ECF">
        <w:rPr>
          <w:rFonts w:ascii="Times New Roman" w:eastAsia="Times New Roman" w:hAnsi="Times New Roman" w:cs="Times New Roman"/>
          <w:b/>
          <w:bCs/>
          <w:color w:val="auto"/>
          <w:sz w:val="28"/>
          <w:szCs w:val="28"/>
          <w:lang w:eastAsia="en-GB"/>
        </w:rPr>
        <w:t>0</w:t>
      </w:r>
      <w:r w:rsidRPr="00E61ECF">
        <w:rPr>
          <w:rFonts w:ascii="Times New Roman" w:eastAsia="Times New Roman" w:hAnsi="Times New Roman" w:cs="Times New Roman"/>
          <w:b/>
          <w:bCs/>
          <w:color w:val="auto"/>
          <w:sz w:val="28"/>
          <w:szCs w:val="28"/>
          <w:lang w:eastAsia="en-GB"/>
        </w:rPr>
        <w:t xml:space="preserve"> Results, Evidence, Discussion, and Conclusion</w:t>
      </w:r>
    </w:p>
    <w:p w14:paraId="651FDAFB" w14:textId="77777777" w:rsidR="001A6C46" w:rsidRPr="00E61ECF" w:rsidRDefault="001A6C46"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4.1 Findings</w:t>
      </w:r>
    </w:p>
    <w:p w14:paraId="1220AE54"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Thematic analysis of consultant interviews and documentary evidence identified five interconnected themes characterising gaps and challenges in Arabic language teaching across the post-16 sector in Wales. Each theme is presented below with illustrative quotations from six participants in Swansea and other regions, supplemented by evidence from the Information Centre at University of Wales Trinity Saint David (UWTSD).</w:t>
      </w:r>
    </w:p>
    <w:p w14:paraId="0ACC7BB9" w14:textId="2C8F5984" w:rsidR="001A6C46" w:rsidRPr="00E61ECF" w:rsidRDefault="001A6C46" w:rsidP="00BA5DDC">
      <w:pPr>
        <w:spacing w:before="100" w:beforeAutospacing="1" w:after="120" w:afterAutospacing="1" w:line="360" w:lineRule="auto"/>
        <w:outlineLvl w:val="3"/>
        <w:rPr>
          <w:rFonts w:ascii="Times New Roman" w:eastAsia="Times New Roman" w:hAnsi="Times New Roman" w:cs="Times New Roman"/>
          <w:b/>
          <w:bCs/>
          <w:sz w:val="28"/>
          <w:szCs w:val="28"/>
          <w:lang w:eastAsia="en-GB"/>
        </w:rPr>
      </w:pPr>
      <w:r w:rsidRPr="00E61ECF">
        <w:rPr>
          <w:rFonts w:ascii="Times New Roman" w:eastAsia="Times New Roman" w:hAnsi="Times New Roman" w:cs="Times New Roman"/>
          <w:b/>
          <w:bCs/>
          <w:sz w:val="24"/>
          <w:szCs w:val="28"/>
          <w:lang w:eastAsia="en-GB"/>
        </w:rPr>
        <w:t xml:space="preserve">Theme </w:t>
      </w:r>
      <w:r w:rsidR="00CB01A7" w:rsidRPr="00E61ECF">
        <w:rPr>
          <w:rFonts w:ascii="Times New Roman" w:eastAsia="Times New Roman" w:hAnsi="Times New Roman" w:cs="Times New Roman"/>
          <w:b/>
          <w:bCs/>
          <w:sz w:val="24"/>
          <w:szCs w:val="28"/>
          <w:lang w:eastAsia="en-GB"/>
        </w:rPr>
        <w:t>0</w:t>
      </w:r>
      <w:r w:rsidRPr="00E61ECF">
        <w:rPr>
          <w:rFonts w:ascii="Times New Roman" w:eastAsia="Times New Roman" w:hAnsi="Times New Roman" w:cs="Times New Roman"/>
          <w:b/>
          <w:bCs/>
          <w:sz w:val="24"/>
          <w:szCs w:val="28"/>
          <w:lang w:eastAsia="en-GB"/>
        </w:rPr>
        <w:t>1: Marginalisation and Limited Access</w:t>
      </w:r>
    </w:p>
    <w:p w14:paraId="61B32C51"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Across the data, Arabic language teaching emerged as both inconsistent and marginalised within post-16 education. Unlike widely taught European languages such as French, Spanish, or German, Arabic occupies a limited niche and is rarely established as a regular subject in further education colleges or sixth forms. Participants consistently described provision as </w:t>
      </w:r>
      <w:r w:rsidRPr="00E61ECF">
        <w:rPr>
          <w:rFonts w:ascii="Times New Roman" w:eastAsia="Times New Roman" w:hAnsi="Times New Roman" w:cs="Times New Roman"/>
          <w:sz w:val="24"/>
          <w:szCs w:val="24"/>
          <w:lang w:eastAsia="en-GB"/>
        </w:rPr>
        <w:lastRenderedPageBreak/>
        <w:t>sporadic and peripheral, dependent on individual institutional initiatives rather than embedded within mainstream curricula.</w:t>
      </w:r>
    </w:p>
    <w:p w14:paraId="31B7FD89"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Participant A highlighted the absence of a stable system: </w:t>
      </w:r>
      <w:r w:rsidRPr="00E61ECF">
        <w:rPr>
          <w:rFonts w:ascii="Times New Roman" w:eastAsia="Times New Roman" w:hAnsi="Times New Roman" w:cs="Times New Roman"/>
          <w:i/>
          <w:iCs/>
          <w:sz w:val="24"/>
          <w:szCs w:val="24"/>
          <w:lang w:eastAsia="en-GB"/>
        </w:rPr>
        <w:t>“There is no real system. Each college does its own thing. If a student moves from one college to another, they might find themselves repeating work or encountering significant gaps.”</w:t>
      </w:r>
      <w:r w:rsidRPr="00E61ECF">
        <w:rPr>
          <w:rFonts w:ascii="Times New Roman" w:eastAsia="Times New Roman" w:hAnsi="Times New Roman" w:cs="Times New Roman"/>
          <w:sz w:val="24"/>
          <w:szCs w:val="24"/>
          <w:lang w:eastAsia="en-GB"/>
        </w:rPr>
        <w:t xml:space="preserve"> Similarly, Participant C illustrated the consequences of marginalisation: </w:t>
      </w:r>
      <w:r w:rsidRPr="00E61ECF">
        <w:rPr>
          <w:rFonts w:ascii="Times New Roman" w:eastAsia="Times New Roman" w:hAnsi="Times New Roman" w:cs="Times New Roman"/>
          <w:i/>
          <w:iCs/>
          <w:sz w:val="24"/>
          <w:szCs w:val="24"/>
          <w:lang w:eastAsia="en-GB"/>
        </w:rPr>
        <w:t>“Students come to me with certificates from other places. Sometimes the certificates look impressive, but the student cannot hold a basic conversation. At other times, they have nothing to show for it that others will recognise.”</w:t>
      </w:r>
    </w:p>
    <w:p w14:paraId="7A865000"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Document analysis confirms that while GCSE and A level frameworks provide structure for younger learners, no equivalent widely adopted framework exists for post-16 Arabic provision. Marginalisation thus restricts access, disrupts progression, and reinforces Arabic’s peripheral status in post-16 education.</w:t>
      </w:r>
    </w:p>
    <w:p w14:paraId="0DB80B09" w14:textId="1269F90B" w:rsidR="001A6C46" w:rsidRPr="00E61ECF" w:rsidRDefault="001A6C46" w:rsidP="00BA5DDC">
      <w:pPr>
        <w:spacing w:before="100" w:beforeAutospacing="1" w:after="120" w:afterAutospacing="1" w:line="360" w:lineRule="auto"/>
        <w:outlineLvl w:val="3"/>
        <w:rPr>
          <w:rFonts w:ascii="Times New Roman" w:eastAsia="Times New Roman" w:hAnsi="Times New Roman" w:cs="Times New Roman"/>
          <w:b/>
          <w:bCs/>
          <w:sz w:val="28"/>
          <w:szCs w:val="28"/>
          <w:lang w:eastAsia="en-GB"/>
        </w:rPr>
      </w:pPr>
      <w:r w:rsidRPr="00E61ECF">
        <w:rPr>
          <w:rFonts w:ascii="Times New Roman" w:eastAsia="Times New Roman" w:hAnsi="Times New Roman" w:cs="Times New Roman"/>
          <w:b/>
          <w:bCs/>
          <w:sz w:val="24"/>
          <w:szCs w:val="28"/>
          <w:lang w:eastAsia="en-GB"/>
        </w:rPr>
        <w:t xml:space="preserve">Theme </w:t>
      </w:r>
      <w:r w:rsidR="00CB01A7" w:rsidRPr="00E61ECF">
        <w:rPr>
          <w:rFonts w:ascii="Times New Roman" w:eastAsia="Times New Roman" w:hAnsi="Times New Roman" w:cs="Times New Roman"/>
          <w:b/>
          <w:bCs/>
          <w:sz w:val="24"/>
          <w:szCs w:val="28"/>
          <w:lang w:eastAsia="en-GB"/>
        </w:rPr>
        <w:t>0</w:t>
      </w:r>
      <w:r w:rsidRPr="00E61ECF">
        <w:rPr>
          <w:rFonts w:ascii="Times New Roman" w:eastAsia="Times New Roman" w:hAnsi="Times New Roman" w:cs="Times New Roman"/>
          <w:b/>
          <w:bCs/>
          <w:sz w:val="24"/>
          <w:szCs w:val="28"/>
          <w:lang w:eastAsia="en-GB"/>
        </w:rPr>
        <w:t>2: Curriculum Instability and Institutional Support</w:t>
      </w:r>
    </w:p>
    <w:p w14:paraId="688C15A2"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Arabic provision is rarely a stable, fully developed subject pathway and is often delivered inconsistently. Participant D noted: </w:t>
      </w:r>
      <w:r w:rsidRPr="00E61ECF">
        <w:rPr>
          <w:rFonts w:ascii="Times New Roman" w:eastAsia="Times New Roman" w:hAnsi="Times New Roman" w:cs="Times New Roman"/>
          <w:i/>
          <w:iCs/>
          <w:sz w:val="24"/>
          <w:szCs w:val="24"/>
          <w:lang w:eastAsia="en-GB"/>
        </w:rPr>
        <w:t>“In most cases, Arabic is not offered as a proper course. It is more like support for GCSE or A level students who already study it elsewhere.”</w:t>
      </w:r>
    </w:p>
    <w:p w14:paraId="6126DEFC"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Small class sizes exacerbate instability. Participant E observed: </w:t>
      </w:r>
      <w:r w:rsidRPr="00E61ECF">
        <w:rPr>
          <w:rFonts w:ascii="Times New Roman" w:eastAsia="Times New Roman" w:hAnsi="Times New Roman" w:cs="Times New Roman"/>
          <w:i/>
          <w:iCs/>
          <w:sz w:val="24"/>
          <w:szCs w:val="24"/>
          <w:lang w:eastAsia="en-GB"/>
        </w:rPr>
        <w:t>“The classes are usually very small, sometimes only one or two students, which makes it difficult for colleges to justify running a full course.”</w:t>
      </w:r>
      <w:r w:rsidRPr="00E61ECF">
        <w:rPr>
          <w:rFonts w:ascii="Times New Roman" w:eastAsia="Times New Roman" w:hAnsi="Times New Roman" w:cs="Times New Roman"/>
          <w:sz w:val="24"/>
          <w:szCs w:val="24"/>
          <w:lang w:eastAsia="en-GB"/>
        </w:rPr>
        <w:t xml:space="preserve"> Provision often depends on temporary arrangements rather than permanent institutional structures. Participant F explained: </w:t>
      </w:r>
      <w:r w:rsidRPr="00E61ECF">
        <w:rPr>
          <w:rFonts w:ascii="Times New Roman" w:eastAsia="Times New Roman" w:hAnsi="Times New Roman" w:cs="Times New Roman"/>
          <w:i/>
          <w:iCs/>
          <w:sz w:val="24"/>
          <w:szCs w:val="24"/>
          <w:lang w:eastAsia="en-GB"/>
        </w:rPr>
        <w:t>“Often the college brings in an external teacher or relies on temporary funding. There is no permanent position for Arabic, so the course only runs if the right person is available.”</w:t>
      </w:r>
    </w:p>
    <w:p w14:paraId="2B456268"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At higher education level, Arabic is offered intermittently. Institutional evidence indicates: </w:t>
      </w:r>
      <w:r w:rsidRPr="00E61ECF">
        <w:rPr>
          <w:rFonts w:ascii="Times New Roman" w:eastAsia="Times New Roman" w:hAnsi="Times New Roman" w:cs="Times New Roman"/>
          <w:i/>
          <w:iCs/>
          <w:sz w:val="24"/>
          <w:szCs w:val="24"/>
          <w:lang w:eastAsia="en-GB"/>
        </w:rPr>
        <w:t>“Cardiff University runs Arabic programmes from time to time, but they are not permanent. Students cannot rely on the course being available each year”</w:t>
      </w:r>
      <w:r w:rsidRPr="00E61ECF">
        <w:rPr>
          <w:rFonts w:ascii="Times New Roman" w:eastAsia="Times New Roman" w:hAnsi="Times New Roman" w:cs="Times New Roman"/>
          <w:sz w:val="24"/>
          <w:szCs w:val="24"/>
          <w:lang w:eastAsia="en-GB"/>
        </w:rPr>
        <w:t xml:space="preserve"> (UWTSD CRM Enquiries Team, 2026, personal communication). At Swansea University, Arabic is often embedded within translation or language studies departments: </w:t>
      </w:r>
      <w:r w:rsidRPr="00E61ECF">
        <w:rPr>
          <w:rFonts w:ascii="Times New Roman" w:eastAsia="Times New Roman" w:hAnsi="Times New Roman" w:cs="Times New Roman"/>
          <w:i/>
          <w:iCs/>
          <w:sz w:val="24"/>
          <w:szCs w:val="24"/>
          <w:lang w:eastAsia="en-GB"/>
        </w:rPr>
        <w:t xml:space="preserve">“Arabic exists as part of the translation department, so it is not always visible as its own field of study. The focus is limited and </w:t>
      </w:r>
      <w:r w:rsidRPr="00E61ECF">
        <w:rPr>
          <w:rFonts w:ascii="Times New Roman" w:eastAsia="Times New Roman" w:hAnsi="Times New Roman" w:cs="Times New Roman"/>
          <w:i/>
          <w:iCs/>
          <w:sz w:val="24"/>
          <w:szCs w:val="24"/>
          <w:lang w:eastAsia="en-GB"/>
        </w:rPr>
        <w:lastRenderedPageBreak/>
        <w:t>opportunities for comprehensive learning are restricted”</w:t>
      </w:r>
      <w:r w:rsidRPr="00E61ECF">
        <w:rPr>
          <w:rFonts w:ascii="Times New Roman" w:eastAsia="Times New Roman" w:hAnsi="Times New Roman" w:cs="Times New Roman"/>
          <w:sz w:val="24"/>
          <w:szCs w:val="24"/>
          <w:lang w:eastAsia="en-GB"/>
        </w:rPr>
        <w:t xml:space="preserve"> (UWTSD CRM Enquiries Team, 2026, personal communication).</w:t>
      </w:r>
    </w:p>
    <w:p w14:paraId="1FDD0919"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theme underscores that instability in curriculum and institutional support undermines teaching continuity, effectiveness, and long-term sustainability.</w:t>
      </w:r>
    </w:p>
    <w:p w14:paraId="7DB2CB56" w14:textId="0683D78B" w:rsidR="001A6C46" w:rsidRPr="00E61ECF" w:rsidRDefault="001A6C46" w:rsidP="00BA5DDC">
      <w:pPr>
        <w:spacing w:before="100" w:beforeAutospacing="1" w:after="120" w:afterAutospacing="1" w:line="360" w:lineRule="auto"/>
        <w:outlineLvl w:val="3"/>
        <w:rPr>
          <w:rFonts w:ascii="Times New Roman" w:eastAsia="Times New Roman" w:hAnsi="Times New Roman" w:cs="Times New Roman"/>
          <w:b/>
          <w:bCs/>
          <w:sz w:val="28"/>
          <w:szCs w:val="28"/>
          <w:lang w:eastAsia="en-GB"/>
        </w:rPr>
      </w:pPr>
      <w:r w:rsidRPr="00E61ECF">
        <w:rPr>
          <w:rFonts w:ascii="Times New Roman" w:eastAsia="Times New Roman" w:hAnsi="Times New Roman" w:cs="Times New Roman"/>
          <w:b/>
          <w:bCs/>
          <w:sz w:val="24"/>
          <w:szCs w:val="28"/>
          <w:lang w:eastAsia="en-GB"/>
        </w:rPr>
        <w:t xml:space="preserve">Theme </w:t>
      </w:r>
      <w:r w:rsidR="00CB01A7" w:rsidRPr="00E61ECF">
        <w:rPr>
          <w:rFonts w:ascii="Times New Roman" w:eastAsia="Times New Roman" w:hAnsi="Times New Roman" w:cs="Times New Roman"/>
          <w:b/>
          <w:bCs/>
          <w:sz w:val="24"/>
          <w:szCs w:val="28"/>
          <w:lang w:eastAsia="en-GB"/>
        </w:rPr>
        <w:t>0</w:t>
      </w:r>
      <w:r w:rsidRPr="00E61ECF">
        <w:rPr>
          <w:rFonts w:ascii="Times New Roman" w:eastAsia="Times New Roman" w:hAnsi="Times New Roman" w:cs="Times New Roman"/>
          <w:b/>
          <w:bCs/>
          <w:sz w:val="24"/>
          <w:szCs w:val="28"/>
          <w:lang w:eastAsia="en-GB"/>
        </w:rPr>
        <w:t>3: Challenges in Resource Provision</w:t>
      </w:r>
    </w:p>
    <w:p w14:paraId="4F2F987A" w14:textId="4248DF2E"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Limited teaching and learning materials compound challenges. Resources are often designed for full-time university students rather than post-16 learners with employment or family responsibilities. Participant D explained: </w:t>
      </w:r>
      <w:r w:rsidRPr="00E61ECF">
        <w:rPr>
          <w:rFonts w:ascii="Times New Roman" w:eastAsia="Times New Roman" w:hAnsi="Times New Roman" w:cs="Times New Roman"/>
          <w:i/>
          <w:iCs/>
          <w:sz w:val="24"/>
          <w:szCs w:val="24"/>
          <w:lang w:eastAsia="en-GB"/>
        </w:rPr>
        <w:t xml:space="preserve">“Because it is not a proper subject in the college, there is no set curriculum or agreed materials. Each teacher </w:t>
      </w:r>
      <w:r w:rsidR="00BA5DDC" w:rsidRPr="00E61ECF">
        <w:rPr>
          <w:rFonts w:ascii="Times New Roman" w:eastAsia="Times New Roman" w:hAnsi="Times New Roman" w:cs="Times New Roman"/>
          <w:i/>
          <w:iCs/>
          <w:sz w:val="24"/>
          <w:szCs w:val="24"/>
          <w:lang w:eastAsia="en-GB"/>
        </w:rPr>
        <w:t>must</w:t>
      </w:r>
      <w:r w:rsidRPr="00E61ECF">
        <w:rPr>
          <w:rFonts w:ascii="Times New Roman" w:eastAsia="Times New Roman" w:hAnsi="Times New Roman" w:cs="Times New Roman"/>
          <w:i/>
          <w:iCs/>
          <w:sz w:val="24"/>
          <w:szCs w:val="24"/>
          <w:lang w:eastAsia="en-GB"/>
        </w:rPr>
        <w:t xml:space="preserve"> decide what to use.”</w:t>
      </w:r>
    </w:p>
    <w:p w14:paraId="6FF9726F"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Reliance on ad hoc resources, combined with small classes and intermittent support, creates inconsistency in provision. Teachers must invest significant time and expertise to develop or adapt materials, which not all are equipped to do. Consequently, resource limitations restrict both the scope and quality of teaching.</w:t>
      </w:r>
    </w:p>
    <w:p w14:paraId="4FA7FEAA" w14:textId="0AF099FC" w:rsidR="001A6C46" w:rsidRPr="00E61ECF" w:rsidRDefault="001A6C46" w:rsidP="00BA5DDC">
      <w:pPr>
        <w:spacing w:before="100" w:beforeAutospacing="1" w:after="120" w:afterAutospacing="1" w:line="360" w:lineRule="auto"/>
        <w:outlineLvl w:val="3"/>
        <w:rPr>
          <w:rFonts w:ascii="Times New Roman" w:eastAsia="Times New Roman" w:hAnsi="Times New Roman" w:cs="Times New Roman"/>
          <w:b/>
          <w:bCs/>
          <w:sz w:val="28"/>
          <w:szCs w:val="28"/>
          <w:lang w:eastAsia="en-GB"/>
        </w:rPr>
      </w:pPr>
      <w:r w:rsidRPr="00E61ECF">
        <w:rPr>
          <w:rFonts w:ascii="Times New Roman" w:eastAsia="Times New Roman" w:hAnsi="Times New Roman" w:cs="Times New Roman"/>
          <w:b/>
          <w:bCs/>
          <w:sz w:val="24"/>
          <w:szCs w:val="28"/>
          <w:lang w:eastAsia="en-GB"/>
        </w:rPr>
        <w:t xml:space="preserve">Theme </w:t>
      </w:r>
      <w:r w:rsidR="00CB01A7" w:rsidRPr="00E61ECF">
        <w:rPr>
          <w:rFonts w:ascii="Times New Roman" w:eastAsia="Times New Roman" w:hAnsi="Times New Roman" w:cs="Times New Roman"/>
          <w:b/>
          <w:bCs/>
          <w:sz w:val="24"/>
          <w:szCs w:val="28"/>
          <w:lang w:eastAsia="en-GB"/>
        </w:rPr>
        <w:t>0</w:t>
      </w:r>
      <w:r w:rsidRPr="00E61ECF">
        <w:rPr>
          <w:rFonts w:ascii="Times New Roman" w:eastAsia="Times New Roman" w:hAnsi="Times New Roman" w:cs="Times New Roman"/>
          <w:b/>
          <w:bCs/>
          <w:sz w:val="24"/>
          <w:szCs w:val="28"/>
          <w:lang w:eastAsia="en-GB"/>
        </w:rPr>
        <w:t>4: Learner Diversity and Unmet Needs</w:t>
      </w:r>
    </w:p>
    <w:p w14:paraId="7AE1A0C9"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Learner populations are highly diverse, with varying motivations and requirements. Participant E described: </w:t>
      </w:r>
      <w:r w:rsidRPr="00E61ECF">
        <w:rPr>
          <w:rFonts w:ascii="Times New Roman" w:eastAsia="Times New Roman" w:hAnsi="Times New Roman" w:cs="Times New Roman"/>
          <w:i/>
          <w:iCs/>
          <w:sz w:val="24"/>
          <w:szCs w:val="24"/>
          <w:lang w:eastAsia="en-GB"/>
        </w:rPr>
        <w:t>“My classes include heritage learners who grew up speaking a family dialect at home but cannot read or write in Arabic. They include professionals who need Arabic for their work in healthcare, security, or local government. They include university students preparing for study abroad or research. They include retired people learning for personal interest. They include converts to Islam who want to read religious texts. These groups need completely different things from a language course, but they are all in the same room together.”</w:t>
      </w:r>
    </w:p>
    <w:p w14:paraId="3CE247D7"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Heritage learners present unique challenges. Participant C noted: </w:t>
      </w:r>
      <w:r w:rsidRPr="00E61ECF">
        <w:rPr>
          <w:rFonts w:ascii="Times New Roman" w:eastAsia="Times New Roman" w:hAnsi="Times New Roman" w:cs="Times New Roman"/>
          <w:i/>
          <w:iCs/>
          <w:sz w:val="24"/>
          <w:szCs w:val="24"/>
          <w:lang w:eastAsia="en-GB"/>
        </w:rPr>
        <w:t>“Heritage learners come with oral skills that beginners do not have. They can understand a lot, they can express themselves in conversation, but they have no literacy and often no understanding of grammar. They need something completely different from beginners. But we do not have separate classes for them, so they end up in mixed groups where neither their needs nor the beginners’ needs are fully met. They get bored with the slow pace of oral work, but they struggle with the literacy demands. It is not fair to anyone.”</w:t>
      </w:r>
    </w:p>
    <w:p w14:paraId="4FEAD0A8" w14:textId="71B69638"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lastRenderedPageBreak/>
        <w:t xml:space="preserve">Professional learners face distinct challenges. Participant B remarked: </w:t>
      </w:r>
      <w:r w:rsidRPr="00E61ECF">
        <w:rPr>
          <w:rFonts w:ascii="Times New Roman" w:eastAsia="Times New Roman" w:hAnsi="Times New Roman" w:cs="Times New Roman"/>
          <w:i/>
          <w:iCs/>
          <w:sz w:val="24"/>
          <w:szCs w:val="24"/>
          <w:lang w:eastAsia="en-GB"/>
        </w:rPr>
        <w:t xml:space="preserve">“I have students who work in healthcare, who need to conduct initial assessments with Arabic-speaking patients. I have students in local government who need to understand community concerns. Our courses are general, designed for nobody </w:t>
      </w:r>
      <w:r w:rsidR="009565BA" w:rsidRPr="00E61ECF">
        <w:rPr>
          <w:rFonts w:ascii="Times New Roman" w:eastAsia="Times New Roman" w:hAnsi="Times New Roman" w:cs="Times New Roman"/>
          <w:i/>
          <w:iCs/>
          <w:sz w:val="24"/>
          <w:szCs w:val="24"/>
          <w:lang w:eastAsia="en-GB"/>
        </w:rPr>
        <w:t>and</w:t>
      </w:r>
      <w:r w:rsidRPr="00E61ECF">
        <w:rPr>
          <w:rFonts w:ascii="Times New Roman" w:eastAsia="Times New Roman" w:hAnsi="Times New Roman" w:cs="Times New Roman"/>
          <w:i/>
          <w:iCs/>
          <w:sz w:val="24"/>
          <w:szCs w:val="24"/>
          <w:lang w:eastAsia="en-GB"/>
        </w:rPr>
        <w:t xml:space="preserve"> therefore not </w:t>
      </w:r>
      <w:r w:rsidR="009565BA" w:rsidRPr="00E61ECF">
        <w:rPr>
          <w:rFonts w:ascii="Times New Roman" w:eastAsia="Times New Roman" w:hAnsi="Times New Roman" w:cs="Times New Roman"/>
          <w:i/>
          <w:iCs/>
          <w:sz w:val="24"/>
          <w:szCs w:val="24"/>
          <w:lang w:eastAsia="en-GB"/>
        </w:rPr>
        <w:t>suitable</w:t>
      </w:r>
      <w:r w:rsidRPr="00E61ECF">
        <w:rPr>
          <w:rFonts w:ascii="Times New Roman" w:eastAsia="Times New Roman" w:hAnsi="Times New Roman" w:cs="Times New Roman"/>
          <w:i/>
          <w:iCs/>
          <w:sz w:val="24"/>
          <w:szCs w:val="24"/>
          <w:lang w:eastAsia="en-GB"/>
        </w:rPr>
        <w:t xml:space="preserve"> for anybody. I try to adapt, to bring in relevant materials, but I am not a healthcare professional, I do not know exactly what they need. There is a gap between what we provide and what they </w:t>
      </w:r>
      <w:r w:rsidR="009565BA" w:rsidRPr="00E61ECF">
        <w:rPr>
          <w:rFonts w:ascii="Times New Roman" w:eastAsia="Times New Roman" w:hAnsi="Times New Roman" w:cs="Times New Roman"/>
          <w:i/>
          <w:iCs/>
          <w:sz w:val="24"/>
          <w:szCs w:val="24"/>
          <w:lang w:eastAsia="en-GB"/>
        </w:rPr>
        <w:t>require</w:t>
      </w:r>
      <w:r w:rsidRPr="00E61ECF">
        <w:rPr>
          <w:rFonts w:ascii="Times New Roman" w:eastAsia="Times New Roman" w:hAnsi="Times New Roman" w:cs="Times New Roman"/>
          <w:i/>
          <w:iCs/>
          <w:sz w:val="24"/>
          <w:szCs w:val="24"/>
          <w:lang w:eastAsia="en-GB"/>
        </w:rPr>
        <w:t>.”</w:t>
      </w:r>
    </w:p>
    <w:p w14:paraId="7E5396CB"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theme highlights that courses rarely meet the varied needs of learners, leaving gaps in both relevance and effectiveness.</w:t>
      </w:r>
    </w:p>
    <w:p w14:paraId="67CCDAD0" w14:textId="4B500BA6" w:rsidR="001A6C46" w:rsidRPr="00E61ECF" w:rsidRDefault="001A6C46" w:rsidP="00BA5DDC">
      <w:pPr>
        <w:spacing w:before="100" w:beforeAutospacing="1" w:after="120" w:afterAutospacing="1" w:line="360" w:lineRule="auto"/>
        <w:outlineLvl w:val="3"/>
        <w:rPr>
          <w:rFonts w:ascii="Times New Roman" w:eastAsia="Times New Roman" w:hAnsi="Times New Roman" w:cs="Times New Roman"/>
          <w:b/>
          <w:bCs/>
          <w:sz w:val="28"/>
          <w:szCs w:val="28"/>
          <w:lang w:eastAsia="en-GB"/>
        </w:rPr>
      </w:pPr>
      <w:r w:rsidRPr="00E61ECF">
        <w:rPr>
          <w:rFonts w:ascii="Times New Roman" w:eastAsia="Times New Roman" w:hAnsi="Times New Roman" w:cs="Times New Roman"/>
          <w:b/>
          <w:bCs/>
          <w:sz w:val="24"/>
          <w:szCs w:val="28"/>
          <w:lang w:eastAsia="en-GB"/>
        </w:rPr>
        <w:t xml:space="preserve">Theme </w:t>
      </w:r>
      <w:r w:rsidR="00CB01A7" w:rsidRPr="00E61ECF">
        <w:rPr>
          <w:rFonts w:ascii="Times New Roman" w:eastAsia="Times New Roman" w:hAnsi="Times New Roman" w:cs="Times New Roman"/>
          <w:b/>
          <w:bCs/>
          <w:sz w:val="24"/>
          <w:szCs w:val="28"/>
          <w:lang w:eastAsia="en-GB"/>
        </w:rPr>
        <w:t>0</w:t>
      </w:r>
      <w:r w:rsidRPr="00E61ECF">
        <w:rPr>
          <w:rFonts w:ascii="Times New Roman" w:eastAsia="Times New Roman" w:hAnsi="Times New Roman" w:cs="Times New Roman"/>
          <w:b/>
          <w:bCs/>
          <w:sz w:val="24"/>
          <w:szCs w:val="28"/>
          <w:lang w:eastAsia="en-GB"/>
        </w:rPr>
        <w:t>5: Fragmented Provision within Post-16 Institutions</w:t>
      </w:r>
    </w:p>
    <w:p w14:paraId="38F33B26"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Arabic provision across post-16 institutions is fragmented. It is rarely a standalone subject and is often absent from mainstream curricula. Where content exists, it is usually embedded within broader programmes rather than delivered as a specialised discipline. The UWTSD CRM Enquiries Team (2026, personal communication) reported: </w:t>
      </w:r>
      <w:r w:rsidRPr="00E61ECF">
        <w:rPr>
          <w:rFonts w:ascii="Times New Roman" w:eastAsia="Times New Roman" w:hAnsi="Times New Roman" w:cs="Times New Roman"/>
          <w:i/>
          <w:iCs/>
          <w:sz w:val="24"/>
          <w:szCs w:val="24"/>
          <w:lang w:eastAsia="en-GB"/>
        </w:rPr>
        <w:t>“Whilst we do not offer Arabic language programmes or Islamic studies as a single course, the programme does discuss beliefs and practices in major religions, including Islam.”</w:t>
      </w:r>
    </w:p>
    <w:p w14:paraId="7F4BC646" w14:textId="05F3CA16"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Institutional evidence confirms that dedicated Arabic programmes are not provided. Degrees in Religion, Philosophy, and Ethics include discussion of Islam, but structured Arabic instruction is absent (UWTSD CRM Enquiries Team, 2026, personal communication). </w:t>
      </w:r>
      <w:r w:rsidR="008C72FC" w:rsidRPr="00E61ECF">
        <w:rPr>
          <w:rFonts w:ascii="Times New Roman" w:eastAsia="Times New Roman" w:hAnsi="Times New Roman" w:cs="Times New Roman"/>
          <w:sz w:val="24"/>
          <w:szCs w:val="24"/>
          <w:lang w:eastAsia="en-GB"/>
        </w:rPr>
        <w:t>Fragmented provision limits learner progression</w:t>
      </w:r>
      <w:r w:rsidRPr="00E61ECF">
        <w:rPr>
          <w:rFonts w:ascii="Times New Roman" w:eastAsia="Times New Roman" w:hAnsi="Times New Roman" w:cs="Times New Roman"/>
          <w:sz w:val="24"/>
          <w:szCs w:val="24"/>
          <w:lang w:eastAsia="en-GB"/>
        </w:rPr>
        <w:t xml:space="preserve"> reduces visibility of </w:t>
      </w:r>
      <w:r w:rsidR="00080502" w:rsidRPr="00E61ECF">
        <w:rPr>
          <w:rFonts w:ascii="Times New Roman" w:eastAsia="Times New Roman" w:hAnsi="Times New Roman" w:cs="Times New Roman"/>
          <w:sz w:val="24"/>
          <w:szCs w:val="24"/>
          <w:lang w:eastAsia="en-GB"/>
        </w:rPr>
        <w:t>Arabic and</w:t>
      </w:r>
      <w:r w:rsidRPr="00E61ECF">
        <w:rPr>
          <w:rFonts w:ascii="Times New Roman" w:eastAsia="Times New Roman" w:hAnsi="Times New Roman" w:cs="Times New Roman"/>
          <w:sz w:val="24"/>
          <w:szCs w:val="24"/>
          <w:lang w:eastAsia="en-GB"/>
        </w:rPr>
        <w:t xml:space="preserve"> often relegates teaching to supplementary or informal settings rather than fully integrated curricula.</w:t>
      </w:r>
    </w:p>
    <w:p w14:paraId="190272C1" w14:textId="77777777" w:rsidR="001A6C46" w:rsidRPr="00E61ECF" w:rsidRDefault="001A6C46"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4.2 Discussion</w:t>
      </w:r>
    </w:p>
    <w:p w14:paraId="0DF90B64"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The findings reinforce research highlighting Arabic’s marginal and fragmented status within UK education. Limited and inconsistent post-16 provision reflects broader national patterns, where Arabic is often positioned outside mainstream modern foreign language curricula. This aligns with Soliman and Khalil (2022), who argue that Arabic teaching in the UK is frequently confined to supplementary or community-based contexts rather than fully integrated into formal education.</w:t>
      </w:r>
    </w:p>
    <w:p w14:paraId="2636B46D"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The lack of stable curricula and progression pathways identified in this study supports concerns raised by the British Academy (2018) about uneven distribution of Arabic provision </w:t>
      </w:r>
      <w:r w:rsidRPr="00E61ECF">
        <w:rPr>
          <w:rFonts w:ascii="Times New Roman" w:eastAsia="Times New Roman" w:hAnsi="Times New Roman" w:cs="Times New Roman"/>
          <w:sz w:val="24"/>
          <w:szCs w:val="24"/>
          <w:lang w:eastAsia="en-GB"/>
        </w:rPr>
        <w:lastRenderedPageBreak/>
        <w:t>and gaps between school and higher education. From a sociocultural perspective, marginalisation limits learners’ opportunities to engage meaningfully with the language, constraining linguistic development and intercultural competence.</w:t>
      </w:r>
    </w:p>
    <w:p w14:paraId="1BB47CD0"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Significant pedagogical challenges were observed in relation to resource limitations and learner diversity, particularly the distinction between heritage and non-heritage learners. These findings echo Al-Batal (2017), who critiques the emphasis on Modern Standard Arabic over communicative competence, and Ryding (as cited in Wahba et al., 2018), who stresses the need for differentiated approaches. Challenges in mixed-ability classrooms and mismatched course content further reflect broader curriculum design issues, especially in contexts characterised by linguistic diglossia.</w:t>
      </w:r>
    </w:p>
    <w:p w14:paraId="00F514D6" w14:textId="448C9BFF"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Without targeted curriculum reform, improved resource development, and stronger institutional support, Arabic programmes are likely to continue struggling to meet the diverse and evolving needs of learners in the post-16 sector.</w:t>
      </w:r>
    </w:p>
    <w:p w14:paraId="552CFFA0" w14:textId="77777777" w:rsidR="001A6C46" w:rsidRPr="00E61ECF" w:rsidRDefault="001A6C46" w:rsidP="00BA5DDC">
      <w:pPr>
        <w:pStyle w:val="Heading2"/>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t>4.3 Conclusion</w:t>
      </w:r>
    </w:p>
    <w:p w14:paraId="3A578B92" w14:textId="77777777"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This study has identified significant gaps and challenges in Arabic teaching across post-16 education in Wales, particularly regarding marginalisation, curriculum instability, limited resources, and unmet learner needs. Arabic remains a peripheral subject, lacking structured pathways, institutional support, and consistent teaching frameworks. These issues restrict learning opportunities, hinder progression, and limit the overall development of Arabic provision.</w:t>
      </w:r>
    </w:p>
    <w:p w14:paraId="4B923B4D" w14:textId="2D8233B5" w:rsidR="001A6C46" w:rsidRPr="00E61ECF" w:rsidRDefault="001A6C46" w:rsidP="001A6C46">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The findings highlight the need for coherent curriculum design, improved resource development, and stronger institutional commitment to Arabic as a strategically important subject.</w:t>
      </w:r>
      <w:r w:rsidR="00080502" w:rsidRPr="00E61ECF">
        <w:rPr>
          <w:rFonts w:ascii="Times New Roman" w:eastAsia="Times New Roman" w:hAnsi="Times New Roman" w:cs="Times New Roman"/>
          <w:sz w:val="24"/>
          <w:szCs w:val="24"/>
          <w:lang w:eastAsia="en-GB"/>
        </w:rPr>
        <w:t xml:space="preserve"> </w:t>
      </w:r>
      <w:r w:rsidRPr="00E61ECF">
        <w:rPr>
          <w:rFonts w:ascii="Times New Roman" w:eastAsia="Times New Roman" w:hAnsi="Times New Roman" w:cs="Times New Roman"/>
          <w:sz w:val="24"/>
          <w:szCs w:val="24"/>
          <w:lang w:eastAsia="en-GB"/>
        </w:rPr>
        <w:t>Addressing these challenges requires collaboration between policymakers, educational institutions, and practitioners to create sustainable, inclusive language programmes. Such developments would enhance learner engagement, improve teaching quality, and contribute to greater recognition of Arabic within the UK post-16 education system.</w:t>
      </w:r>
    </w:p>
    <w:p w14:paraId="46118920" w14:textId="58DBB47F" w:rsidR="008C72FC" w:rsidRPr="00E61ECF" w:rsidRDefault="008C72FC" w:rsidP="00BA5DDC">
      <w:pPr>
        <w:pStyle w:val="Heading1"/>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8"/>
          <w:szCs w:val="28"/>
          <w:lang w:eastAsia="en-GB"/>
        </w:rPr>
        <w:lastRenderedPageBreak/>
        <w:t>5.</w:t>
      </w:r>
      <w:r w:rsidR="00CB01A7" w:rsidRPr="00E61ECF">
        <w:rPr>
          <w:rFonts w:ascii="Times New Roman" w:eastAsia="Times New Roman" w:hAnsi="Times New Roman" w:cs="Times New Roman"/>
          <w:b/>
          <w:bCs/>
          <w:color w:val="auto"/>
          <w:sz w:val="28"/>
          <w:szCs w:val="28"/>
          <w:lang w:eastAsia="en-GB"/>
        </w:rPr>
        <w:t>0</w:t>
      </w:r>
      <w:r w:rsidRPr="00E61ECF">
        <w:rPr>
          <w:rFonts w:ascii="Times New Roman" w:eastAsia="Times New Roman" w:hAnsi="Times New Roman" w:cs="Times New Roman"/>
          <w:b/>
          <w:bCs/>
          <w:color w:val="auto"/>
          <w:sz w:val="28"/>
          <w:szCs w:val="28"/>
          <w:lang w:eastAsia="en-GB"/>
        </w:rPr>
        <w:t xml:space="preserve"> Recommendations</w:t>
      </w:r>
    </w:p>
    <w:p w14:paraId="29C66EE3"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Based on this study’s findings, several practical recommendations can address gaps in Arabic language teaching across the post-16 sector in Wales, focusing on curriculum design, institutional support, resource provision, and learner diversity.</w:t>
      </w:r>
    </w:p>
    <w:p w14:paraId="3C98C146"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Firstly, a coherent and standardised curriculum framework for post-16 Arabic is essential. Current inconsistencies between institutions limit learner progression and continuity from GCSE and A level. Establishing a national or regional framework, aligned with existing qualification structures, would provide clear progression pathways and ensure more uniform teaching standards. The curriculum should integrate both Modern Standard Arabic and relevant spoken varieties to reflect the sociolinguistic reality of the language and support learners’ communicative competence, as emphasised in the literature.</w:t>
      </w:r>
    </w:p>
    <w:p w14:paraId="4B3B66DB"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Secondly, greater institutional commitment is needed to secure sustainable provision. Colleges and universities should move beyond ad hoc arrangements by investing in permanent teaching positions and embedding Arabic within mainstream language programmes. Reliance on temporary staff and short-term funding contributes to instability and disrupts continuity. Higher education institutions should consider offering Arabic as a standalone subject rather than embedding it solely within broader disciplines such as translation or religious studies. This approach would enhance the visibility and status of Arabic and provide clearer progression routes for learners.</w:t>
      </w:r>
    </w:p>
    <w:p w14:paraId="40E5C3E3"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Thirdly, improving teaching and learning resources is crucial. Materials should be specifically designed for post-16 learners, particularly adults balancing work or family commitments. Resources should cover all proficiency levels, especially intermediate and advanced stages, where current provision is weakest. High-quality digital resources and authentic materials, such as media content, can enhance engagement and provide exposure to real-life language use. Effective integration of these resources should be guided by clear pedagogical strategies to ensure their impact on learning outcomes.</w:t>
      </w:r>
    </w:p>
    <w:p w14:paraId="4998BD9F"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 further recommendation is the adoption of differentiated teaching approaches that address learner diversity. Classrooms often include heritage learners, beginners, and professionals with specific goals. Flexible curricula or separate learning pathways can better meet these varied needs. Heritage learners may benefit from literacy-focused instruction, while </w:t>
      </w:r>
      <w:r w:rsidRPr="00E61ECF">
        <w:rPr>
          <w:rFonts w:ascii="Times New Roman" w:eastAsia="Times New Roman" w:hAnsi="Times New Roman" w:cs="Times New Roman"/>
          <w:sz w:val="24"/>
          <w:szCs w:val="24"/>
          <w:lang w:eastAsia="en-GB"/>
        </w:rPr>
        <w:lastRenderedPageBreak/>
        <w:t>professional learners require specialised, context-based language training linked to fields such as healthcare or public services. This approach ensures courses are relevant and effective for all learners.</w:t>
      </w:r>
    </w:p>
    <w:p w14:paraId="03AF54A8"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Finally, strengthening professional development for Arabic teachers is essential. Access to training in curriculum design, assessment, and teaching methodologies would enable educators to deliver more inclusive and effective learning experiences. Encouraging collaboration and sharing of best practice among teachers can reduce inconsistencies, ease the burden of independently developing materials, and enhance overall teaching quality.</w:t>
      </w:r>
    </w:p>
    <w:p w14:paraId="784F66FA" w14:textId="77777777" w:rsidR="008C72FC" w:rsidRPr="00E61ECF" w:rsidRDefault="008C72FC" w:rsidP="008C72FC">
      <w:pPr>
        <w:spacing w:before="100" w:beforeAutospacing="1" w:after="120" w:afterAutospacing="1" w:line="360" w:lineRule="auto"/>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Implementing these recommendations would create a more structured, inclusive, and sustainable model of Arabic language education in the UK post-16 sector. Such developments would support learners’ progression, improve teaching quality, and elevate the status of Arabic as a modern foreign language within formal education.</w:t>
      </w:r>
    </w:p>
    <w:p w14:paraId="7979CE2A" w14:textId="77777777" w:rsidR="00E43D9C" w:rsidRPr="00E61ECF" w:rsidRDefault="00E43D9C" w:rsidP="00E43D9C">
      <w:pPr>
        <w:spacing w:before="480" w:after="120" w:line="360" w:lineRule="auto"/>
        <w:jc w:val="both"/>
        <w:outlineLvl w:val="1"/>
        <w:rPr>
          <w:rFonts w:ascii="Times New Roman" w:eastAsia="Times New Roman" w:hAnsi="Times New Roman" w:cs="Times New Roman"/>
          <w:sz w:val="24"/>
          <w:szCs w:val="24"/>
          <w:lang w:eastAsia="en-GB"/>
        </w:rPr>
      </w:pPr>
    </w:p>
    <w:p w14:paraId="4BF34C06" w14:textId="77777777" w:rsidR="00E43D9C" w:rsidRPr="00E61ECF" w:rsidRDefault="00E43D9C" w:rsidP="00E43D9C">
      <w:pPr>
        <w:spacing w:before="480" w:after="120" w:line="360" w:lineRule="auto"/>
        <w:jc w:val="both"/>
        <w:outlineLvl w:val="1"/>
        <w:rPr>
          <w:rFonts w:ascii="Times New Roman" w:eastAsia="Times New Roman" w:hAnsi="Times New Roman" w:cs="Times New Roman"/>
          <w:sz w:val="24"/>
          <w:szCs w:val="24"/>
          <w:lang w:eastAsia="en-GB"/>
        </w:rPr>
      </w:pPr>
    </w:p>
    <w:p w14:paraId="70D9C487" w14:textId="77777777" w:rsidR="00E43D9C" w:rsidRPr="00E61ECF" w:rsidRDefault="00E43D9C" w:rsidP="00E43D9C">
      <w:pPr>
        <w:spacing w:before="480" w:after="120" w:line="360" w:lineRule="auto"/>
        <w:jc w:val="both"/>
        <w:outlineLvl w:val="1"/>
        <w:rPr>
          <w:rFonts w:ascii="Times New Roman" w:eastAsia="Times New Roman" w:hAnsi="Times New Roman" w:cs="Times New Roman"/>
          <w:sz w:val="24"/>
          <w:szCs w:val="24"/>
          <w:lang w:eastAsia="en-GB"/>
        </w:rPr>
      </w:pPr>
    </w:p>
    <w:p w14:paraId="0C6389B4" w14:textId="77777777" w:rsidR="00311542" w:rsidRPr="00E61ECF" w:rsidRDefault="00311542" w:rsidP="00E43D9C">
      <w:pPr>
        <w:spacing w:before="480" w:after="120" w:line="360" w:lineRule="auto"/>
        <w:jc w:val="both"/>
        <w:outlineLvl w:val="1"/>
        <w:rPr>
          <w:rFonts w:ascii="Times New Roman" w:eastAsia="Times New Roman" w:hAnsi="Times New Roman" w:cs="Times New Roman"/>
          <w:sz w:val="24"/>
          <w:szCs w:val="24"/>
          <w:lang w:eastAsia="en-GB"/>
        </w:rPr>
      </w:pPr>
    </w:p>
    <w:p w14:paraId="1D07F5C0" w14:textId="77777777" w:rsidR="009565BA" w:rsidRPr="00E61ECF" w:rsidRDefault="009565BA" w:rsidP="00E43D9C">
      <w:pPr>
        <w:spacing w:before="480" w:after="120" w:line="360" w:lineRule="auto"/>
        <w:jc w:val="both"/>
        <w:outlineLvl w:val="2"/>
        <w:rPr>
          <w:rFonts w:ascii="Times New Roman" w:eastAsia="Times New Roman" w:hAnsi="Times New Roman" w:cs="Times New Roman"/>
          <w:sz w:val="24"/>
          <w:szCs w:val="24"/>
          <w:lang w:eastAsia="en-GB"/>
        </w:rPr>
      </w:pPr>
    </w:p>
    <w:p w14:paraId="34974C12" w14:textId="77777777" w:rsidR="00021CF1" w:rsidRPr="00E61ECF" w:rsidRDefault="00021CF1" w:rsidP="00E43D9C">
      <w:pPr>
        <w:spacing w:before="480" w:after="120" w:line="360" w:lineRule="auto"/>
        <w:jc w:val="both"/>
        <w:outlineLvl w:val="2"/>
        <w:rPr>
          <w:rFonts w:ascii="Times New Roman" w:eastAsia="Times New Roman" w:hAnsi="Times New Roman" w:cs="Times New Roman"/>
          <w:sz w:val="24"/>
          <w:szCs w:val="24"/>
          <w:lang w:eastAsia="en-GB"/>
        </w:rPr>
      </w:pPr>
    </w:p>
    <w:p w14:paraId="6EB256F4" w14:textId="77777777" w:rsidR="00021CF1" w:rsidRPr="00E61ECF" w:rsidRDefault="00021CF1" w:rsidP="00E43D9C">
      <w:pPr>
        <w:spacing w:before="480" w:after="120" w:line="360" w:lineRule="auto"/>
        <w:jc w:val="both"/>
        <w:outlineLvl w:val="2"/>
        <w:rPr>
          <w:rFonts w:ascii="Times New Roman" w:eastAsia="Times New Roman" w:hAnsi="Times New Roman" w:cs="Times New Roman"/>
          <w:sz w:val="24"/>
          <w:szCs w:val="24"/>
          <w:lang w:eastAsia="en-GB"/>
        </w:rPr>
      </w:pPr>
    </w:p>
    <w:p w14:paraId="12FE3E38" w14:textId="77777777" w:rsidR="00021CF1" w:rsidRPr="00E61ECF" w:rsidRDefault="00021CF1" w:rsidP="00E43D9C">
      <w:pPr>
        <w:spacing w:before="480" w:after="120" w:line="360" w:lineRule="auto"/>
        <w:jc w:val="both"/>
        <w:outlineLvl w:val="2"/>
        <w:rPr>
          <w:rFonts w:ascii="Times New Roman" w:eastAsia="Times New Roman" w:hAnsi="Times New Roman" w:cs="Times New Roman"/>
          <w:sz w:val="24"/>
          <w:szCs w:val="24"/>
          <w:lang w:eastAsia="en-GB"/>
        </w:rPr>
      </w:pPr>
    </w:p>
    <w:p w14:paraId="614DFEDC" w14:textId="75E9CB25" w:rsidR="00170518" w:rsidRPr="00E61ECF" w:rsidRDefault="00170518" w:rsidP="00BA5DDC">
      <w:pPr>
        <w:pStyle w:val="Heading1"/>
        <w:spacing w:before="100" w:beforeAutospacing="1" w:after="120" w:afterAutospacing="1" w:line="360" w:lineRule="auto"/>
        <w:rPr>
          <w:rFonts w:ascii="Times New Roman" w:eastAsia="Times New Roman" w:hAnsi="Times New Roman" w:cs="Times New Roman"/>
          <w:b/>
          <w:bCs/>
          <w:color w:val="auto"/>
          <w:sz w:val="28"/>
          <w:szCs w:val="28"/>
          <w:lang w:eastAsia="en-GB"/>
        </w:rPr>
      </w:pPr>
      <w:r w:rsidRPr="00E61ECF">
        <w:rPr>
          <w:rFonts w:ascii="Times New Roman" w:eastAsia="Times New Roman" w:hAnsi="Times New Roman" w:cs="Times New Roman"/>
          <w:b/>
          <w:bCs/>
          <w:color w:val="auto"/>
          <w:sz w:val="24"/>
          <w:szCs w:val="28"/>
          <w:lang w:eastAsia="en-GB"/>
        </w:rPr>
        <w:lastRenderedPageBreak/>
        <w:t>6. Reference</w:t>
      </w:r>
      <w:r w:rsidR="00EC6E77" w:rsidRPr="00E61ECF">
        <w:rPr>
          <w:rFonts w:ascii="Times New Roman" w:eastAsia="Times New Roman" w:hAnsi="Times New Roman" w:cs="Times New Roman"/>
          <w:b/>
          <w:bCs/>
          <w:color w:val="auto"/>
          <w:sz w:val="24"/>
          <w:szCs w:val="28"/>
          <w:lang w:eastAsia="en-GB"/>
        </w:rPr>
        <w:t xml:space="preserve"> List</w:t>
      </w:r>
    </w:p>
    <w:p w14:paraId="08372195"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Al-Batal, M. (2017) </w:t>
      </w:r>
      <w:r w:rsidRPr="00E61ECF">
        <w:rPr>
          <w:rFonts w:ascii="Times New Roman" w:eastAsia="Times New Roman" w:hAnsi="Times New Roman" w:cs="Times New Roman"/>
          <w:i/>
          <w:iCs/>
          <w:sz w:val="24"/>
          <w:szCs w:val="24"/>
          <w:lang w:eastAsia="en-GB"/>
        </w:rPr>
        <w:t>Arabic as one language: Integrating dialect in the Arabic language curriculum</w:t>
      </w:r>
      <w:r w:rsidRPr="00E61ECF">
        <w:rPr>
          <w:rFonts w:ascii="Times New Roman" w:eastAsia="Times New Roman" w:hAnsi="Times New Roman" w:cs="Times New Roman"/>
          <w:sz w:val="24"/>
          <w:szCs w:val="24"/>
          <w:lang w:eastAsia="en-GB"/>
        </w:rPr>
        <w:t>. Washington, DC: Georgetown University Press.</w:t>
      </w:r>
    </w:p>
    <w:p w14:paraId="460FF492"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Berger, R. (2015) ‘Now I see it, now I don’t: Researcher’s position and reflexivity in qualitative research’, </w:t>
      </w:r>
      <w:r w:rsidRPr="00E61ECF">
        <w:rPr>
          <w:rFonts w:ascii="Times New Roman" w:eastAsia="Times New Roman" w:hAnsi="Times New Roman" w:cs="Times New Roman"/>
          <w:i/>
          <w:iCs/>
          <w:sz w:val="24"/>
          <w:szCs w:val="24"/>
          <w:lang w:eastAsia="en-GB"/>
        </w:rPr>
        <w:t>Qualitative Research</w:t>
      </w:r>
      <w:r w:rsidRPr="00E61ECF">
        <w:rPr>
          <w:rFonts w:ascii="Times New Roman" w:eastAsia="Times New Roman" w:hAnsi="Times New Roman" w:cs="Times New Roman"/>
          <w:sz w:val="24"/>
          <w:szCs w:val="24"/>
          <w:lang w:eastAsia="en-GB"/>
        </w:rPr>
        <w:t>, 15(2), pp. 219–234.</w:t>
      </w:r>
    </w:p>
    <w:p w14:paraId="6D265BA7"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Bernasek, L. and Canning, J. (2009) ‘Influences on the teaching of Arabic and Islamic studies in UK higher education: Connections and disconnections’, </w:t>
      </w:r>
      <w:r w:rsidRPr="00E61ECF">
        <w:rPr>
          <w:rFonts w:ascii="Times New Roman" w:eastAsia="Times New Roman" w:hAnsi="Times New Roman" w:cs="Times New Roman"/>
          <w:i/>
          <w:iCs/>
          <w:sz w:val="24"/>
          <w:szCs w:val="24"/>
          <w:lang w:eastAsia="en-GB"/>
        </w:rPr>
        <w:t>Arts and Humanities in Higher Education</w:t>
      </w:r>
      <w:r w:rsidRPr="00E61ECF">
        <w:rPr>
          <w:rFonts w:ascii="Times New Roman" w:eastAsia="Times New Roman" w:hAnsi="Times New Roman" w:cs="Times New Roman"/>
          <w:sz w:val="24"/>
          <w:szCs w:val="24"/>
          <w:lang w:eastAsia="en-GB"/>
        </w:rPr>
        <w:t>, 8(3), pp. 259–275.</w:t>
      </w:r>
    </w:p>
    <w:p w14:paraId="739714F8"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British Academy (2018) </w:t>
      </w:r>
      <w:r w:rsidRPr="00E61ECF">
        <w:rPr>
          <w:rFonts w:ascii="Times New Roman" w:eastAsia="Times New Roman" w:hAnsi="Times New Roman" w:cs="Times New Roman"/>
          <w:i/>
          <w:iCs/>
          <w:sz w:val="24"/>
          <w:szCs w:val="24"/>
          <w:lang w:eastAsia="en-GB"/>
        </w:rPr>
        <w:t>Arabic language provision in the UK: Mapping project</w:t>
      </w:r>
      <w:r w:rsidRPr="00E61ECF">
        <w:rPr>
          <w:rFonts w:ascii="Times New Roman" w:eastAsia="Times New Roman" w:hAnsi="Times New Roman" w:cs="Times New Roman"/>
          <w:sz w:val="24"/>
          <w:szCs w:val="24"/>
          <w:lang w:eastAsia="en-GB"/>
        </w:rPr>
        <w:t xml:space="preserve">. Available at: </w:t>
      </w:r>
      <w:hyperlink r:id="rId14" w:history="1">
        <w:r w:rsidRPr="00E61ECF">
          <w:rPr>
            <w:rFonts w:ascii="Times New Roman" w:eastAsia="Times New Roman" w:hAnsi="Times New Roman" w:cs="Times New Roman"/>
            <w:sz w:val="24"/>
            <w:szCs w:val="24"/>
            <w:u w:val="single"/>
            <w:lang w:eastAsia="en-GB"/>
          </w:rPr>
          <w:t>https://www.thebritishacademy.ac.uk/projects/arabic-mapping-project/</w:t>
        </w:r>
      </w:hyperlink>
      <w:r w:rsidRPr="00E61ECF">
        <w:rPr>
          <w:rFonts w:ascii="Times New Roman" w:eastAsia="Times New Roman" w:hAnsi="Times New Roman" w:cs="Times New Roman"/>
          <w:sz w:val="24"/>
          <w:szCs w:val="24"/>
          <w:lang w:eastAsia="en-GB"/>
        </w:rPr>
        <w:t xml:space="preserve"> (Accessed: 3 March 2026).</w:t>
      </w:r>
    </w:p>
    <w:p w14:paraId="060C5F50"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British Council (2013) </w:t>
      </w:r>
      <w:r w:rsidRPr="00E61ECF">
        <w:rPr>
          <w:rFonts w:ascii="Times New Roman" w:eastAsia="Times New Roman" w:hAnsi="Times New Roman" w:cs="Times New Roman"/>
          <w:i/>
          <w:iCs/>
          <w:sz w:val="24"/>
          <w:szCs w:val="24"/>
          <w:lang w:eastAsia="en-GB"/>
        </w:rPr>
        <w:t>Languages for the future 2013</w:t>
      </w:r>
      <w:r w:rsidRPr="00E61ECF">
        <w:rPr>
          <w:rFonts w:ascii="Times New Roman" w:eastAsia="Times New Roman" w:hAnsi="Times New Roman" w:cs="Times New Roman"/>
          <w:sz w:val="24"/>
          <w:szCs w:val="24"/>
          <w:lang w:eastAsia="en-GB"/>
        </w:rPr>
        <w:t xml:space="preserve">. London: British Council. Available at: </w:t>
      </w:r>
      <w:hyperlink r:id="rId15" w:history="1">
        <w:r w:rsidRPr="00E61ECF">
          <w:rPr>
            <w:rFonts w:ascii="Times New Roman" w:eastAsia="Times New Roman" w:hAnsi="Times New Roman" w:cs="Times New Roman"/>
            <w:sz w:val="24"/>
            <w:szCs w:val="24"/>
            <w:u w:val="single"/>
            <w:lang w:eastAsia="en-GB"/>
          </w:rPr>
          <w:t>https://www.britishcouncil.org/research-insight/languages-future-2013</w:t>
        </w:r>
      </w:hyperlink>
      <w:r w:rsidRPr="00E61ECF">
        <w:rPr>
          <w:rFonts w:ascii="Times New Roman" w:eastAsia="Times New Roman" w:hAnsi="Times New Roman" w:cs="Times New Roman"/>
          <w:sz w:val="24"/>
          <w:szCs w:val="24"/>
          <w:lang w:eastAsia="en-GB"/>
        </w:rPr>
        <w:t xml:space="preserve"> (Accessed: 3 March 2026).</w:t>
      </w:r>
    </w:p>
    <w:p w14:paraId="23B14539"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British Council (2017) </w:t>
      </w:r>
      <w:r w:rsidRPr="00E61ECF">
        <w:rPr>
          <w:rFonts w:ascii="Times New Roman" w:eastAsia="Times New Roman" w:hAnsi="Times New Roman" w:cs="Times New Roman"/>
          <w:i/>
          <w:iCs/>
          <w:sz w:val="24"/>
          <w:szCs w:val="24"/>
          <w:lang w:eastAsia="en-GB"/>
        </w:rPr>
        <w:t>Languages for the future</w:t>
      </w:r>
      <w:r w:rsidRPr="00E61ECF">
        <w:rPr>
          <w:rFonts w:ascii="Times New Roman" w:eastAsia="Times New Roman" w:hAnsi="Times New Roman" w:cs="Times New Roman"/>
          <w:sz w:val="24"/>
          <w:szCs w:val="24"/>
          <w:lang w:eastAsia="en-GB"/>
        </w:rPr>
        <w:t xml:space="preserve">. London: British Council. Available at: </w:t>
      </w:r>
      <w:hyperlink r:id="rId16" w:history="1">
        <w:r w:rsidRPr="00E61ECF">
          <w:rPr>
            <w:rFonts w:ascii="Times New Roman" w:eastAsia="Times New Roman" w:hAnsi="Times New Roman" w:cs="Times New Roman"/>
            <w:sz w:val="24"/>
            <w:szCs w:val="24"/>
            <w:u w:val="single"/>
            <w:lang w:eastAsia="en-GB"/>
          </w:rPr>
          <w:t>https://www.britishcouncil.org/research-insight/languages-future-2017</w:t>
        </w:r>
      </w:hyperlink>
      <w:r w:rsidRPr="00E61ECF">
        <w:rPr>
          <w:rFonts w:ascii="Times New Roman" w:eastAsia="Times New Roman" w:hAnsi="Times New Roman" w:cs="Times New Roman"/>
          <w:sz w:val="24"/>
          <w:szCs w:val="24"/>
          <w:lang w:eastAsia="en-GB"/>
        </w:rPr>
        <w:t xml:space="preserve"> (Accessed: 12 March 2026).</w:t>
      </w:r>
    </w:p>
    <w:p w14:paraId="62B96848"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British Council (2023) </w:t>
      </w:r>
      <w:r w:rsidRPr="00E61ECF">
        <w:rPr>
          <w:rFonts w:ascii="Times New Roman" w:eastAsia="Times New Roman" w:hAnsi="Times New Roman" w:cs="Times New Roman"/>
          <w:i/>
          <w:iCs/>
          <w:sz w:val="24"/>
          <w:szCs w:val="24"/>
          <w:lang w:eastAsia="en-GB"/>
        </w:rPr>
        <w:t>The teaching of Arabic language and cultures in UK schools</w:t>
      </w:r>
      <w:r w:rsidRPr="00E61ECF">
        <w:rPr>
          <w:rFonts w:ascii="Times New Roman" w:eastAsia="Times New Roman" w:hAnsi="Times New Roman" w:cs="Times New Roman"/>
          <w:sz w:val="24"/>
          <w:szCs w:val="24"/>
          <w:lang w:eastAsia="en-GB"/>
        </w:rPr>
        <w:t xml:space="preserve">. London: British Council. Available at: </w:t>
      </w:r>
      <w:hyperlink r:id="rId17" w:history="1">
        <w:r w:rsidRPr="00E61ECF">
          <w:rPr>
            <w:rFonts w:ascii="Times New Roman" w:eastAsia="Times New Roman" w:hAnsi="Times New Roman" w:cs="Times New Roman"/>
            <w:sz w:val="24"/>
            <w:szCs w:val="24"/>
            <w:u w:val="single"/>
            <w:lang w:eastAsia="en-GB"/>
          </w:rPr>
          <w:t>https://www.britishcouncil.org/sites/default/files/the_teaching_of_arabic_language_and_cultures_in_uk_schools.pdf</w:t>
        </w:r>
      </w:hyperlink>
      <w:r w:rsidRPr="00E61ECF">
        <w:rPr>
          <w:rFonts w:ascii="Times New Roman" w:eastAsia="Times New Roman" w:hAnsi="Times New Roman" w:cs="Times New Roman"/>
          <w:sz w:val="24"/>
          <w:szCs w:val="24"/>
          <w:lang w:eastAsia="en-GB"/>
        </w:rPr>
        <w:t xml:space="preserve"> (Accessed: 14 March 2026).</w:t>
      </w:r>
    </w:p>
    <w:p w14:paraId="7DE2846B"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Boyd-Barrett, O. (2015) </w:t>
      </w:r>
      <w:r w:rsidRPr="00E61ECF">
        <w:rPr>
          <w:rFonts w:ascii="Times New Roman" w:eastAsia="Times New Roman" w:hAnsi="Times New Roman" w:cs="Times New Roman"/>
          <w:i/>
          <w:iCs/>
          <w:sz w:val="24"/>
          <w:szCs w:val="24"/>
          <w:lang w:eastAsia="en-GB"/>
        </w:rPr>
        <w:t>Media imperialism</w:t>
      </w:r>
      <w:r w:rsidRPr="00E61ECF">
        <w:rPr>
          <w:rFonts w:ascii="Times New Roman" w:eastAsia="Times New Roman" w:hAnsi="Times New Roman" w:cs="Times New Roman"/>
          <w:sz w:val="24"/>
          <w:szCs w:val="24"/>
          <w:lang w:eastAsia="en-GB"/>
        </w:rPr>
        <w:t>. London: SAGE Publications.</w:t>
      </w:r>
    </w:p>
    <w:p w14:paraId="75FEFD25"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Denzin, N.K. and Lincoln, </w:t>
      </w:r>
      <w:proofErr w:type="spellStart"/>
      <w:r w:rsidRPr="00E61ECF">
        <w:rPr>
          <w:rFonts w:ascii="Times New Roman" w:eastAsia="Times New Roman" w:hAnsi="Times New Roman" w:cs="Times New Roman"/>
          <w:sz w:val="24"/>
          <w:szCs w:val="24"/>
          <w:lang w:eastAsia="en-GB"/>
        </w:rPr>
        <w:t>Y.S</w:t>
      </w:r>
      <w:proofErr w:type="spellEnd"/>
      <w:r w:rsidRPr="00E61ECF">
        <w:rPr>
          <w:rFonts w:ascii="Times New Roman" w:eastAsia="Times New Roman" w:hAnsi="Times New Roman" w:cs="Times New Roman"/>
          <w:sz w:val="24"/>
          <w:szCs w:val="24"/>
          <w:lang w:eastAsia="en-GB"/>
        </w:rPr>
        <w:t xml:space="preserve">. (eds.) (2011) </w:t>
      </w:r>
      <w:r w:rsidRPr="00E61ECF">
        <w:rPr>
          <w:rFonts w:ascii="Times New Roman" w:eastAsia="Times New Roman" w:hAnsi="Times New Roman" w:cs="Times New Roman"/>
          <w:i/>
          <w:iCs/>
          <w:sz w:val="24"/>
          <w:szCs w:val="24"/>
          <w:lang w:eastAsia="en-GB"/>
        </w:rPr>
        <w:t>The SAGE handbook of qualitative research</w:t>
      </w:r>
      <w:r w:rsidRPr="00E61ECF">
        <w:rPr>
          <w:rFonts w:ascii="Times New Roman" w:eastAsia="Times New Roman" w:hAnsi="Times New Roman" w:cs="Times New Roman"/>
          <w:sz w:val="24"/>
          <w:szCs w:val="24"/>
          <w:lang w:eastAsia="en-GB"/>
        </w:rPr>
        <w:t xml:space="preserve">. 4th </w:t>
      </w:r>
      <w:proofErr w:type="spellStart"/>
      <w:r w:rsidRPr="00E61ECF">
        <w:rPr>
          <w:rFonts w:ascii="Times New Roman" w:eastAsia="Times New Roman" w:hAnsi="Times New Roman" w:cs="Times New Roman"/>
          <w:sz w:val="24"/>
          <w:szCs w:val="24"/>
          <w:lang w:eastAsia="en-GB"/>
        </w:rPr>
        <w:t>edn</w:t>
      </w:r>
      <w:proofErr w:type="spellEnd"/>
      <w:r w:rsidRPr="00E61ECF">
        <w:rPr>
          <w:rFonts w:ascii="Times New Roman" w:eastAsia="Times New Roman" w:hAnsi="Times New Roman" w:cs="Times New Roman"/>
          <w:sz w:val="24"/>
          <w:szCs w:val="24"/>
          <w:lang w:eastAsia="en-GB"/>
        </w:rPr>
        <w:t>. Thousand Oaks, CA: SAGE.</w:t>
      </w:r>
    </w:p>
    <w:p w14:paraId="52427372"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Education and Training Foundation (2022) </w:t>
      </w:r>
      <w:r w:rsidRPr="00E61ECF">
        <w:rPr>
          <w:rFonts w:ascii="Times New Roman" w:eastAsia="Times New Roman" w:hAnsi="Times New Roman" w:cs="Times New Roman"/>
          <w:i/>
          <w:iCs/>
          <w:sz w:val="24"/>
          <w:szCs w:val="24"/>
          <w:lang w:eastAsia="en-GB"/>
        </w:rPr>
        <w:t>Professional standards for teachers and trainers in education and training</w:t>
      </w:r>
      <w:r w:rsidRPr="00E61ECF">
        <w:rPr>
          <w:rFonts w:ascii="Times New Roman" w:eastAsia="Times New Roman" w:hAnsi="Times New Roman" w:cs="Times New Roman"/>
          <w:sz w:val="24"/>
          <w:szCs w:val="24"/>
          <w:lang w:eastAsia="en-GB"/>
        </w:rPr>
        <w:t xml:space="preserve">. London: ETF. Available at: </w:t>
      </w:r>
      <w:hyperlink r:id="rId18"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www.et-foundation.co.uk</w:t>
        </w:r>
        <w:proofErr w:type="spellEnd"/>
        <w:r w:rsidRPr="00E61ECF">
          <w:rPr>
            <w:rFonts w:ascii="Times New Roman" w:eastAsia="Times New Roman" w:hAnsi="Times New Roman" w:cs="Times New Roman"/>
            <w:sz w:val="24"/>
            <w:szCs w:val="24"/>
            <w:u w:val="single"/>
            <w:lang w:eastAsia="en-GB"/>
          </w:rPr>
          <w:t>/professional-standards/teachers/</w:t>
        </w:r>
      </w:hyperlink>
      <w:r w:rsidRPr="00E61ECF">
        <w:rPr>
          <w:rFonts w:ascii="Times New Roman" w:eastAsia="Times New Roman" w:hAnsi="Times New Roman" w:cs="Times New Roman"/>
          <w:sz w:val="24"/>
          <w:szCs w:val="24"/>
          <w:lang w:eastAsia="en-GB"/>
        </w:rPr>
        <w:t xml:space="preserve"> (Accessed: 15 March 2026).</w:t>
      </w:r>
    </w:p>
    <w:p w14:paraId="5A53B1C2"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lastRenderedPageBreak/>
        <w:t xml:space="preserve">Freire, P. (1970) </w:t>
      </w:r>
      <w:r w:rsidRPr="00E61ECF">
        <w:rPr>
          <w:rFonts w:ascii="Times New Roman" w:eastAsia="Times New Roman" w:hAnsi="Times New Roman" w:cs="Times New Roman"/>
          <w:i/>
          <w:iCs/>
          <w:sz w:val="24"/>
          <w:szCs w:val="24"/>
          <w:lang w:eastAsia="en-GB"/>
        </w:rPr>
        <w:t>Pedagogy of the oppressed</w:t>
      </w:r>
      <w:r w:rsidRPr="00E61ECF">
        <w:rPr>
          <w:rFonts w:ascii="Times New Roman" w:eastAsia="Times New Roman" w:hAnsi="Times New Roman" w:cs="Times New Roman"/>
          <w:sz w:val="24"/>
          <w:szCs w:val="24"/>
          <w:lang w:eastAsia="en-GB"/>
        </w:rPr>
        <w:t>. New York: Continuum.</w:t>
      </w:r>
    </w:p>
    <w:p w14:paraId="57D7350B"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proofErr w:type="spellStart"/>
      <w:r w:rsidRPr="00E61ECF">
        <w:rPr>
          <w:rFonts w:ascii="Times New Roman" w:eastAsia="Times New Roman" w:hAnsi="Times New Roman" w:cs="Times New Roman"/>
          <w:sz w:val="24"/>
          <w:szCs w:val="24"/>
          <w:lang w:eastAsia="en-GB"/>
        </w:rPr>
        <w:t>Ishkewy</w:t>
      </w:r>
      <w:proofErr w:type="spellEnd"/>
      <w:r w:rsidRPr="00E61ECF">
        <w:rPr>
          <w:rFonts w:ascii="Times New Roman" w:eastAsia="Times New Roman" w:hAnsi="Times New Roman" w:cs="Times New Roman"/>
          <w:sz w:val="24"/>
          <w:szCs w:val="24"/>
          <w:lang w:eastAsia="en-GB"/>
        </w:rPr>
        <w:t>, H., Harb, H. and Farahat, H. (2014) ‘</w:t>
      </w:r>
      <w:proofErr w:type="spellStart"/>
      <w:r w:rsidRPr="00E61ECF">
        <w:rPr>
          <w:rFonts w:ascii="Times New Roman" w:eastAsia="Times New Roman" w:hAnsi="Times New Roman" w:cs="Times New Roman"/>
          <w:sz w:val="24"/>
          <w:szCs w:val="24"/>
          <w:lang w:eastAsia="en-GB"/>
        </w:rPr>
        <w:t>Azhary</w:t>
      </w:r>
      <w:proofErr w:type="spellEnd"/>
      <w:r w:rsidRPr="00E61ECF">
        <w:rPr>
          <w:rFonts w:ascii="Times New Roman" w:eastAsia="Times New Roman" w:hAnsi="Times New Roman" w:cs="Times New Roman"/>
          <w:sz w:val="24"/>
          <w:szCs w:val="24"/>
          <w:lang w:eastAsia="en-GB"/>
        </w:rPr>
        <w:t xml:space="preserve">: An Arabic lexical ontology’, </w:t>
      </w:r>
      <w:proofErr w:type="spellStart"/>
      <w:r w:rsidRPr="00E61ECF">
        <w:rPr>
          <w:rFonts w:ascii="Times New Roman" w:eastAsia="Times New Roman" w:hAnsi="Times New Roman" w:cs="Times New Roman"/>
          <w:i/>
          <w:iCs/>
          <w:sz w:val="24"/>
          <w:szCs w:val="24"/>
          <w:lang w:eastAsia="en-GB"/>
        </w:rPr>
        <w:t>arXiv</w:t>
      </w:r>
      <w:proofErr w:type="spellEnd"/>
      <w:r w:rsidRPr="00E61ECF">
        <w:rPr>
          <w:rFonts w:ascii="Times New Roman" w:eastAsia="Times New Roman" w:hAnsi="Times New Roman" w:cs="Times New Roman"/>
          <w:i/>
          <w:iCs/>
          <w:sz w:val="24"/>
          <w:szCs w:val="24"/>
          <w:lang w:eastAsia="en-GB"/>
        </w:rPr>
        <w:t xml:space="preserve"> preprint</w:t>
      </w:r>
      <w:r w:rsidRPr="00E61ECF">
        <w:rPr>
          <w:rFonts w:ascii="Times New Roman" w:eastAsia="Times New Roman" w:hAnsi="Times New Roman" w:cs="Times New Roman"/>
          <w:sz w:val="24"/>
          <w:szCs w:val="24"/>
          <w:lang w:eastAsia="en-GB"/>
        </w:rPr>
        <w:t xml:space="preserve">, </w:t>
      </w:r>
      <w:proofErr w:type="spellStart"/>
      <w:r w:rsidRPr="00E61ECF">
        <w:rPr>
          <w:rFonts w:ascii="Times New Roman" w:eastAsia="Times New Roman" w:hAnsi="Times New Roman" w:cs="Times New Roman"/>
          <w:sz w:val="24"/>
          <w:szCs w:val="24"/>
          <w:lang w:eastAsia="en-GB"/>
        </w:rPr>
        <w:t>arXiv:1411.1999</w:t>
      </w:r>
      <w:proofErr w:type="spellEnd"/>
      <w:r w:rsidRPr="00E61ECF">
        <w:rPr>
          <w:rFonts w:ascii="Times New Roman" w:eastAsia="Times New Roman" w:hAnsi="Times New Roman" w:cs="Times New Roman"/>
          <w:sz w:val="24"/>
          <w:szCs w:val="24"/>
          <w:lang w:eastAsia="en-GB"/>
        </w:rPr>
        <w:t xml:space="preserve">. Available at: </w:t>
      </w:r>
      <w:hyperlink r:id="rId19"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arxiv.org</w:t>
        </w:r>
        <w:proofErr w:type="spellEnd"/>
        <w:r w:rsidRPr="00E61ECF">
          <w:rPr>
            <w:rFonts w:ascii="Times New Roman" w:eastAsia="Times New Roman" w:hAnsi="Times New Roman" w:cs="Times New Roman"/>
            <w:sz w:val="24"/>
            <w:szCs w:val="24"/>
            <w:u w:val="single"/>
            <w:lang w:eastAsia="en-GB"/>
          </w:rPr>
          <w:t>/abs/1411.1999</w:t>
        </w:r>
      </w:hyperlink>
      <w:r w:rsidRPr="00E61ECF">
        <w:rPr>
          <w:rFonts w:ascii="Times New Roman" w:eastAsia="Times New Roman" w:hAnsi="Times New Roman" w:cs="Times New Roman"/>
          <w:sz w:val="24"/>
          <w:szCs w:val="24"/>
          <w:lang w:eastAsia="en-GB"/>
        </w:rPr>
        <w:t xml:space="preserve"> (Accessed: 9 March 2026).</w:t>
      </w:r>
    </w:p>
    <w:p w14:paraId="761AD177"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Kemmis, S. and McTaggart, R. (2005) ‘Participatory action research: Communicative action and the public sphere’, in Denzin, N.K. and Lincoln, </w:t>
      </w:r>
      <w:proofErr w:type="spellStart"/>
      <w:r w:rsidRPr="00E61ECF">
        <w:rPr>
          <w:rFonts w:ascii="Times New Roman" w:eastAsia="Times New Roman" w:hAnsi="Times New Roman" w:cs="Times New Roman"/>
          <w:sz w:val="24"/>
          <w:szCs w:val="24"/>
          <w:lang w:eastAsia="en-GB"/>
        </w:rPr>
        <w:t>Y.S</w:t>
      </w:r>
      <w:proofErr w:type="spellEnd"/>
      <w:r w:rsidRPr="00E61ECF">
        <w:rPr>
          <w:rFonts w:ascii="Times New Roman" w:eastAsia="Times New Roman" w:hAnsi="Times New Roman" w:cs="Times New Roman"/>
          <w:sz w:val="24"/>
          <w:szCs w:val="24"/>
          <w:lang w:eastAsia="en-GB"/>
        </w:rPr>
        <w:t xml:space="preserve">. (eds.) </w:t>
      </w:r>
      <w:r w:rsidRPr="00E61ECF">
        <w:rPr>
          <w:rFonts w:ascii="Times New Roman" w:eastAsia="Times New Roman" w:hAnsi="Times New Roman" w:cs="Times New Roman"/>
          <w:i/>
          <w:iCs/>
          <w:sz w:val="24"/>
          <w:szCs w:val="24"/>
          <w:lang w:eastAsia="en-GB"/>
        </w:rPr>
        <w:t>The SAGE handbook of qualitative research</w:t>
      </w:r>
      <w:r w:rsidRPr="00E61ECF">
        <w:rPr>
          <w:rFonts w:ascii="Times New Roman" w:eastAsia="Times New Roman" w:hAnsi="Times New Roman" w:cs="Times New Roman"/>
          <w:sz w:val="24"/>
          <w:szCs w:val="24"/>
          <w:lang w:eastAsia="en-GB"/>
        </w:rPr>
        <w:t xml:space="preserve">. 3rd </w:t>
      </w:r>
      <w:proofErr w:type="spellStart"/>
      <w:r w:rsidRPr="00E61ECF">
        <w:rPr>
          <w:rFonts w:ascii="Times New Roman" w:eastAsia="Times New Roman" w:hAnsi="Times New Roman" w:cs="Times New Roman"/>
          <w:sz w:val="24"/>
          <w:szCs w:val="24"/>
          <w:lang w:eastAsia="en-GB"/>
        </w:rPr>
        <w:t>edn</w:t>
      </w:r>
      <w:proofErr w:type="spellEnd"/>
      <w:r w:rsidRPr="00E61ECF">
        <w:rPr>
          <w:rFonts w:ascii="Times New Roman" w:eastAsia="Times New Roman" w:hAnsi="Times New Roman" w:cs="Times New Roman"/>
          <w:sz w:val="24"/>
          <w:szCs w:val="24"/>
          <w:lang w:eastAsia="en-GB"/>
        </w:rPr>
        <w:t>. Thousand Oaks, CA: SAGE, pp. 559–603.</w:t>
      </w:r>
    </w:p>
    <w:p w14:paraId="7DE2C6B3"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McAteer, M. (2013) </w:t>
      </w:r>
      <w:r w:rsidRPr="00E61ECF">
        <w:rPr>
          <w:rFonts w:ascii="Times New Roman" w:eastAsia="Times New Roman" w:hAnsi="Times New Roman" w:cs="Times New Roman"/>
          <w:i/>
          <w:iCs/>
          <w:sz w:val="24"/>
          <w:szCs w:val="24"/>
          <w:lang w:eastAsia="en-GB"/>
        </w:rPr>
        <w:t>Action research in education</w:t>
      </w:r>
      <w:r w:rsidRPr="00E61ECF">
        <w:rPr>
          <w:rFonts w:ascii="Times New Roman" w:eastAsia="Times New Roman" w:hAnsi="Times New Roman" w:cs="Times New Roman"/>
          <w:sz w:val="24"/>
          <w:szCs w:val="24"/>
          <w:lang w:eastAsia="en-GB"/>
        </w:rPr>
        <w:t>. London: SAGE.</w:t>
      </w:r>
    </w:p>
    <w:p w14:paraId="7FEDC69F"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Shlowiy, A. and Saad, M. (2022) ‘The future of Arabic language learning for non-native speakers’, </w:t>
      </w:r>
      <w:proofErr w:type="spellStart"/>
      <w:r w:rsidRPr="00E61ECF">
        <w:rPr>
          <w:rFonts w:ascii="Times New Roman" w:eastAsia="Times New Roman" w:hAnsi="Times New Roman" w:cs="Times New Roman"/>
          <w:i/>
          <w:iCs/>
          <w:sz w:val="24"/>
          <w:szCs w:val="24"/>
          <w:lang w:eastAsia="en-GB"/>
        </w:rPr>
        <w:t>F1000Research</w:t>
      </w:r>
      <w:proofErr w:type="spellEnd"/>
      <w:r w:rsidRPr="00E61ECF">
        <w:rPr>
          <w:rFonts w:ascii="Times New Roman" w:eastAsia="Times New Roman" w:hAnsi="Times New Roman" w:cs="Times New Roman"/>
          <w:sz w:val="24"/>
          <w:szCs w:val="24"/>
          <w:lang w:eastAsia="en-GB"/>
        </w:rPr>
        <w:t xml:space="preserve">. Available at: </w:t>
      </w:r>
      <w:hyperlink r:id="rId20"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f1000research.com</w:t>
        </w:r>
        <w:proofErr w:type="spellEnd"/>
        <w:r w:rsidRPr="00E61ECF">
          <w:rPr>
            <w:rFonts w:ascii="Times New Roman" w:eastAsia="Times New Roman" w:hAnsi="Times New Roman" w:cs="Times New Roman"/>
            <w:sz w:val="24"/>
            <w:szCs w:val="24"/>
            <w:u w:val="single"/>
            <w:lang w:eastAsia="en-GB"/>
          </w:rPr>
          <w:t>/articles/12-27/</w:t>
        </w:r>
        <w:proofErr w:type="spellStart"/>
        <w:r w:rsidRPr="00E61ECF">
          <w:rPr>
            <w:rFonts w:ascii="Times New Roman" w:eastAsia="Times New Roman" w:hAnsi="Times New Roman" w:cs="Times New Roman"/>
            <w:sz w:val="24"/>
            <w:szCs w:val="24"/>
            <w:u w:val="single"/>
            <w:lang w:eastAsia="en-GB"/>
          </w:rPr>
          <w:t>v1</w:t>
        </w:r>
        <w:proofErr w:type="spellEnd"/>
      </w:hyperlink>
      <w:r w:rsidRPr="00E61ECF">
        <w:rPr>
          <w:rFonts w:ascii="Times New Roman" w:eastAsia="Times New Roman" w:hAnsi="Times New Roman" w:cs="Times New Roman"/>
          <w:sz w:val="24"/>
          <w:szCs w:val="24"/>
          <w:lang w:eastAsia="en-GB"/>
        </w:rPr>
        <w:t xml:space="preserve"> (Accessed: 9 March 2026).</w:t>
      </w:r>
    </w:p>
    <w:p w14:paraId="5FE9BCDE"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Soliman, R. and Khalil, S. (2022) ‘The teaching of Arabic as a community language in the UK’, </w:t>
      </w:r>
      <w:r w:rsidRPr="00E61ECF">
        <w:rPr>
          <w:rFonts w:ascii="Times New Roman" w:eastAsia="Times New Roman" w:hAnsi="Times New Roman" w:cs="Times New Roman"/>
          <w:i/>
          <w:iCs/>
          <w:sz w:val="24"/>
          <w:szCs w:val="24"/>
          <w:lang w:eastAsia="en-GB"/>
        </w:rPr>
        <w:t>International Journal of Bilingual Education and Bilingualism</w:t>
      </w:r>
      <w:r w:rsidRPr="00E61ECF">
        <w:rPr>
          <w:rFonts w:ascii="Times New Roman" w:eastAsia="Times New Roman" w:hAnsi="Times New Roman" w:cs="Times New Roman"/>
          <w:sz w:val="24"/>
          <w:szCs w:val="24"/>
          <w:lang w:eastAsia="en-GB"/>
        </w:rPr>
        <w:t xml:space="preserve">. Available at: </w:t>
      </w:r>
      <w:hyperlink r:id="rId21"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doi.org</w:t>
        </w:r>
        <w:proofErr w:type="spellEnd"/>
        <w:r w:rsidRPr="00E61ECF">
          <w:rPr>
            <w:rFonts w:ascii="Times New Roman" w:eastAsia="Times New Roman" w:hAnsi="Times New Roman" w:cs="Times New Roman"/>
            <w:sz w:val="24"/>
            <w:szCs w:val="24"/>
            <w:u w:val="single"/>
            <w:lang w:eastAsia="en-GB"/>
          </w:rPr>
          <w:t>/10.1080/13670050.2022.2063686</w:t>
        </w:r>
      </w:hyperlink>
      <w:r w:rsidRPr="00E61ECF">
        <w:rPr>
          <w:rFonts w:ascii="Times New Roman" w:eastAsia="Times New Roman" w:hAnsi="Times New Roman" w:cs="Times New Roman"/>
          <w:sz w:val="24"/>
          <w:szCs w:val="24"/>
          <w:lang w:eastAsia="en-GB"/>
        </w:rPr>
        <w:t xml:space="preserve"> (Accessed: 11 March 2026).</w:t>
      </w:r>
    </w:p>
    <w:p w14:paraId="24FF7B46"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University Council of Modern Languages (2018) </w:t>
      </w:r>
      <w:r w:rsidRPr="00E61ECF">
        <w:rPr>
          <w:rFonts w:ascii="Times New Roman" w:eastAsia="Times New Roman" w:hAnsi="Times New Roman" w:cs="Times New Roman"/>
          <w:i/>
          <w:iCs/>
          <w:sz w:val="24"/>
          <w:szCs w:val="24"/>
          <w:lang w:eastAsia="en-GB"/>
        </w:rPr>
        <w:t>Language provision in UK MFL departments: 2018 survey</w:t>
      </w:r>
      <w:r w:rsidRPr="00E61ECF">
        <w:rPr>
          <w:rFonts w:ascii="Times New Roman" w:eastAsia="Times New Roman" w:hAnsi="Times New Roman" w:cs="Times New Roman"/>
          <w:sz w:val="24"/>
          <w:szCs w:val="24"/>
          <w:lang w:eastAsia="en-GB"/>
        </w:rPr>
        <w:t xml:space="preserve">. Milton Keynes: The Open University. Available at: </w:t>
      </w:r>
      <w:hyperlink r:id="rId22"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oro.open.ac.uk</w:t>
        </w:r>
        <w:proofErr w:type="spellEnd"/>
        <w:r w:rsidRPr="00E61ECF">
          <w:rPr>
            <w:rFonts w:ascii="Times New Roman" w:eastAsia="Times New Roman" w:hAnsi="Times New Roman" w:cs="Times New Roman"/>
            <w:sz w:val="24"/>
            <w:szCs w:val="24"/>
            <w:u w:val="single"/>
            <w:lang w:eastAsia="en-GB"/>
          </w:rPr>
          <w:t>/57477/</w:t>
        </w:r>
      </w:hyperlink>
      <w:r w:rsidRPr="00E61ECF">
        <w:rPr>
          <w:rFonts w:ascii="Times New Roman" w:eastAsia="Times New Roman" w:hAnsi="Times New Roman" w:cs="Times New Roman"/>
          <w:sz w:val="24"/>
          <w:szCs w:val="24"/>
          <w:lang w:eastAsia="en-GB"/>
        </w:rPr>
        <w:t xml:space="preserve"> (Accessed: 3 March 2026).</w:t>
      </w:r>
    </w:p>
    <w:p w14:paraId="7828F21C"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UWTSD CRM Enquiries Team (2026) Email correspondence with the author, 20 March.</w:t>
      </w:r>
    </w:p>
    <w:p w14:paraId="55DD1987"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Vygotsky, </w:t>
      </w:r>
      <w:proofErr w:type="spellStart"/>
      <w:r w:rsidRPr="00E61ECF">
        <w:rPr>
          <w:rFonts w:ascii="Times New Roman" w:eastAsia="Times New Roman" w:hAnsi="Times New Roman" w:cs="Times New Roman"/>
          <w:sz w:val="24"/>
          <w:szCs w:val="24"/>
          <w:lang w:eastAsia="en-GB"/>
        </w:rPr>
        <w:t>L.S</w:t>
      </w:r>
      <w:proofErr w:type="spellEnd"/>
      <w:r w:rsidRPr="00E61ECF">
        <w:rPr>
          <w:rFonts w:ascii="Times New Roman" w:eastAsia="Times New Roman" w:hAnsi="Times New Roman" w:cs="Times New Roman"/>
          <w:sz w:val="24"/>
          <w:szCs w:val="24"/>
          <w:lang w:eastAsia="en-GB"/>
        </w:rPr>
        <w:t xml:space="preserve">. (1978) </w:t>
      </w:r>
      <w:r w:rsidRPr="00E61ECF">
        <w:rPr>
          <w:rFonts w:ascii="Times New Roman" w:eastAsia="Times New Roman" w:hAnsi="Times New Roman" w:cs="Times New Roman"/>
          <w:i/>
          <w:iCs/>
          <w:sz w:val="24"/>
          <w:szCs w:val="24"/>
          <w:lang w:eastAsia="en-GB"/>
        </w:rPr>
        <w:t>Mind in society: The development of higher psychological processes</w:t>
      </w:r>
      <w:r w:rsidRPr="00E61ECF">
        <w:rPr>
          <w:rFonts w:ascii="Times New Roman" w:eastAsia="Times New Roman" w:hAnsi="Times New Roman" w:cs="Times New Roman"/>
          <w:sz w:val="24"/>
          <w:szCs w:val="24"/>
          <w:lang w:eastAsia="en-GB"/>
        </w:rPr>
        <w:t>. Cambridge, MA: Harvard University Press.</w:t>
      </w:r>
    </w:p>
    <w:p w14:paraId="1E29258A"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Wahba, </w:t>
      </w:r>
      <w:proofErr w:type="spellStart"/>
      <w:r w:rsidRPr="00E61ECF">
        <w:rPr>
          <w:rFonts w:ascii="Times New Roman" w:eastAsia="Times New Roman" w:hAnsi="Times New Roman" w:cs="Times New Roman"/>
          <w:sz w:val="24"/>
          <w:szCs w:val="24"/>
          <w:lang w:eastAsia="en-GB"/>
        </w:rPr>
        <w:t>K.M</w:t>
      </w:r>
      <w:proofErr w:type="spellEnd"/>
      <w:r w:rsidRPr="00E61ECF">
        <w:rPr>
          <w:rFonts w:ascii="Times New Roman" w:eastAsia="Times New Roman" w:hAnsi="Times New Roman" w:cs="Times New Roman"/>
          <w:sz w:val="24"/>
          <w:szCs w:val="24"/>
          <w:lang w:eastAsia="en-GB"/>
        </w:rPr>
        <w:t xml:space="preserve">., Taha, </w:t>
      </w:r>
      <w:proofErr w:type="spellStart"/>
      <w:r w:rsidRPr="00E61ECF">
        <w:rPr>
          <w:rFonts w:ascii="Times New Roman" w:eastAsia="Times New Roman" w:hAnsi="Times New Roman" w:cs="Times New Roman"/>
          <w:sz w:val="24"/>
          <w:szCs w:val="24"/>
          <w:lang w:eastAsia="en-GB"/>
        </w:rPr>
        <w:t>Z.A</w:t>
      </w:r>
      <w:proofErr w:type="spellEnd"/>
      <w:r w:rsidRPr="00E61ECF">
        <w:rPr>
          <w:rFonts w:ascii="Times New Roman" w:eastAsia="Times New Roman" w:hAnsi="Times New Roman" w:cs="Times New Roman"/>
          <w:sz w:val="24"/>
          <w:szCs w:val="24"/>
          <w:lang w:eastAsia="en-GB"/>
        </w:rPr>
        <w:t xml:space="preserve">. and England, L. (eds.) (2018) </w:t>
      </w:r>
      <w:r w:rsidRPr="00E61ECF">
        <w:rPr>
          <w:rFonts w:ascii="Times New Roman" w:eastAsia="Times New Roman" w:hAnsi="Times New Roman" w:cs="Times New Roman"/>
          <w:i/>
          <w:iCs/>
          <w:sz w:val="24"/>
          <w:szCs w:val="24"/>
          <w:lang w:eastAsia="en-GB"/>
        </w:rPr>
        <w:t>Handbook for Arabic language teaching professionals in the 21st century</w:t>
      </w:r>
      <w:r w:rsidRPr="00E61ECF">
        <w:rPr>
          <w:rFonts w:ascii="Times New Roman" w:eastAsia="Times New Roman" w:hAnsi="Times New Roman" w:cs="Times New Roman"/>
          <w:sz w:val="24"/>
          <w:szCs w:val="24"/>
          <w:lang w:eastAsia="en-GB"/>
        </w:rPr>
        <w:t>. London: Routledge.</w:t>
      </w:r>
    </w:p>
    <w:p w14:paraId="2B91DC47"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t xml:space="preserve">Welsh Government (2022) </w:t>
      </w:r>
      <w:r w:rsidRPr="00E61ECF">
        <w:rPr>
          <w:rFonts w:ascii="Times New Roman" w:eastAsia="Times New Roman" w:hAnsi="Times New Roman" w:cs="Times New Roman"/>
          <w:i/>
          <w:iCs/>
          <w:sz w:val="24"/>
          <w:szCs w:val="24"/>
          <w:lang w:eastAsia="en-GB"/>
        </w:rPr>
        <w:t>Global futures: A strategy for international languages in Wales 2022–2025</w:t>
      </w:r>
      <w:r w:rsidRPr="00E61ECF">
        <w:rPr>
          <w:rFonts w:ascii="Times New Roman" w:eastAsia="Times New Roman" w:hAnsi="Times New Roman" w:cs="Times New Roman"/>
          <w:sz w:val="24"/>
          <w:szCs w:val="24"/>
          <w:lang w:eastAsia="en-GB"/>
        </w:rPr>
        <w:t xml:space="preserve">. Cardiff: Welsh Government. Available at: </w:t>
      </w:r>
      <w:hyperlink r:id="rId23" w:history="1">
        <w:r w:rsidRPr="00E61ECF">
          <w:rPr>
            <w:rFonts w:ascii="Times New Roman" w:eastAsia="Times New Roman" w:hAnsi="Times New Roman" w:cs="Times New Roman"/>
            <w:sz w:val="24"/>
            <w:szCs w:val="24"/>
            <w:u w:val="single"/>
            <w:lang w:eastAsia="en-GB"/>
          </w:rPr>
          <w:t>https://www.gov.wales/global-futures-plan-improve-and-promote-international-languages-wales-2022-2025-html</w:t>
        </w:r>
      </w:hyperlink>
      <w:r w:rsidRPr="00E61ECF">
        <w:rPr>
          <w:rFonts w:ascii="Times New Roman" w:eastAsia="Times New Roman" w:hAnsi="Times New Roman" w:cs="Times New Roman"/>
          <w:sz w:val="24"/>
          <w:szCs w:val="24"/>
          <w:lang w:eastAsia="en-GB"/>
        </w:rPr>
        <w:t xml:space="preserve"> (Accessed: 15 March 2026).</w:t>
      </w:r>
    </w:p>
    <w:p w14:paraId="15BC4BAA" w14:textId="77777777" w:rsidR="00170518" w:rsidRPr="00E61ECF" w:rsidRDefault="00170518" w:rsidP="00EC6E77">
      <w:pPr>
        <w:spacing w:before="100" w:beforeAutospacing="1" w:after="120" w:afterAutospacing="1" w:line="360" w:lineRule="auto"/>
        <w:ind w:left="720" w:hanging="720"/>
        <w:jc w:val="both"/>
        <w:rPr>
          <w:rFonts w:ascii="Times New Roman" w:eastAsia="Times New Roman" w:hAnsi="Times New Roman" w:cs="Times New Roman"/>
          <w:sz w:val="24"/>
          <w:szCs w:val="24"/>
          <w:lang w:eastAsia="en-GB"/>
        </w:rPr>
      </w:pPr>
      <w:r w:rsidRPr="00E61ECF">
        <w:rPr>
          <w:rFonts w:ascii="Times New Roman" w:eastAsia="Times New Roman" w:hAnsi="Times New Roman" w:cs="Times New Roman"/>
          <w:sz w:val="24"/>
          <w:szCs w:val="24"/>
          <w:lang w:eastAsia="en-GB"/>
        </w:rPr>
        <w:lastRenderedPageBreak/>
        <w:t xml:space="preserve">Zabarah, H. (2016) ‘College level Arabic heritage learners: Do they belong in separate classrooms?’, </w:t>
      </w:r>
      <w:r w:rsidRPr="00E61ECF">
        <w:rPr>
          <w:rFonts w:ascii="Times New Roman" w:eastAsia="Times New Roman" w:hAnsi="Times New Roman" w:cs="Times New Roman"/>
          <w:i/>
          <w:iCs/>
          <w:sz w:val="24"/>
          <w:szCs w:val="24"/>
          <w:lang w:eastAsia="en-GB"/>
        </w:rPr>
        <w:t>Journal of the National Council of Less Commonly Taught Languages</w:t>
      </w:r>
      <w:r w:rsidRPr="00E61ECF">
        <w:rPr>
          <w:rFonts w:ascii="Times New Roman" w:eastAsia="Times New Roman" w:hAnsi="Times New Roman" w:cs="Times New Roman"/>
          <w:sz w:val="24"/>
          <w:szCs w:val="24"/>
          <w:lang w:eastAsia="en-GB"/>
        </w:rPr>
        <w:t xml:space="preserve">, 18, pp. 93–120. Available at: </w:t>
      </w:r>
      <w:hyperlink r:id="rId24" w:history="1">
        <w:r w:rsidRPr="00E61ECF">
          <w:rPr>
            <w:rFonts w:ascii="Times New Roman" w:eastAsia="Times New Roman" w:hAnsi="Times New Roman" w:cs="Times New Roman"/>
            <w:sz w:val="24"/>
            <w:szCs w:val="24"/>
            <w:u w:val="single"/>
            <w:lang w:eastAsia="en-GB"/>
          </w:rPr>
          <w:t>https://</w:t>
        </w:r>
        <w:proofErr w:type="spellStart"/>
        <w:r w:rsidRPr="00E61ECF">
          <w:rPr>
            <w:rFonts w:ascii="Times New Roman" w:eastAsia="Times New Roman" w:hAnsi="Times New Roman" w:cs="Times New Roman"/>
            <w:sz w:val="24"/>
            <w:szCs w:val="24"/>
            <w:u w:val="single"/>
            <w:lang w:eastAsia="en-GB"/>
          </w:rPr>
          <w:t>doi.org</w:t>
        </w:r>
        <w:proofErr w:type="spellEnd"/>
        <w:r w:rsidRPr="00E61ECF">
          <w:rPr>
            <w:rFonts w:ascii="Times New Roman" w:eastAsia="Times New Roman" w:hAnsi="Times New Roman" w:cs="Times New Roman"/>
            <w:sz w:val="24"/>
            <w:szCs w:val="24"/>
            <w:u w:val="single"/>
            <w:lang w:eastAsia="en-GB"/>
          </w:rPr>
          <w:t>/10.10119/</w:t>
        </w:r>
        <w:proofErr w:type="spellStart"/>
        <w:r w:rsidRPr="00E61ECF">
          <w:rPr>
            <w:rFonts w:ascii="Times New Roman" w:eastAsia="Times New Roman" w:hAnsi="Times New Roman" w:cs="Times New Roman"/>
            <w:sz w:val="24"/>
            <w:szCs w:val="24"/>
            <w:u w:val="single"/>
            <w:lang w:eastAsia="en-GB"/>
          </w:rPr>
          <w:t>issn.1930</w:t>
        </w:r>
        <w:proofErr w:type="spellEnd"/>
        <w:r w:rsidRPr="00E61ECF">
          <w:rPr>
            <w:rFonts w:ascii="Times New Roman" w:eastAsia="Times New Roman" w:hAnsi="Times New Roman" w:cs="Times New Roman"/>
            <w:sz w:val="24"/>
            <w:szCs w:val="24"/>
            <w:u w:val="single"/>
            <w:lang w:eastAsia="en-GB"/>
          </w:rPr>
          <w:t>-9031.2016.03.08</w:t>
        </w:r>
      </w:hyperlink>
      <w:r w:rsidRPr="00E61ECF">
        <w:rPr>
          <w:rFonts w:ascii="Times New Roman" w:eastAsia="Times New Roman" w:hAnsi="Times New Roman" w:cs="Times New Roman"/>
          <w:sz w:val="24"/>
          <w:szCs w:val="24"/>
          <w:lang w:eastAsia="en-GB"/>
        </w:rPr>
        <w:t xml:space="preserve"> (Accessed: 13 March 2026).</w:t>
      </w:r>
    </w:p>
    <w:p w14:paraId="3A2197B3" w14:textId="5611BD3F" w:rsidR="00170518" w:rsidRPr="00E61ECF" w:rsidRDefault="00170518" w:rsidP="00170518">
      <w:pPr>
        <w:spacing w:after="120" w:line="360" w:lineRule="auto"/>
        <w:rPr>
          <w:rFonts w:ascii="Times New Roman" w:eastAsia="Times New Roman" w:hAnsi="Times New Roman" w:cs="Times New Roman"/>
          <w:sz w:val="24"/>
          <w:szCs w:val="24"/>
          <w:lang w:eastAsia="en-GB"/>
        </w:rPr>
      </w:pPr>
    </w:p>
    <w:sectPr w:rsidR="00170518" w:rsidRPr="00E61E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6727A" w14:textId="77777777" w:rsidR="00805A3D" w:rsidRDefault="00805A3D" w:rsidP="00E64DAA">
      <w:pPr>
        <w:spacing w:after="0" w:line="240" w:lineRule="auto"/>
      </w:pPr>
      <w:r>
        <w:separator/>
      </w:r>
    </w:p>
  </w:endnote>
  <w:endnote w:type="continuationSeparator" w:id="0">
    <w:p w14:paraId="151E35F3" w14:textId="77777777" w:rsidR="00805A3D" w:rsidRDefault="00805A3D" w:rsidP="00E64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03F53" w14:textId="77777777" w:rsidR="00A24C67" w:rsidRDefault="00A24C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E998C" w14:textId="05C4F6F2" w:rsidR="00A24C67" w:rsidRDefault="00A24C67">
    <w:pPr>
      <w:pStyle w:val="Footer"/>
    </w:pPr>
    <w:r>
      <w:fldChar w:fldCharType="begin"/>
    </w:r>
    <w:r>
      <w:instrText>PAGE</w:instrText>
    </w:r>
    <w:r>
      <w:fldChar w:fldCharType="separate"/>
    </w:r>
    <w:r w:rsidR="005601D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B06F8" w14:textId="77777777" w:rsidR="00A24C67" w:rsidRDefault="00A24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5A2CF" w14:textId="77777777" w:rsidR="00805A3D" w:rsidRDefault="00805A3D" w:rsidP="00E64DAA">
      <w:pPr>
        <w:spacing w:after="0" w:line="240" w:lineRule="auto"/>
      </w:pPr>
      <w:r>
        <w:separator/>
      </w:r>
    </w:p>
  </w:footnote>
  <w:footnote w:type="continuationSeparator" w:id="0">
    <w:p w14:paraId="5ADF3EBF" w14:textId="77777777" w:rsidR="00805A3D" w:rsidRDefault="00805A3D" w:rsidP="00E64D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057E7" w14:textId="77777777" w:rsidR="00A24C67" w:rsidRDefault="00A24C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6BC51D" w14:textId="77777777" w:rsidR="00A24C67" w:rsidRDefault="00A24C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033374" w14:textId="77777777" w:rsidR="00A24C67" w:rsidRDefault="00A24C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036E2"/>
    <w:multiLevelType w:val="multilevel"/>
    <w:tmpl w:val="556226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91B33"/>
    <w:multiLevelType w:val="hybridMultilevel"/>
    <w:tmpl w:val="E0C0E856"/>
    <w:lvl w:ilvl="0" w:tplc="4F40BE6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B17BD"/>
    <w:multiLevelType w:val="multilevel"/>
    <w:tmpl w:val="DE2C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03240"/>
    <w:multiLevelType w:val="multilevel"/>
    <w:tmpl w:val="DCD6A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6E4236"/>
    <w:multiLevelType w:val="multilevel"/>
    <w:tmpl w:val="CDB06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D46934"/>
    <w:multiLevelType w:val="multilevel"/>
    <w:tmpl w:val="8676D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C92824"/>
    <w:multiLevelType w:val="multilevel"/>
    <w:tmpl w:val="62165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DC31F4"/>
    <w:multiLevelType w:val="multilevel"/>
    <w:tmpl w:val="2E74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16CC8"/>
    <w:multiLevelType w:val="multilevel"/>
    <w:tmpl w:val="2394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971367"/>
    <w:multiLevelType w:val="multilevel"/>
    <w:tmpl w:val="F274C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90571E"/>
    <w:multiLevelType w:val="multilevel"/>
    <w:tmpl w:val="DB2C9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FC3F13"/>
    <w:multiLevelType w:val="multilevel"/>
    <w:tmpl w:val="F216B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7443D2"/>
    <w:multiLevelType w:val="multilevel"/>
    <w:tmpl w:val="2C24BA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673490"/>
    <w:multiLevelType w:val="multilevel"/>
    <w:tmpl w:val="527E2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671068"/>
    <w:multiLevelType w:val="multilevel"/>
    <w:tmpl w:val="486A9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FC3622"/>
    <w:multiLevelType w:val="multilevel"/>
    <w:tmpl w:val="D3422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8B356F"/>
    <w:multiLevelType w:val="multilevel"/>
    <w:tmpl w:val="290C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8C3FB1"/>
    <w:multiLevelType w:val="multilevel"/>
    <w:tmpl w:val="788AD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1B5969"/>
    <w:multiLevelType w:val="multilevel"/>
    <w:tmpl w:val="92CA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1F7180"/>
    <w:multiLevelType w:val="multilevel"/>
    <w:tmpl w:val="03A8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874785"/>
    <w:multiLevelType w:val="multilevel"/>
    <w:tmpl w:val="D8BC2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8383151">
    <w:abstractNumId w:val="4"/>
  </w:num>
  <w:num w:numId="2" w16cid:durableId="1229077772">
    <w:abstractNumId w:val="17"/>
  </w:num>
  <w:num w:numId="3" w16cid:durableId="1760980518">
    <w:abstractNumId w:val="9"/>
  </w:num>
  <w:num w:numId="4" w16cid:durableId="2025553214">
    <w:abstractNumId w:val="19"/>
  </w:num>
  <w:num w:numId="5" w16cid:durableId="1050107327">
    <w:abstractNumId w:val="2"/>
  </w:num>
  <w:num w:numId="6" w16cid:durableId="1986159379">
    <w:abstractNumId w:val="13"/>
  </w:num>
  <w:num w:numId="7" w16cid:durableId="758989014">
    <w:abstractNumId w:val="7"/>
  </w:num>
  <w:num w:numId="8" w16cid:durableId="182209581">
    <w:abstractNumId w:val="18"/>
  </w:num>
  <w:num w:numId="9" w16cid:durableId="579797429">
    <w:abstractNumId w:val="0"/>
  </w:num>
  <w:num w:numId="10" w16cid:durableId="348067709">
    <w:abstractNumId w:val="8"/>
  </w:num>
  <w:num w:numId="11" w16cid:durableId="1194541153">
    <w:abstractNumId w:val="12"/>
  </w:num>
  <w:num w:numId="12" w16cid:durableId="232349457">
    <w:abstractNumId w:val="10"/>
  </w:num>
  <w:num w:numId="13" w16cid:durableId="172578330">
    <w:abstractNumId w:val="15"/>
  </w:num>
  <w:num w:numId="14" w16cid:durableId="1312178323">
    <w:abstractNumId w:val="14"/>
  </w:num>
  <w:num w:numId="15" w16cid:durableId="147091542">
    <w:abstractNumId w:val="3"/>
  </w:num>
  <w:num w:numId="16" w16cid:durableId="1378579487">
    <w:abstractNumId w:val="6"/>
  </w:num>
  <w:num w:numId="17" w16cid:durableId="459886272">
    <w:abstractNumId w:val="5"/>
  </w:num>
  <w:num w:numId="18" w16cid:durableId="1703549899">
    <w:abstractNumId w:val="20"/>
  </w:num>
  <w:num w:numId="19" w16cid:durableId="1430658294">
    <w:abstractNumId w:val="11"/>
  </w:num>
  <w:num w:numId="20" w16cid:durableId="344938438">
    <w:abstractNumId w:val="16"/>
  </w:num>
  <w:num w:numId="21" w16cid:durableId="425346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628AA"/>
    <w:rsid w:val="00010155"/>
    <w:rsid w:val="00013A03"/>
    <w:rsid w:val="000178BC"/>
    <w:rsid w:val="00021CF1"/>
    <w:rsid w:val="00053F80"/>
    <w:rsid w:val="00071237"/>
    <w:rsid w:val="00080502"/>
    <w:rsid w:val="00087D46"/>
    <w:rsid w:val="000A2805"/>
    <w:rsid w:val="000B002C"/>
    <w:rsid w:val="000B47A6"/>
    <w:rsid w:val="000C09F2"/>
    <w:rsid w:val="000D1E69"/>
    <w:rsid w:val="000F1F57"/>
    <w:rsid w:val="00113268"/>
    <w:rsid w:val="001160E5"/>
    <w:rsid w:val="0012098F"/>
    <w:rsid w:val="00127C9B"/>
    <w:rsid w:val="00152EDC"/>
    <w:rsid w:val="00160727"/>
    <w:rsid w:val="00170518"/>
    <w:rsid w:val="001A273A"/>
    <w:rsid w:val="001A6C46"/>
    <w:rsid w:val="001B79AE"/>
    <w:rsid w:val="001C0592"/>
    <w:rsid w:val="001C0A69"/>
    <w:rsid w:val="001C3944"/>
    <w:rsid w:val="001D0D8D"/>
    <w:rsid w:val="001D498D"/>
    <w:rsid w:val="001E39AF"/>
    <w:rsid w:val="001E75E3"/>
    <w:rsid w:val="001E78BE"/>
    <w:rsid w:val="00203D52"/>
    <w:rsid w:val="00220829"/>
    <w:rsid w:val="00221916"/>
    <w:rsid w:val="00225FDC"/>
    <w:rsid w:val="0023632B"/>
    <w:rsid w:val="0024552A"/>
    <w:rsid w:val="00255A34"/>
    <w:rsid w:val="00260BB7"/>
    <w:rsid w:val="002720DA"/>
    <w:rsid w:val="002862C9"/>
    <w:rsid w:val="002D2890"/>
    <w:rsid w:val="002D78C3"/>
    <w:rsid w:val="002F2FCD"/>
    <w:rsid w:val="002F4A03"/>
    <w:rsid w:val="00311542"/>
    <w:rsid w:val="003443AD"/>
    <w:rsid w:val="00363EC7"/>
    <w:rsid w:val="00370DAC"/>
    <w:rsid w:val="003E7EC3"/>
    <w:rsid w:val="003F0EB3"/>
    <w:rsid w:val="0040298E"/>
    <w:rsid w:val="00412043"/>
    <w:rsid w:val="00417AC8"/>
    <w:rsid w:val="00424B3E"/>
    <w:rsid w:val="00424D66"/>
    <w:rsid w:val="004303C9"/>
    <w:rsid w:val="00460506"/>
    <w:rsid w:val="004629B8"/>
    <w:rsid w:val="00463FEE"/>
    <w:rsid w:val="00481378"/>
    <w:rsid w:val="004833D7"/>
    <w:rsid w:val="0048409F"/>
    <w:rsid w:val="004A6576"/>
    <w:rsid w:val="004A7261"/>
    <w:rsid w:val="004E5884"/>
    <w:rsid w:val="004F34F5"/>
    <w:rsid w:val="004F5D81"/>
    <w:rsid w:val="00511B54"/>
    <w:rsid w:val="00512E27"/>
    <w:rsid w:val="00524618"/>
    <w:rsid w:val="00526692"/>
    <w:rsid w:val="00541518"/>
    <w:rsid w:val="00545D50"/>
    <w:rsid w:val="00545FD2"/>
    <w:rsid w:val="005525FB"/>
    <w:rsid w:val="0055542F"/>
    <w:rsid w:val="00557D43"/>
    <w:rsid w:val="005601DD"/>
    <w:rsid w:val="00567288"/>
    <w:rsid w:val="0058667B"/>
    <w:rsid w:val="005C0631"/>
    <w:rsid w:val="005C4CF9"/>
    <w:rsid w:val="005D2411"/>
    <w:rsid w:val="005F1175"/>
    <w:rsid w:val="005F3B68"/>
    <w:rsid w:val="005F5E5B"/>
    <w:rsid w:val="00607FCF"/>
    <w:rsid w:val="006134A9"/>
    <w:rsid w:val="0061709B"/>
    <w:rsid w:val="00626D1C"/>
    <w:rsid w:val="00635671"/>
    <w:rsid w:val="006411AE"/>
    <w:rsid w:val="00656588"/>
    <w:rsid w:val="00695A97"/>
    <w:rsid w:val="006A270E"/>
    <w:rsid w:val="006A4C18"/>
    <w:rsid w:val="006E32A1"/>
    <w:rsid w:val="00703F21"/>
    <w:rsid w:val="00706F12"/>
    <w:rsid w:val="00734AD2"/>
    <w:rsid w:val="00746D3F"/>
    <w:rsid w:val="0074739E"/>
    <w:rsid w:val="0075211F"/>
    <w:rsid w:val="00762386"/>
    <w:rsid w:val="00763D8A"/>
    <w:rsid w:val="00767FF6"/>
    <w:rsid w:val="007862B5"/>
    <w:rsid w:val="007A0AAF"/>
    <w:rsid w:val="007B0198"/>
    <w:rsid w:val="007B58F6"/>
    <w:rsid w:val="007B7758"/>
    <w:rsid w:val="007F1E12"/>
    <w:rsid w:val="007F4AF9"/>
    <w:rsid w:val="007F4F3C"/>
    <w:rsid w:val="007F72DD"/>
    <w:rsid w:val="00805A3D"/>
    <w:rsid w:val="00806783"/>
    <w:rsid w:val="008518AF"/>
    <w:rsid w:val="00892164"/>
    <w:rsid w:val="008C72FC"/>
    <w:rsid w:val="008D0693"/>
    <w:rsid w:val="008E472F"/>
    <w:rsid w:val="008E57CB"/>
    <w:rsid w:val="00901B4B"/>
    <w:rsid w:val="009131D4"/>
    <w:rsid w:val="0094188E"/>
    <w:rsid w:val="009565BA"/>
    <w:rsid w:val="009678D4"/>
    <w:rsid w:val="00995824"/>
    <w:rsid w:val="009C4356"/>
    <w:rsid w:val="009F0098"/>
    <w:rsid w:val="00A01175"/>
    <w:rsid w:val="00A165DE"/>
    <w:rsid w:val="00A24C67"/>
    <w:rsid w:val="00A25FAF"/>
    <w:rsid w:val="00A67AF9"/>
    <w:rsid w:val="00A76E27"/>
    <w:rsid w:val="00A77470"/>
    <w:rsid w:val="00A90C36"/>
    <w:rsid w:val="00A9388F"/>
    <w:rsid w:val="00A940A5"/>
    <w:rsid w:val="00AA0094"/>
    <w:rsid w:val="00AA2E04"/>
    <w:rsid w:val="00AD697A"/>
    <w:rsid w:val="00AF148A"/>
    <w:rsid w:val="00AF3140"/>
    <w:rsid w:val="00B34649"/>
    <w:rsid w:val="00B37D67"/>
    <w:rsid w:val="00B42F41"/>
    <w:rsid w:val="00B47150"/>
    <w:rsid w:val="00B56622"/>
    <w:rsid w:val="00B60517"/>
    <w:rsid w:val="00B628AA"/>
    <w:rsid w:val="00B72732"/>
    <w:rsid w:val="00B90A50"/>
    <w:rsid w:val="00BA18AF"/>
    <w:rsid w:val="00BA5DDC"/>
    <w:rsid w:val="00BC1641"/>
    <w:rsid w:val="00BD7DB9"/>
    <w:rsid w:val="00BE638D"/>
    <w:rsid w:val="00BF7665"/>
    <w:rsid w:val="00C16D53"/>
    <w:rsid w:val="00C50AC2"/>
    <w:rsid w:val="00C5408B"/>
    <w:rsid w:val="00C64620"/>
    <w:rsid w:val="00C93C54"/>
    <w:rsid w:val="00CB01A7"/>
    <w:rsid w:val="00CB1B98"/>
    <w:rsid w:val="00CB4ECD"/>
    <w:rsid w:val="00CE1786"/>
    <w:rsid w:val="00CE2BAF"/>
    <w:rsid w:val="00CE3678"/>
    <w:rsid w:val="00CF46A4"/>
    <w:rsid w:val="00CF4817"/>
    <w:rsid w:val="00D04523"/>
    <w:rsid w:val="00D05FE4"/>
    <w:rsid w:val="00D13718"/>
    <w:rsid w:val="00D16641"/>
    <w:rsid w:val="00D25037"/>
    <w:rsid w:val="00D326AA"/>
    <w:rsid w:val="00D33D64"/>
    <w:rsid w:val="00D567D9"/>
    <w:rsid w:val="00D76D3E"/>
    <w:rsid w:val="00D7772E"/>
    <w:rsid w:val="00D9322E"/>
    <w:rsid w:val="00DA1742"/>
    <w:rsid w:val="00DA216D"/>
    <w:rsid w:val="00DB3F69"/>
    <w:rsid w:val="00DC1186"/>
    <w:rsid w:val="00E020A3"/>
    <w:rsid w:val="00E04CBE"/>
    <w:rsid w:val="00E07AF3"/>
    <w:rsid w:val="00E100C0"/>
    <w:rsid w:val="00E42BD1"/>
    <w:rsid w:val="00E43D9C"/>
    <w:rsid w:val="00E61ECF"/>
    <w:rsid w:val="00E64DAA"/>
    <w:rsid w:val="00E73D81"/>
    <w:rsid w:val="00E85A42"/>
    <w:rsid w:val="00EC644A"/>
    <w:rsid w:val="00EC6E77"/>
    <w:rsid w:val="00ED5E68"/>
    <w:rsid w:val="00EE22CF"/>
    <w:rsid w:val="00EF3717"/>
    <w:rsid w:val="00F162FC"/>
    <w:rsid w:val="00F3451D"/>
    <w:rsid w:val="00F41113"/>
    <w:rsid w:val="00F44815"/>
    <w:rsid w:val="00F746C2"/>
    <w:rsid w:val="00F879D4"/>
    <w:rsid w:val="00FA6CB4"/>
    <w:rsid w:val="00FD13CB"/>
    <w:rsid w:val="00FE24CC"/>
    <w:rsid w:val="00FE6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1CD6C"/>
  <w15:chartTrackingRefBased/>
  <w15:docId w15:val="{475F351F-FBF6-4B34-AE31-A3E09B96D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8AA"/>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628AA"/>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628AA"/>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628AA"/>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628AA"/>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628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8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8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8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8AA"/>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628AA"/>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628AA"/>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628AA"/>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628AA"/>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628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8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8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8AA"/>
    <w:rPr>
      <w:rFonts w:eastAsiaTheme="majorEastAsia" w:cstheme="majorBidi"/>
      <w:color w:val="272727" w:themeColor="text1" w:themeTint="D8"/>
    </w:rPr>
  </w:style>
  <w:style w:type="paragraph" w:styleId="Title">
    <w:name w:val="Title"/>
    <w:basedOn w:val="Normal"/>
    <w:next w:val="Normal"/>
    <w:link w:val="TitleChar"/>
    <w:uiPriority w:val="10"/>
    <w:qFormat/>
    <w:rsid w:val="00B628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8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8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8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8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28AA"/>
    <w:rPr>
      <w:i/>
      <w:iCs/>
      <w:color w:val="404040" w:themeColor="text1" w:themeTint="BF"/>
    </w:rPr>
  </w:style>
  <w:style w:type="paragraph" w:styleId="ListParagraph">
    <w:name w:val="List Paragraph"/>
    <w:basedOn w:val="Normal"/>
    <w:uiPriority w:val="34"/>
    <w:qFormat/>
    <w:rsid w:val="00B628AA"/>
    <w:pPr>
      <w:ind w:left="720"/>
      <w:contextualSpacing/>
    </w:pPr>
  </w:style>
  <w:style w:type="character" w:styleId="IntenseEmphasis">
    <w:name w:val="Intense Emphasis"/>
    <w:basedOn w:val="DefaultParagraphFont"/>
    <w:uiPriority w:val="21"/>
    <w:qFormat/>
    <w:rsid w:val="00B628AA"/>
    <w:rPr>
      <w:i/>
      <w:iCs/>
      <w:color w:val="365F91" w:themeColor="accent1" w:themeShade="BF"/>
    </w:rPr>
  </w:style>
  <w:style w:type="paragraph" w:styleId="IntenseQuote">
    <w:name w:val="Intense Quote"/>
    <w:basedOn w:val="Normal"/>
    <w:next w:val="Normal"/>
    <w:link w:val="IntenseQuoteChar"/>
    <w:uiPriority w:val="30"/>
    <w:qFormat/>
    <w:rsid w:val="00B628A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628AA"/>
    <w:rPr>
      <w:i/>
      <w:iCs/>
      <w:color w:val="365F91" w:themeColor="accent1" w:themeShade="BF"/>
    </w:rPr>
  </w:style>
  <w:style w:type="character" w:styleId="IntenseReference">
    <w:name w:val="Intense Reference"/>
    <w:basedOn w:val="DefaultParagraphFont"/>
    <w:uiPriority w:val="32"/>
    <w:qFormat/>
    <w:rsid w:val="00B628AA"/>
    <w:rPr>
      <w:b/>
      <w:bCs/>
      <w:smallCaps/>
      <w:color w:val="365F91" w:themeColor="accent1" w:themeShade="BF"/>
      <w:spacing w:val="5"/>
    </w:rPr>
  </w:style>
  <w:style w:type="character" w:styleId="Hyperlink">
    <w:name w:val="Hyperlink"/>
    <w:basedOn w:val="DefaultParagraphFont"/>
    <w:uiPriority w:val="99"/>
    <w:unhideWhenUsed/>
    <w:rsid w:val="00545D50"/>
    <w:rPr>
      <w:color w:val="0000FF" w:themeColor="hyperlink"/>
      <w:u w:val="single"/>
    </w:rPr>
  </w:style>
  <w:style w:type="character" w:styleId="UnresolvedMention">
    <w:name w:val="Unresolved Mention"/>
    <w:basedOn w:val="DefaultParagraphFont"/>
    <w:uiPriority w:val="99"/>
    <w:semiHidden/>
    <w:unhideWhenUsed/>
    <w:rsid w:val="00545D50"/>
    <w:rPr>
      <w:color w:val="605E5C"/>
      <w:shd w:val="clear" w:color="auto" w:fill="E1DFDD"/>
    </w:rPr>
  </w:style>
  <w:style w:type="paragraph" w:styleId="NormalWeb">
    <w:name w:val="Normal (Web)"/>
    <w:basedOn w:val="Normal"/>
    <w:uiPriority w:val="99"/>
    <w:unhideWhenUsed/>
    <w:rsid w:val="00567288"/>
    <w:rPr>
      <w:rFonts w:ascii="Times New Roman" w:hAnsi="Times New Roman" w:cs="Times New Roman"/>
      <w:sz w:val="24"/>
      <w:szCs w:val="24"/>
    </w:rPr>
  </w:style>
  <w:style w:type="character" w:styleId="Emphasis">
    <w:name w:val="Emphasis"/>
    <w:basedOn w:val="DefaultParagraphFont"/>
    <w:uiPriority w:val="20"/>
    <w:qFormat/>
    <w:rsid w:val="00A9388F"/>
    <w:rPr>
      <w:i/>
      <w:iCs/>
    </w:rPr>
  </w:style>
  <w:style w:type="paragraph" w:styleId="Header">
    <w:name w:val="header"/>
    <w:basedOn w:val="Normal"/>
    <w:link w:val="HeaderChar"/>
    <w:uiPriority w:val="99"/>
    <w:unhideWhenUsed/>
    <w:rsid w:val="00E64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DAA"/>
  </w:style>
  <w:style w:type="paragraph" w:styleId="Footer">
    <w:name w:val="footer"/>
    <w:basedOn w:val="Normal"/>
    <w:link w:val="FooterChar"/>
    <w:uiPriority w:val="99"/>
    <w:unhideWhenUsed/>
    <w:rsid w:val="00E64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et-foundation.co.uk/professional-standards/teach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80/13670050.2022.2063686"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www.britishcouncil.org/sites/default/files/the_teaching_of_arabic_language_and_cultures_in_uk_school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ritishcouncil.org/research-insight/languages-future-2017" TargetMode="External"/><Relationship Id="rId20" Type="http://schemas.openxmlformats.org/officeDocument/2006/relationships/hyperlink" Target="https://f1000research.com/articles/12-27/v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doi.org/10.10119/issn.1930-9031.2016.03.08" TargetMode="External"/><Relationship Id="rId5" Type="http://schemas.openxmlformats.org/officeDocument/2006/relationships/footnotes" Target="footnotes.xml"/><Relationship Id="rId15" Type="http://schemas.openxmlformats.org/officeDocument/2006/relationships/hyperlink" Target="https://www.britishcouncil.org/research-insight/languages-future-2013" TargetMode="External"/><Relationship Id="rId23" Type="http://schemas.openxmlformats.org/officeDocument/2006/relationships/hyperlink" Target="https://www.gov.wales/global-futures-plan-improve-and-promote-international-languages-wales-2022-2025-html" TargetMode="External"/><Relationship Id="rId10" Type="http://schemas.openxmlformats.org/officeDocument/2006/relationships/footer" Target="footer1.xml"/><Relationship Id="rId19" Type="http://schemas.openxmlformats.org/officeDocument/2006/relationships/hyperlink" Target="https://arxiv.org/abs/1411.199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thebritishacademy.ac.uk/projects/arabic-mapping-project/" TargetMode="External"/><Relationship Id="rId22" Type="http://schemas.openxmlformats.org/officeDocument/2006/relationships/hyperlink" Target="https://oro.open.ac.uk/574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2124</TotalTime>
  <Pages>19</Pages>
  <Words>5749</Words>
  <Characters>32773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Elsayed Elhoshi (2420482)</dc:creator>
  <cp:keywords/>
  <dc:description/>
  <cp:lastModifiedBy>Elsayed Elhoshi (2420482)</cp:lastModifiedBy>
  <cp:revision>77</cp:revision>
  <dcterms:created xsi:type="dcterms:W3CDTF">2026-03-01T17:55:00Z</dcterms:created>
  <dcterms:modified xsi:type="dcterms:W3CDTF">2026-03-26T18:05:00Z</dcterms:modified>
</cp:coreProperties>
</file>