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0CC3277" w14:textId="77777777" w:rsidR="004C58DC" w:rsidRPr="00D221BF" w:rsidRDefault="004C58DC" w:rsidP="004C58DC">
      <w:pPr>
        <w:spacing w:line="360" w:lineRule="auto"/>
        <w:rPr>
          <w:rFonts w:ascii="Arial" w:hAnsi="Arial" w:cs="Arial"/>
          <w:b/>
          <w:sz w:val="22"/>
          <w:szCs w:val="22"/>
        </w:rPr>
      </w:pPr>
      <w:r w:rsidRPr="00D221BF">
        <w:rPr>
          <w:rFonts w:ascii="Arial" w:hAnsi="Arial" w:cs="Arial"/>
          <w:b/>
          <w:sz w:val="22"/>
          <w:szCs w:val="22"/>
        </w:rPr>
        <w:t>Student’s Profile</w:t>
      </w:r>
    </w:p>
    <w:p w14:paraId="64B8F2C5" w14:textId="77777777" w:rsidR="004C58DC" w:rsidRPr="00D221BF" w:rsidRDefault="004C58DC" w:rsidP="004C58DC">
      <w:pPr>
        <w:spacing w:line="360" w:lineRule="auto"/>
        <w:rPr>
          <w:rFonts w:ascii="Arial" w:hAnsi="Arial" w:cs="Arial"/>
          <w:b/>
          <w:sz w:val="22"/>
          <w:szCs w:val="22"/>
        </w:rPr>
      </w:pPr>
    </w:p>
    <w:p w14:paraId="26464CDB" w14:textId="77777777" w:rsidR="004C58DC" w:rsidRPr="00D221BF" w:rsidRDefault="004C58DC" w:rsidP="004C58DC">
      <w:pPr>
        <w:spacing w:line="360" w:lineRule="auto"/>
        <w:rPr>
          <w:rFonts w:ascii="Arial" w:hAnsi="Arial" w:cs="Arial"/>
          <w:b/>
          <w:sz w:val="22"/>
          <w:szCs w:val="22"/>
        </w:rPr>
      </w:pPr>
    </w:p>
    <w:p w14:paraId="71FF2680" w14:textId="41843629" w:rsidR="004C58DC" w:rsidRPr="00D221BF" w:rsidRDefault="00D221BF" w:rsidP="004C58DC">
      <w:pPr>
        <w:spacing w:line="360" w:lineRule="auto"/>
        <w:rPr>
          <w:rFonts w:ascii="Arial" w:hAnsi="Arial" w:cs="Arial"/>
          <w:b/>
          <w:sz w:val="22"/>
          <w:szCs w:val="22"/>
        </w:rPr>
      </w:pPr>
      <w:r>
        <w:rPr>
          <w:rFonts w:ascii="Arial" w:hAnsi="Arial" w:cs="Arial"/>
          <w:b/>
          <w:sz w:val="22"/>
          <w:szCs w:val="22"/>
        </w:rPr>
        <w:t>Student Name</w:t>
      </w:r>
      <w:r w:rsidR="004C58DC" w:rsidRPr="00D221BF">
        <w:rPr>
          <w:rFonts w:ascii="Arial" w:hAnsi="Arial" w:cs="Arial"/>
          <w:b/>
          <w:sz w:val="22"/>
          <w:szCs w:val="22"/>
        </w:rPr>
        <w:tab/>
      </w:r>
      <w:r w:rsidR="004C58DC" w:rsidRPr="00D221BF">
        <w:rPr>
          <w:rFonts w:ascii="Arial" w:hAnsi="Arial" w:cs="Arial"/>
          <w:b/>
          <w:sz w:val="22"/>
          <w:szCs w:val="22"/>
        </w:rPr>
        <w:tab/>
        <w:t>:</w:t>
      </w:r>
      <w:r w:rsidR="003A017F">
        <w:rPr>
          <w:rFonts w:ascii="Arial" w:hAnsi="Arial" w:cs="Arial"/>
          <w:b/>
          <w:sz w:val="22"/>
          <w:szCs w:val="22"/>
        </w:rPr>
        <w:t>ALHAGIE DARBOE</w:t>
      </w:r>
    </w:p>
    <w:p w14:paraId="6474FE80" w14:textId="2539D0E9" w:rsidR="004C58DC" w:rsidRPr="00D221BF" w:rsidRDefault="00D221BF" w:rsidP="004C58DC">
      <w:pPr>
        <w:spacing w:line="360" w:lineRule="auto"/>
        <w:rPr>
          <w:rFonts w:ascii="Arial" w:hAnsi="Arial" w:cs="Arial"/>
          <w:b/>
          <w:sz w:val="22"/>
          <w:szCs w:val="22"/>
        </w:rPr>
      </w:pPr>
      <w:r w:rsidRPr="00D221BF">
        <w:rPr>
          <w:rFonts w:ascii="Arial" w:hAnsi="Arial" w:cs="Arial"/>
          <w:b/>
          <w:sz w:val="22"/>
          <w:szCs w:val="22"/>
        </w:rPr>
        <w:t>Student Number</w:t>
      </w:r>
      <w:r w:rsidR="004C58DC" w:rsidRPr="00D221BF">
        <w:rPr>
          <w:rFonts w:ascii="Arial" w:hAnsi="Arial" w:cs="Arial"/>
          <w:b/>
          <w:sz w:val="22"/>
          <w:szCs w:val="22"/>
        </w:rPr>
        <w:tab/>
      </w:r>
      <w:r w:rsidR="004C58DC" w:rsidRPr="00D221BF">
        <w:rPr>
          <w:rFonts w:ascii="Arial" w:hAnsi="Arial" w:cs="Arial"/>
          <w:b/>
          <w:sz w:val="22"/>
          <w:szCs w:val="22"/>
        </w:rPr>
        <w:tab/>
        <w:t>:</w:t>
      </w:r>
      <w:r w:rsidR="00121D2F">
        <w:rPr>
          <w:rFonts w:ascii="Arial" w:hAnsi="Arial" w:cs="Arial"/>
          <w:b/>
          <w:sz w:val="22"/>
          <w:szCs w:val="22"/>
        </w:rPr>
        <w:t>2</w:t>
      </w:r>
      <w:r w:rsidR="00F22D18">
        <w:rPr>
          <w:rFonts w:ascii="Arial" w:hAnsi="Arial" w:cs="Arial"/>
          <w:b/>
          <w:sz w:val="22"/>
          <w:szCs w:val="22"/>
        </w:rPr>
        <w:t>519</w:t>
      </w:r>
      <w:r w:rsidR="005964C1">
        <w:rPr>
          <w:rFonts w:ascii="Arial" w:hAnsi="Arial" w:cs="Arial"/>
          <w:b/>
          <w:sz w:val="22"/>
          <w:szCs w:val="22"/>
        </w:rPr>
        <w:t>531</w:t>
      </w:r>
    </w:p>
    <w:p w14:paraId="77545408" w14:textId="2832CE96" w:rsidR="004C58DC" w:rsidRPr="00D221BF" w:rsidRDefault="00D221BF" w:rsidP="004C58DC">
      <w:pPr>
        <w:spacing w:line="360" w:lineRule="auto"/>
        <w:rPr>
          <w:rFonts w:ascii="Arial" w:hAnsi="Arial" w:cs="Arial"/>
          <w:b/>
          <w:sz w:val="22"/>
          <w:szCs w:val="22"/>
        </w:rPr>
      </w:pPr>
      <w:r w:rsidRPr="00D221BF">
        <w:rPr>
          <w:rFonts w:ascii="Arial" w:hAnsi="Arial" w:cs="Arial"/>
          <w:b/>
          <w:sz w:val="22"/>
          <w:szCs w:val="22"/>
        </w:rPr>
        <w:t>Module Code</w:t>
      </w:r>
      <w:r w:rsidR="004C58DC" w:rsidRPr="00D221BF">
        <w:rPr>
          <w:rFonts w:ascii="Arial" w:hAnsi="Arial" w:cs="Arial"/>
          <w:b/>
          <w:sz w:val="22"/>
          <w:szCs w:val="22"/>
        </w:rPr>
        <w:tab/>
      </w:r>
      <w:r w:rsidR="004C58DC" w:rsidRPr="00D221BF">
        <w:rPr>
          <w:rFonts w:ascii="Arial" w:hAnsi="Arial" w:cs="Arial"/>
          <w:b/>
          <w:sz w:val="22"/>
          <w:szCs w:val="22"/>
        </w:rPr>
        <w:tab/>
      </w:r>
      <w:r>
        <w:rPr>
          <w:rFonts w:ascii="Arial" w:hAnsi="Arial" w:cs="Arial"/>
          <w:b/>
          <w:sz w:val="22"/>
          <w:szCs w:val="22"/>
        </w:rPr>
        <w:tab/>
      </w:r>
      <w:r w:rsidR="004C58DC" w:rsidRPr="00D221BF">
        <w:rPr>
          <w:rFonts w:ascii="Arial" w:hAnsi="Arial" w:cs="Arial"/>
          <w:b/>
          <w:sz w:val="22"/>
          <w:szCs w:val="22"/>
        </w:rPr>
        <w:t>:</w:t>
      </w:r>
      <w:r w:rsidR="003C2BD0">
        <w:rPr>
          <w:rFonts w:ascii="Arial" w:hAnsi="Arial" w:cs="Arial"/>
          <w:b/>
          <w:sz w:val="22"/>
          <w:szCs w:val="22"/>
        </w:rPr>
        <w:t>LCH</w:t>
      </w:r>
      <w:r w:rsidR="00A2683B">
        <w:rPr>
          <w:rFonts w:ascii="Arial" w:hAnsi="Arial" w:cs="Arial"/>
          <w:b/>
          <w:sz w:val="22"/>
          <w:szCs w:val="22"/>
        </w:rPr>
        <w:t>S</w:t>
      </w:r>
      <w:r w:rsidR="00456907">
        <w:rPr>
          <w:rFonts w:ascii="Arial" w:hAnsi="Arial" w:cs="Arial"/>
          <w:b/>
          <w:sz w:val="22"/>
          <w:szCs w:val="22"/>
        </w:rPr>
        <w:t>4008</w:t>
      </w:r>
    </w:p>
    <w:p w14:paraId="7928A772" w14:textId="73862171" w:rsidR="00D221BF" w:rsidRDefault="00D221BF" w:rsidP="004C58DC">
      <w:pPr>
        <w:spacing w:line="360" w:lineRule="auto"/>
        <w:rPr>
          <w:rFonts w:ascii="Arial" w:hAnsi="Arial" w:cs="Arial"/>
          <w:b/>
          <w:sz w:val="22"/>
          <w:szCs w:val="22"/>
        </w:rPr>
      </w:pPr>
      <w:r w:rsidRPr="00D221BF">
        <w:rPr>
          <w:rFonts w:ascii="Arial" w:hAnsi="Arial" w:cs="Arial"/>
          <w:b/>
          <w:sz w:val="22"/>
          <w:szCs w:val="22"/>
        </w:rPr>
        <w:t xml:space="preserve">Module </w:t>
      </w:r>
      <w:r>
        <w:rPr>
          <w:rFonts w:ascii="Arial" w:hAnsi="Arial" w:cs="Arial"/>
          <w:b/>
          <w:sz w:val="22"/>
          <w:szCs w:val="22"/>
        </w:rPr>
        <w:t>Title</w:t>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Pr="00D221BF">
        <w:rPr>
          <w:rFonts w:ascii="Arial" w:hAnsi="Arial" w:cs="Arial"/>
          <w:b/>
          <w:sz w:val="22"/>
          <w:szCs w:val="22"/>
        </w:rPr>
        <w:t>:</w:t>
      </w:r>
      <w:r w:rsidR="005F61F8">
        <w:rPr>
          <w:rFonts w:ascii="Arial" w:hAnsi="Arial" w:cs="Arial"/>
          <w:b/>
          <w:sz w:val="22"/>
          <w:szCs w:val="22"/>
        </w:rPr>
        <w:t xml:space="preserve">INTRODUCTION </w:t>
      </w:r>
      <w:r w:rsidR="009D32C8">
        <w:rPr>
          <w:rFonts w:ascii="Arial" w:hAnsi="Arial" w:cs="Arial"/>
          <w:b/>
          <w:sz w:val="22"/>
          <w:szCs w:val="22"/>
        </w:rPr>
        <w:t>TO</w:t>
      </w:r>
    </w:p>
    <w:p w14:paraId="3C4BF755" w14:textId="649DEB28" w:rsidR="009D32C8" w:rsidRPr="00D221BF" w:rsidRDefault="009D32C8" w:rsidP="004C58DC">
      <w:pPr>
        <w:spacing w:line="360" w:lineRule="auto"/>
        <w:rPr>
          <w:rFonts w:ascii="Arial" w:hAnsi="Arial" w:cs="Arial"/>
          <w:b/>
          <w:sz w:val="22"/>
          <w:szCs w:val="22"/>
        </w:rPr>
      </w:pPr>
      <w:r>
        <w:rPr>
          <w:rFonts w:ascii="Arial" w:hAnsi="Arial" w:cs="Arial"/>
          <w:b/>
          <w:sz w:val="22"/>
          <w:szCs w:val="22"/>
        </w:rPr>
        <w:t xml:space="preserve">PUBLIC HEALTH </w:t>
      </w:r>
    </w:p>
    <w:p w14:paraId="27ACB9E0" w14:textId="18F550ED" w:rsidR="004C58DC" w:rsidRPr="00D221BF" w:rsidRDefault="004C58DC" w:rsidP="004C58DC">
      <w:pPr>
        <w:spacing w:line="360" w:lineRule="auto"/>
        <w:rPr>
          <w:rFonts w:ascii="Arial" w:hAnsi="Arial" w:cs="Arial"/>
          <w:b/>
          <w:sz w:val="22"/>
          <w:szCs w:val="22"/>
        </w:rPr>
      </w:pPr>
      <w:r w:rsidRPr="00D221BF">
        <w:rPr>
          <w:rFonts w:ascii="Arial" w:hAnsi="Arial" w:cs="Arial"/>
          <w:b/>
          <w:sz w:val="22"/>
          <w:szCs w:val="22"/>
        </w:rPr>
        <w:t>Lecturer</w:t>
      </w:r>
      <w:r w:rsidRPr="00D221BF">
        <w:rPr>
          <w:rFonts w:ascii="Arial" w:hAnsi="Arial" w:cs="Arial"/>
          <w:b/>
          <w:sz w:val="22"/>
          <w:szCs w:val="22"/>
        </w:rPr>
        <w:tab/>
      </w:r>
      <w:r w:rsidRPr="00D221BF">
        <w:rPr>
          <w:rFonts w:ascii="Arial" w:hAnsi="Arial" w:cs="Arial"/>
          <w:b/>
          <w:sz w:val="22"/>
          <w:szCs w:val="22"/>
        </w:rPr>
        <w:tab/>
      </w:r>
      <w:r w:rsidRPr="00D221BF">
        <w:rPr>
          <w:rFonts w:ascii="Arial" w:hAnsi="Arial" w:cs="Arial"/>
          <w:b/>
          <w:sz w:val="22"/>
          <w:szCs w:val="22"/>
        </w:rPr>
        <w:tab/>
        <w:t>:</w:t>
      </w:r>
      <w:r w:rsidR="00144FA3">
        <w:rPr>
          <w:rFonts w:ascii="Arial" w:hAnsi="Arial" w:cs="Arial"/>
          <w:b/>
          <w:sz w:val="22"/>
          <w:szCs w:val="22"/>
        </w:rPr>
        <w:t xml:space="preserve">DERBA </w:t>
      </w:r>
      <w:r w:rsidR="00696762">
        <w:rPr>
          <w:rFonts w:ascii="Arial" w:hAnsi="Arial" w:cs="Arial"/>
          <w:b/>
          <w:sz w:val="22"/>
          <w:szCs w:val="22"/>
        </w:rPr>
        <w:t>ODEH</w:t>
      </w:r>
    </w:p>
    <w:p w14:paraId="28638AC9" w14:textId="7175EF76" w:rsidR="004C58DC" w:rsidRPr="00D221BF" w:rsidRDefault="004C58DC" w:rsidP="004C58DC">
      <w:pPr>
        <w:spacing w:line="360" w:lineRule="auto"/>
        <w:rPr>
          <w:rFonts w:ascii="Arial" w:hAnsi="Arial" w:cs="Arial"/>
          <w:b/>
          <w:sz w:val="22"/>
          <w:szCs w:val="22"/>
        </w:rPr>
      </w:pPr>
      <w:r w:rsidRPr="00D221BF">
        <w:rPr>
          <w:rFonts w:ascii="Arial" w:hAnsi="Arial" w:cs="Arial"/>
          <w:b/>
          <w:sz w:val="22"/>
          <w:szCs w:val="22"/>
        </w:rPr>
        <w:t>Date</w:t>
      </w:r>
      <w:r w:rsidRPr="00D221BF">
        <w:rPr>
          <w:rFonts w:ascii="Arial" w:hAnsi="Arial" w:cs="Arial"/>
          <w:b/>
          <w:sz w:val="22"/>
          <w:szCs w:val="22"/>
        </w:rPr>
        <w:tab/>
      </w:r>
      <w:r w:rsidRPr="00D221BF">
        <w:rPr>
          <w:rFonts w:ascii="Arial" w:hAnsi="Arial" w:cs="Arial"/>
          <w:b/>
          <w:sz w:val="22"/>
          <w:szCs w:val="22"/>
        </w:rPr>
        <w:tab/>
      </w:r>
      <w:r w:rsidRPr="00D221BF">
        <w:rPr>
          <w:rFonts w:ascii="Arial" w:hAnsi="Arial" w:cs="Arial"/>
          <w:b/>
          <w:sz w:val="22"/>
          <w:szCs w:val="22"/>
        </w:rPr>
        <w:tab/>
      </w:r>
      <w:r w:rsidRPr="00D221BF">
        <w:rPr>
          <w:rFonts w:ascii="Arial" w:hAnsi="Arial" w:cs="Arial"/>
          <w:b/>
          <w:sz w:val="22"/>
          <w:szCs w:val="22"/>
        </w:rPr>
        <w:tab/>
        <w:t>:</w:t>
      </w:r>
      <w:r w:rsidR="00384C9E">
        <w:rPr>
          <w:rFonts w:ascii="Arial" w:hAnsi="Arial" w:cs="Arial"/>
          <w:b/>
          <w:sz w:val="22"/>
          <w:szCs w:val="22"/>
        </w:rPr>
        <w:t>06</w:t>
      </w:r>
      <w:r w:rsidR="00A438C3">
        <w:rPr>
          <w:rFonts w:ascii="Arial" w:hAnsi="Arial" w:cs="Arial"/>
          <w:b/>
          <w:sz w:val="22"/>
          <w:szCs w:val="22"/>
        </w:rPr>
        <w:t>/</w:t>
      </w:r>
      <w:r w:rsidR="00077FA2">
        <w:rPr>
          <w:rFonts w:ascii="Arial" w:hAnsi="Arial" w:cs="Arial"/>
          <w:b/>
          <w:sz w:val="22"/>
          <w:szCs w:val="22"/>
        </w:rPr>
        <w:t>07/</w:t>
      </w:r>
      <w:r w:rsidR="00C76CCD">
        <w:rPr>
          <w:rFonts w:ascii="Arial" w:hAnsi="Arial" w:cs="Arial"/>
          <w:b/>
          <w:sz w:val="22"/>
          <w:szCs w:val="22"/>
        </w:rPr>
        <w:t>2026</w:t>
      </w:r>
    </w:p>
    <w:p w14:paraId="0DD014A5" w14:textId="77777777" w:rsidR="004C58DC" w:rsidRPr="00D221BF" w:rsidRDefault="004C58DC">
      <w:pPr>
        <w:jc w:val="left"/>
        <w:rPr>
          <w:rFonts w:ascii="Arial" w:eastAsia="Calibri" w:hAnsi="Arial" w:cs="Arial"/>
          <w:b/>
          <w:bCs/>
          <w:sz w:val="22"/>
          <w:szCs w:val="22"/>
        </w:rPr>
      </w:pPr>
    </w:p>
    <w:p w14:paraId="02B4A655" w14:textId="77777777" w:rsidR="004C58DC" w:rsidRPr="00D221BF" w:rsidRDefault="004C58DC">
      <w:pPr>
        <w:jc w:val="left"/>
        <w:rPr>
          <w:rFonts w:ascii="Arial" w:eastAsia="Calibri" w:hAnsi="Arial" w:cs="Arial"/>
          <w:b/>
          <w:bCs/>
          <w:sz w:val="22"/>
          <w:szCs w:val="22"/>
        </w:rPr>
      </w:pPr>
      <w:r w:rsidRPr="00D221BF">
        <w:rPr>
          <w:rFonts w:ascii="Arial" w:eastAsia="Calibri" w:hAnsi="Arial" w:cs="Arial"/>
          <w:b/>
          <w:bCs/>
          <w:sz w:val="22"/>
          <w:szCs w:val="22"/>
        </w:rPr>
        <w:br w:type="page"/>
      </w:r>
    </w:p>
    <w:p w14:paraId="675DBAAE" w14:textId="77777777" w:rsidR="002A25AF" w:rsidRPr="00D221BF" w:rsidRDefault="00CC2AB5">
      <w:pPr>
        <w:spacing w:after="300"/>
        <w:jc w:val="center"/>
        <w:rPr>
          <w:rFonts w:ascii="Arial" w:hAnsi="Arial" w:cs="Arial"/>
          <w:sz w:val="22"/>
          <w:szCs w:val="22"/>
        </w:rPr>
      </w:pPr>
      <w:r w:rsidRPr="00D221BF">
        <w:rPr>
          <w:rFonts w:ascii="Arial" w:eastAsia="Calibri" w:hAnsi="Arial" w:cs="Arial"/>
          <w:b/>
          <w:bCs/>
          <w:sz w:val="22"/>
          <w:szCs w:val="22"/>
        </w:rPr>
        <w:t>Coronary Heart Disease</w:t>
      </w:r>
    </w:p>
    <w:p w14:paraId="11CFA113" w14:textId="77777777" w:rsidR="002A25AF" w:rsidRPr="00D221BF" w:rsidRDefault="00CC2AB5">
      <w:pPr>
        <w:pStyle w:val="Heading21"/>
        <w:spacing w:before="240" w:after="120"/>
        <w:rPr>
          <w:rFonts w:ascii="Arial" w:hAnsi="Arial" w:cs="Arial"/>
          <w:b/>
          <w:bCs/>
          <w:color w:val="000000"/>
          <w:sz w:val="22"/>
          <w:szCs w:val="22"/>
        </w:rPr>
      </w:pPr>
      <w:r w:rsidRPr="00D221BF">
        <w:rPr>
          <w:rFonts w:ascii="Arial" w:eastAsia="Calibri" w:hAnsi="Arial" w:cs="Arial"/>
          <w:b/>
          <w:bCs/>
          <w:color w:val="000000"/>
          <w:sz w:val="22"/>
          <w:szCs w:val="22"/>
        </w:rPr>
        <w:t>Introduction</w:t>
      </w:r>
    </w:p>
    <w:p w14:paraId="656303AE" w14:textId="77777777" w:rsidR="002A25AF" w:rsidRPr="00D221BF" w:rsidRDefault="00CC2AB5">
      <w:pPr>
        <w:spacing w:after="160" w:line="360" w:lineRule="auto"/>
        <w:rPr>
          <w:rFonts w:ascii="Arial" w:hAnsi="Arial" w:cs="Arial"/>
          <w:sz w:val="22"/>
          <w:szCs w:val="22"/>
        </w:rPr>
      </w:pPr>
      <w:r w:rsidRPr="00D221BF">
        <w:rPr>
          <w:rFonts w:ascii="Arial" w:eastAsia="Calibri" w:hAnsi="Arial" w:cs="Arial"/>
          <w:sz w:val="22"/>
          <w:szCs w:val="22"/>
        </w:rPr>
        <w:t>Coronary heart disease (CHD), sometimes called ischaemic heart disease or coronary artery disease, is a major cause of death in the UK and worldwide (NHS, 2024). It is the term used to describe what happens when the coronary arteries, which supply the heart's blood supply, become narrowed by a build-up of atheroma, a fatty material within their walls.</w:t>
      </w:r>
    </w:p>
    <w:p w14:paraId="229129BE" w14:textId="77777777" w:rsidR="002A25AF" w:rsidRPr="00D221BF" w:rsidRDefault="00CC2AB5">
      <w:pPr>
        <w:spacing w:after="160" w:line="360" w:lineRule="auto"/>
        <w:rPr>
          <w:rFonts w:ascii="Arial" w:hAnsi="Arial" w:cs="Arial"/>
          <w:sz w:val="22"/>
          <w:szCs w:val="22"/>
        </w:rPr>
      </w:pPr>
      <w:r w:rsidRPr="00D221BF">
        <w:rPr>
          <w:rFonts w:ascii="Arial" w:eastAsia="Calibri" w:hAnsi="Arial" w:cs="Arial"/>
          <w:sz w:val="22"/>
          <w:szCs w:val="22"/>
        </w:rPr>
        <w:t>The main symptoms of coronary heart disease include chest pain, also called angina, shortness of breath, and pain in the neck, shoulders, jaw or arms, alongside tiredness and nausea (NHS, 2024). These symptoms occur because the narrowing of the coronary arteries restricts the flow of oxygen-rich blood to the heart muscle, meaning that the heart has to work harder to meet the body's demands, particularly during physical exertion or stress.</w:t>
      </w:r>
    </w:p>
    <w:p w14:paraId="35FB1758" w14:textId="77777777" w:rsidR="002A25AF" w:rsidRPr="00D221BF" w:rsidRDefault="00CC2AB5">
      <w:pPr>
        <w:spacing w:after="160" w:line="360" w:lineRule="auto"/>
        <w:rPr>
          <w:rFonts w:ascii="Arial" w:hAnsi="Arial" w:cs="Arial"/>
          <w:sz w:val="22"/>
          <w:szCs w:val="22"/>
        </w:rPr>
      </w:pPr>
      <w:r w:rsidRPr="00D221BF">
        <w:rPr>
          <w:rFonts w:ascii="Arial" w:eastAsia="Calibri" w:hAnsi="Arial" w:cs="Arial"/>
          <w:sz w:val="22"/>
          <w:szCs w:val="22"/>
        </w:rPr>
        <w:t>In terms of incidence, CHD is one of the UK's leading causes of death, responsible for around 63,000 deaths each year, an average of 170 people a day, or one death every eight minutes (British Heart Foundation, 2026). Worldwide, coronary (ischaemic) heart disease is the most commonly diagnosed heart disease, with around 240 million people currently living with the condition, and it kills an estimated nine million people each year, accounting for around one in seven deaths globally (British Heart Foundation, 2026).</w:t>
      </w:r>
    </w:p>
    <w:p w14:paraId="7CBB6315" w14:textId="77777777" w:rsidR="004C58DC" w:rsidRPr="00D221BF" w:rsidRDefault="004C58DC">
      <w:pPr>
        <w:spacing w:after="100"/>
        <w:rPr>
          <w:rFonts w:ascii="Arial" w:eastAsia="Calibri" w:hAnsi="Arial" w:cs="Arial"/>
          <w:b/>
          <w:bCs/>
          <w:sz w:val="22"/>
          <w:szCs w:val="22"/>
        </w:rPr>
      </w:pPr>
    </w:p>
    <w:p w14:paraId="3BD50DD9" w14:textId="77777777" w:rsidR="002A25AF" w:rsidRPr="00D221BF" w:rsidRDefault="00CC2AB5">
      <w:pPr>
        <w:spacing w:after="100"/>
        <w:rPr>
          <w:rFonts w:ascii="Arial" w:hAnsi="Arial" w:cs="Arial"/>
          <w:sz w:val="22"/>
          <w:szCs w:val="22"/>
        </w:rPr>
      </w:pPr>
      <w:r w:rsidRPr="00D221BF">
        <w:rPr>
          <w:rFonts w:ascii="Arial" w:eastAsia="Calibri" w:hAnsi="Arial" w:cs="Arial"/>
          <w:b/>
          <w:bCs/>
          <w:sz w:val="22"/>
          <w:szCs w:val="22"/>
        </w:rPr>
        <w:t>Approaches used to measure and monitor CHD</w:t>
      </w:r>
    </w:p>
    <w:p w14:paraId="778102FD" w14:textId="77777777" w:rsidR="002A25AF" w:rsidRPr="00D221BF" w:rsidRDefault="00CC2AB5">
      <w:pPr>
        <w:spacing w:after="160" w:line="360" w:lineRule="auto"/>
        <w:rPr>
          <w:rFonts w:ascii="Arial" w:hAnsi="Arial" w:cs="Arial"/>
          <w:sz w:val="22"/>
          <w:szCs w:val="22"/>
        </w:rPr>
      </w:pPr>
      <w:r w:rsidRPr="00D221BF">
        <w:rPr>
          <w:rFonts w:ascii="Arial" w:eastAsia="Calibri" w:hAnsi="Arial" w:cs="Arial"/>
          <w:sz w:val="22"/>
          <w:szCs w:val="22"/>
        </w:rPr>
        <w:t>The measuring and monitoring of CHD begins in the hospital setting through consultation with a physician and detailed history taking, which includes medical and family history, as well as lifestyle factors such as levels of exercise and smoking status. This is followed by a range of tests used to establish whether an individual is prone to the disease and, where necessary, to make a diagnosis in good time (NHS, 2024). Taking a thorough history in this way allows healthcare professionals to identify individuals at higher risk before symptoms become severe, which supports earlier intervention and more effective monitoring of the condition over time.</w:t>
      </w:r>
    </w:p>
    <w:p w14:paraId="2B5C96DA" w14:textId="77777777" w:rsidR="002A25AF" w:rsidRPr="00D221BF" w:rsidRDefault="00CC2AB5">
      <w:pPr>
        <w:spacing w:after="160" w:line="360" w:lineRule="auto"/>
        <w:rPr>
          <w:rFonts w:ascii="Arial" w:hAnsi="Arial" w:cs="Arial"/>
          <w:sz w:val="22"/>
          <w:szCs w:val="22"/>
        </w:rPr>
      </w:pPr>
      <w:r w:rsidRPr="00D221BF">
        <w:rPr>
          <w:rFonts w:ascii="Arial" w:eastAsia="Calibri" w:hAnsi="Arial" w:cs="Arial"/>
          <w:sz w:val="22"/>
          <w:szCs w:val="22"/>
        </w:rPr>
        <w:t>These tests include the electrocardiogram (ECG), echocardiogram, chest X-ray, coronary angiogram, blood tests, exercise stress tests, MRI scans, and CT scans (NHS, 2024). Each of these tools contributes a different type of information, meaning that clinicians often use them in combination rather than relying on a single test to reach a diagnosis. An echocardiogram examines the structures of the heart, such as the heart valves, and shows how blood flows through the main arteries and veins, giving information on how well the heart is pumping.</w:t>
      </w:r>
    </w:p>
    <w:p w14:paraId="1A13F51A" w14:textId="77777777" w:rsidR="002A25AF" w:rsidRPr="00D221BF" w:rsidRDefault="00CC2AB5">
      <w:pPr>
        <w:spacing w:after="160" w:line="360" w:lineRule="auto"/>
        <w:rPr>
          <w:rFonts w:ascii="Arial" w:hAnsi="Arial" w:cs="Arial"/>
          <w:sz w:val="22"/>
          <w:szCs w:val="22"/>
        </w:rPr>
      </w:pPr>
      <w:r w:rsidRPr="00D221BF">
        <w:rPr>
          <w:rFonts w:ascii="Arial" w:eastAsia="Calibri" w:hAnsi="Arial" w:cs="Arial"/>
          <w:sz w:val="22"/>
          <w:szCs w:val="22"/>
        </w:rPr>
        <w:t>Blood tests play a wide-ranging role in this process. Cardiac enzyme tests, including troponin tests, help to diagnose or rule out a heart attack, while a full blood count measures different blood levels and can reveal infection or anaemia. Thyroid function tests show whether the thyroid gland is underactive or overactive, which is relevant because abnormal levels can be linked to certain heart conditions and to symptoms such as a slow or fast heart rate or palpitations. A lipid profile measures cholesterol level and the balance of good and bad fats in the blood, and liver function tests indicate how well the liver, a vital organ affecting the rest of the body, is functioning (NHS, 2024).</w:t>
      </w:r>
    </w:p>
    <w:p w14:paraId="0AAE9A00" w14:textId="77777777" w:rsidR="002A25AF" w:rsidRPr="00D221BF" w:rsidRDefault="00CC2AB5">
      <w:pPr>
        <w:spacing w:after="160" w:line="360" w:lineRule="auto"/>
        <w:rPr>
          <w:rFonts w:ascii="Arial" w:hAnsi="Arial" w:cs="Arial"/>
          <w:sz w:val="22"/>
          <w:szCs w:val="22"/>
        </w:rPr>
      </w:pPr>
      <w:r w:rsidRPr="00D221BF">
        <w:rPr>
          <w:rFonts w:ascii="Arial" w:eastAsia="Calibri" w:hAnsi="Arial" w:cs="Arial"/>
          <w:sz w:val="22"/>
          <w:szCs w:val="22"/>
        </w:rPr>
        <w:t>A cardiac MRI may be used to look for congenital heart disease, heart muscle conditions such as cardiomyopathy, growths in the heart, damage to the heart muscle following a heart attack or heart failure diagnosis, and heart valve disease. This makes MRI particularly useful where more detailed structural information is needed than other imaging methods can provide. CT scans and coronary angiography provide further detailed imaging of the heart and its blood vessels, allowing clinicians to see directly whether the coronary arteries are narrowed and by how much. Exercise stress tests measure heart rate while walking on a treadmill, helping to determine how well the heart works when required to pump more blood, while a chest X-ray uses radiation to create an image of the heart, lungs and other organs in the chest (NHS, 2024).</w:t>
      </w:r>
    </w:p>
    <w:p w14:paraId="6756A446" w14:textId="77777777" w:rsidR="004C58DC" w:rsidRPr="00D221BF" w:rsidRDefault="004C58DC">
      <w:pPr>
        <w:spacing w:before="120" w:after="100"/>
        <w:rPr>
          <w:rFonts w:ascii="Arial" w:eastAsia="Calibri" w:hAnsi="Arial" w:cs="Arial"/>
          <w:b/>
          <w:bCs/>
          <w:sz w:val="22"/>
          <w:szCs w:val="22"/>
        </w:rPr>
      </w:pPr>
    </w:p>
    <w:p w14:paraId="01E90D11" w14:textId="77777777" w:rsidR="002A25AF" w:rsidRPr="00D221BF" w:rsidRDefault="004C58DC">
      <w:pPr>
        <w:spacing w:before="120" w:after="100"/>
        <w:rPr>
          <w:rFonts w:ascii="Arial" w:eastAsia="Calibri" w:hAnsi="Arial" w:cs="Arial"/>
          <w:b/>
          <w:bCs/>
          <w:sz w:val="22"/>
          <w:szCs w:val="22"/>
        </w:rPr>
      </w:pPr>
      <w:r w:rsidRPr="00D221BF">
        <w:rPr>
          <w:rFonts w:ascii="Arial" w:eastAsia="Calibri" w:hAnsi="Arial" w:cs="Arial"/>
          <w:b/>
          <w:bCs/>
          <w:sz w:val="22"/>
          <w:szCs w:val="22"/>
        </w:rPr>
        <w:t>Control of Coronary Heart Disease</w:t>
      </w:r>
    </w:p>
    <w:p w14:paraId="64A6ED69" w14:textId="77777777" w:rsidR="002A25AF" w:rsidRPr="00D221BF" w:rsidRDefault="00CC2AB5">
      <w:pPr>
        <w:spacing w:after="160" w:line="360" w:lineRule="auto"/>
        <w:rPr>
          <w:rFonts w:ascii="Arial" w:hAnsi="Arial" w:cs="Arial"/>
          <w:sz w:val="22"/>
          <w:szCs w:val="22"/>
        </w:rPr>
      </w:pPr>
      <w:r w:rsidRPr="00D221BF">
        <w:rPr>
          <w:rFonts w:ascii="Arial" w:eastAsia="Calibri" w:hAnsi="Arial" w:cs="Arial"/>
          <w:sz w:val="22"/>
          <w:szCs w:val="22"/>
        </w:rPr>
        <w:t>As soon as the risk of CHD is identified, or a diagnosis is made, lifestyle changes must be made immediately alongside strict adherence to the prescribed treatment regime. CHD can be prevented, or its risk substantially reduced, through simple lifestyle changes, including choosing heart-healthy foods, staying physically active, quitting smoking, getting enough quality sleep, aiming for a healthy weight, having blood pressure and cholesterol checked regularly, and managing blood sugar levels (NHS, 2024). Because many of these risk factors are interconnected, making progress in one area, such as increasing physical activity, often supports improvement in others, including weight management and blood pressure control.</w:t>
      </w:r>
    </w:p>
    <w:p w14:paraId="72EEC3BD" w14:textId="77777777" w:rsidR="002A25AF" w:rsidRPr="00D221BF" w:rsidRDefault="00CC2AB5">
      <w:pPr>
        <w:spacing w:after="160" w:line="360" w:lineRule="auto"/>
        <w:rPr>
          <w:rFonts w:ascii="Arial" w:hAnsi="Arial" w:cs="Arial"/>
          <w:sz w:val="22"/>
          <w:szCs w:val="22"/>
        </w:rPr>
      </w:pPr>
      <w:r w:rsidRPr="00D221BF">
        <w:rPr>
          <w:rFonts w:ascii="Arial" w:eastAsia="Calibri" w:hAnsi="Arial" w:cs="Arial"/>
          <w:sz w:val="22"/>
          <w:szCs w:val="22"/>
        </w:rPr>
        <w:t>Follow-up care is another essential aspect of control, including attending routine medical appointments and taking all medicines regularly as prescribed. Clear communication with the healthcare provider about the schedule of office visits and blood tests, as well as promptly reporting any new or worsening symptoms or problems with blood pressure or blood sugar, supports effective long-term management of the condition (NHS, 2024). This ongoing dialogue between patient and healthcare provider helps to ensure that any deterioration in the condition is picked up early, reducing the likelihood of acute events such as a heart attack.</w:t>
      </w:r>
    </w:p>
    <w:p w14:paraId="4CD81E66" w14:textId="77777777" w:rsidR="004C58DC" w:rsidRPr="00D221BF" w:rsidRDefault="004C58DC">
      <w:pPr>
        <w:spacing w:before="120" w:after="100"/>
        <w:rPr>
          <w:rFonts w:ascii="Arial" w:eastAsia="Calibri" w:hAnsi="Arial" w:cs="Arial"/>
          <w:b/>
          <w:bCs/>
          <w:sz w:val="22"/>
          <w:szCs w:val="22"/>
        </w:rPr>
      </w:pPr>
    </w:p>
    <w:p w14:paraId="1A1308BF" w14:textId="77777777" w:rsidR="002A25AF" w:rsidRPr="00D221BF" w:rsidRDefault="00CC2AB5">
      <w:pPr>
        <w:spacing w:before="120" w:after="100"/>
        <w:rPr>
          <w:rFonts w:ascii="Arial" w:hAnsi="Arial" w:cs="Arial"/>
          <w:sz w:val="22"/>
          <w:szCs w:val="22"/>
        </w:rPr>
      </w:pPr>
      <w:r w:rsidRPr="00D221BF">
        <w:rPr>
          <w:rFonts w:ascii="Arial" w:eastAsia="Calibri" w:hAnsi="Arial" w:cs="Arial"/>
          <w:b/>
          <w:bCs/>
          <w:sz w:val="22"/>
          <w:szCs w:val="22"/>
        </w:rPr>
        <w:t xml:space="preserve">Consequences of </w:t>
      </w:r>
      <w:r w:rsidR="004C58DC" w:rsidRPr="00D221BF">
        <w:rPr>
          <w:rFonts w:ascii="Arial" w:eastAsia="Calibri" w:hAnsi="Arial" w:cs="Arial"/>
          <w:b/>
          <w:bCs/>
          <w:sz w:val="22"/>
          <w:szCs w:val="22"/>
        </w:rPr>
        <w:t xml:space="preserve">Coronary Heart Disease </w:t>
      </w:r>
      <w:r w:rsidRPr="00D221BF">
        <w:rPr>
          <w:rFonts w:ascii="Arial" w:eastAsia="Calibri" w:hAnsi="Arial" w:cs="Arial"/>
          <w:b/>
          <w:bCs/>
          <w:sz w:val="22"/>
          <w:szCs w:val="22"/>
        </w:rPr>
        <w:t>on people in the community</w:t>
      </w:r>
    </w:p>
    <w:p w14:paraId="67434B1F" w14:textId="77777777" w:rsidR="002A25AF" w:rsidRPr="00D221BF" w:rsidRDefault="00CC2AB5">
      <w:pPr>
        <w:spacing w:after="160" w:line="360" w:lineRule="auto"/>
        <w:rPr>
          <w:rFonts w:ascii="Arial" w:hAnsi="Arial" w:cs="Arial"/>
          <w:sz w:val="22"/>
          <w:szCs w:val="22"/>
        </w:rPr>
      </w:pPr>
      <w:r w:rsidRPr="00D221BF">
        <w:rPr>
          <w:rFonts w:ascii="Arial" w:eastAsia="Calibri" w:hAnsi="Arial" w:cs="Arial"/>
          <w:sz w:val="22"/>
          <w:szCs w:val="22"/>
        </w:rPr>
        <w:t>Evidence shows that patients living with CHD tend to experience poorer physical health than their caregivers, although mental health levels between the two groups have been found to be broadly similar. Caregivers' poorer mental health at six months was predicted by the patient's own perceptions of illness timeline and level of illness concern (Thomson et al., 2020). This suggests that the psychological impact of CHD is not confined to the individual diagnosed with the condition, but extends to those who provide informal care and support within the community, highlighting the need for support services that consider the wellbeing of caregivers alongside that of patients.</w:t>
      </w:r>
    </w:p>
    <w:p w14:paraId="1BA5C5E5" w14:textId="77777777" w:rsidR="002A25AF" w:rsidRPr="00D221BF" w:rsidRDefault="00CC2AB5">
      <w:pPr>
        <w:spacing w:after="160" w:line="360" w:lineRule="auto"/>
        <w:rPr>
          <w:rFonts w:ascii="Arial" w:hAnsi="Arial" w:cs="Arial"/>
          <w:sz w:val="22"/>
          <w:szCs w:val="22"/>
        </w:rPr>
      </w:pPr>
      <w:r w:rsidRPr="00D221BF">
        <w:rPr>
          <w:rFonts w:ascii="Arial" w:eastAsia="Calibri" w:hAnsi="Arial" w:cs="Arial"/>
          <w:sz w:val="22"/>
          <w:szCs w:val="22"/>
        </w:rPr>
        <w:t>There is also a considerable economic burden associated with the condition. The pooled direct annual cost of CHD per patient has been found to vary from 4.9% to 137.8% of GDP per capita, with a pooled percentage of 21.7% for those living with CHD. A modest difference was observed in annual pooled cost between sexes, with costs approximately 2% of GDP per capita higher in men, and most studies applied a top-down costing approach (Shakya et al., 2025). This wide variation in reported costs reflects differences between healthcare systems and countries, but consistently demonstrates that CHD places a substantial financial burden on both individuals and wider health systems, in addition to its personal and emotional toll.</w:t>
      </w:r>
    </w:p>
    <w:p w14:paraId="41A5AFAB" w14:textId="77777777" w:rsidR="004C58DC" w:rsidRPr="00D221BF" w:rsidRDefault="004C58DC">
      <w:pPr>
        <w:spacing w:before="120" w:after="100"/>
        <w:rPr>
          <w:rFonts w:ascii="Arial" w:eastAsia="Calibri" w:hAnsi="Arial" w:cs="Arial"/>
          <w:b/>
          <w:bCs/>
          <w:sz w:val="22"/>
          <w:szCs w:val="22"/>
        </w:rPr>
      </w:pPr>
    </w:p>
    <w:p w14:paraId="0C5105EC" w14:textId="77777777" w:rsidR="002A25AF" w:rsidRPr="00D221BF" w:rsidRDefault="00CC2AB5">
      <w:pPr>
        <w:spacing w:before="120" w:after="100"/>
        <w:rPr>
          <w:rFonts w:ascii="Arial" w:hAnsi="Arial" w:cs="Arial"/>
          <w:sz w:val="22"/>
          <w:szCs w:val="22"/>
        </w:rPr>
      </w:pPr>
      <w:r w:rsidRPr="00D221BF">
        <w:rPr>
          <w:rFonts w:ascii="Arial" w:eastAsia="Calibri" w:hAnsi="Arial" w:cs="Arial"/>
          <w:b/>
          <w:bCs/>
          <w:sz w:val="22"/>
          <w:szCs w:val="22"/>
        </w:rPr>
        <w:t>Health and social care support services required</w:t>
      </w:r>
    </w:p>
    <w:p w14:paraId="1B5CD733" w14:textId="77777777" w:rsidR="002A25AF" w:rsidRPr="00D221BF" w:rsidRDefault="00CC2AB5">
      <w:pPr>
        <w:spacing w:after="160" w:line="360" w:lineRule="auto"/>
        <w:rPr>
          <w:rFonts w:ascii="Arial" w:hAnsi="Arial" w:cs="Arial"/>
          <w:sz w:val="22"/>
          <w:szCs w:val="22"/>
        </w:rPr>
      </w:pPr>
      <w:r w:rsidRPr="00D221BF">
        <w:rPr>
          <w:rFonts w:ascii="Arial" w:eastAsia="Calibri" w:hAnsi="Arial" w:cs="Arial"/>
          <w:sz w:val="22"/>
          <w:szCs w:val="22"/>
        </w:rPr>
        <w:t>Peer support, such as that offered through cardiac rehabilitation, provides an important opportunity for individuals to meet others with the same diagnosis, enabling the sharing of experiences and building a support network for emotional wellbeing. Cardiac rehabilitation also offers advice and information on adjusting to life with a heart condition and on managing any associated mental health concerns or stress (NHS, 2024). This kind of community-based support recognises that living with CHD affects not only physical health but also an individual's confidence and emotional adjustment following diagnosis.</w:t>
      </w:r>
    </w:p>
    <w:p w14:paraId="53B8764D" w14:textId="77777777" w:rsidR="002A25AF" w:rsidRPr="00D221BF" w:rsidRDefault="00CC2AB5">
      <w:pPr>
        <w:spacing w:after="160" w:line="360" w:lineRule="auto"/>
        <w:rPr>
          <w:rFonts w:ascii="Arial" w:hAnsi="Arial" w:cs="Arial"/>
          <w:sz w:val="22"/>
          <w:szCs w:val="22"/>
        </w:rPr>
      </w:pPr>
      <w:r w:rsidRPr="00D221BF">
        <w:rPr>
          <w:rFonts w:ascii="Arial" w:eastAsia="Calibri" w:hAnsi="Arial" w:cs="Arial"/>
          <w:sz w:val="22"/>
          <w:szCs w:val="22"/>
        </w:rPr>
        <w:t>Cardiac rehabilitation, a medically supervised exercise programme for people recovering from a heart problem, is itself another important means of controlling CHD. Studies show that cardiac rehabilitation lowers the risk of hospitalisation and death, and can also improve quality of life (NHS, 2024).</w:t>
      </w:r>
    </w:p>
    <w:p w14:paraId="669F3958" w14:textId="77777777" w:rsidR="002A25AF" w:rsidRPr="00D221BF" w:rsidRDefault="00CC2AB5">
      <w:pPr>
        <w:spacing w:after="160" w:line="360" w:lineRule="auto"/>
        <w:rPr>
          <w:rFonts w:ascii="Arial" w:hAnsi="Arial" w:cs="Arial"/>
          <w:sz w:val="22"/>
          <w:szCs w:val="22"/>
        </w:rPr>
      </w:pPr>
      <w:r w:rsidRPr="00D221BF">
        <w:rPr>
          <w:rFonts w:ascii="Arial" w:eastAsia="Calibri" w:hAnsi="Arial" w:cs="Arial"/>
          <w:sz w:val="22"/>
          <w:szCs w:val="22"/>
        </w:rPr>
        <w:t>At a national level, the NHS is working with partners to improve the public response to out-of-hospital cardiac arrest and to build defibrillator networks, making it easier to map and access defibrillators in order to improve survival rates. Further priorities include increasing the proportion of patients with heart failure and heart valve disease who complete a course of cardiac rehabilitation, and supporting the early detection of heart failure and heart valve disease by increasing access to diagnostic testing in primary care (British Heart Foundation, 2026).</w:t>
      </w:r>
    </w:p>
    <w:p w14:paraId="0567C8DA" w14:textId="77777777" w:rsidR="00457DAF" w:rsidRDefault="00457DAF">
      <w:pPr>
        <w:pStyle w:val="Heading21"/>
        <w:spacing w:before="240" w:after="120"/>
        <w:rPr>
          <w:rFonts w:ascii="Arial" w:eastAsia="Calibri" w:hAnsi="Arial" w:cs="Arial"/>
          <w:b/>
          <w:bCs/>
          <w:color w:val="000000"/>
          <w:sz w:val="22"/>
          <w:szCs w:val="22"/>
        </w:rPr>
      </w:pPr>
    </w:p>
    <w:p w14:paraId="79910B8A" w14:textId="77777777" w:rsidR="002A25AF" w:rsidRPr="00D221BF" w:rsidRDefault="00CC2AB5">
      <w:pPr>
        <w:pStyle w:val="Heading21"/>
        <w:spacing w:before="240" w:after="120"/>
        <w:rPr>
          <w:rFonts w:ascii="Arial" w:hAnsi="Arial" w:cs="Arial"/>
          <w:color w:val="000000"/>
          <w:sz w:val="22"/>
          <w:szCs w:val="22"/>
        </w:rPr>
      </w:pPr>
      <w:r w:rsidRPr="00D221BF">
        <w:rPr>
          <w:rFonts w:ascii="Arial" w:eastAsia="Calibri" w:hAnsi="Arial" w:cs="Arial"/>
          <w:b/>
          <w:bCs/>
          <w:color w:val="000000"/>
          <w:sz w:val="22"/>
          <w:szCs w:val="22"/>
        </w:rPr>
        <w:t>Conclusion</w:t>
      </w:r>
    </w:p>
    <w:p w14:paraId="4C749DC0" w14:textId="77777777" w:rsidR="002A25AF" w:rsidRPr="00D221BF" w:rsidRDefault="00CC2AB5">
      <w:pPr>
        <w:spacing w:after="160" w:line="360" w:lineRule="auto"/>
        <w:rPr>
          <w:rFonts w:ascii="Arial" w:hAnsi="Arial" w:cs="Arial"/>
          <w:sz w:val="22"/>
          <w:szCs w:val="22"/>
        </w:rPr>
      </w:pPr>
      <w:r w:rsidRPr="00D221BF">
        <w:rPr>
          <w:rFonts w:ascii="Arial" w:eastAsia="Calibri" w:hAnsi="Arial" w:cs="Arial"/>
          <w:sz w:val="22"/>
          <w:szCs w:val="22"/>
        </w:rPr>
        <w:t>It has been established that coronary heart disease remains one of the leading causes of death and illness in both the UK and worldwide, and that it can be modified by making lifestyle factors such as diet, smoking and inactivity a priority. The major clinical measurement tools used for diagnosis include ECGs, angiograms and blood tests, and the burden of the disease can be controlled through lifestyle-based prevention strategies, which play a central role in managing the condition. The consequences of CHD extend beyond the individual, placing significant emotional, physical and economic strain on communities and health systems. Effective health and social care support, including cardiac rehabilitation, patient support groups and ongoing follow-up care, is essential in helping affected individuals manage their condition and maintain quality of life. Continued investment in prevention, early diagnosis and community-based support services will be key to reducing the incidence and impact of coronary heart disease going forward.</w:t>
      </w:r>
    </w:p>
    <w:p w14:paraId="30D4A8E4" w14:textId="77777777" w:rsidR="00613193" w:rsidRDefault="00613193">
      <w:pPr>
        <w:jc w:val="left"/>
        <w:rPr>
          <w:rFonts w:ascii="Arial" w:eastAsia="Calibri" w:hAnsi="Arial" w:cs="Arial"/>
          <w:b/>
          <w:bCs/>
          <w:color w:val="000000"/>
          <w:sz w:val="22"/>
          <w:szCs w:val="22"/>
        </w:rPr>
      </w:pPr>
      <w:r>
        <w:rPr>
          <w:rFonts w:ascii="Arial" w:eastAsia="Calibri" w:hAnsi="Arial" w:cs="Arial"/>
          <w:b/>
          <w:bCs/>
          <w:color w:val="000000"/>
          <w:sz w:val="22"/>
          <w:szCs w:val="22"/>
        </w:rPr>
        <w:br w:type="page"/>
      </w:r>
    </w:p>
    <w:p w14:paraId="695FFA02" w14:textId="77777777" w:rsidR="002A25AF" w:rsidRPr="00D221BF" w:rsidRDefault="00CC2AB5">
      <w:pPr>
        <w:pStyle w:val="Heading21"/>
        <w:spacing w:before="240" w:after="120"/>
        <w:rPr>
          <w:rFonts w:ascii="Arial" w:hAnsi="Arial" w:cs="Arial"/>
          <w:color w:val="000000"/>
          <w:sz w:val="22"/>
          <w:szCs w:val="22"/>
        </w:rPr>
      </w:pPr>
      <w:r w:rsidRPr="00D221BF">
        <w:rPr>
          <w:rFonts w:ascii="Arial" w:eastAsia="Calibri" w:hAnsi="Arial" w:cs="Arial"/>
          <w:b/>
          <w:bCs/>
          <w:color w:val="000000"/>
          <w:sz w:val="22"/>
          <w:szCs w:val="22"/>
        </w:rPr>
        <w:t>References</w:t>
      </w:r>
    </w:p>
    <w:p w14:paraId="22070DFF" w14:textId="77777777" w:rsidR="002A25AF" w:rsidRPr="00613193" w:rsidRDefault="00CC2AB5" w:rsidP="00613193">
      <w:pPr>
        <w:pStyle w:val="ListParagraph"/>
        <w:numPr>
          <w:ilvl w:val="0"/>
          <w:numId w:val="2"/>
        </w:numPr>
        <w:spacing w:after="160" w:line="360" w:lineRule="auto"/>
        <w:jc w:val="both"/>
        <w:rPr>
          <w:rFonts w:ascii="Arial" w:hAnsi="Arial" w:cs="Arial"/>
          <w:sz w:val="22"/>
          <w:szCs w:val="22"/>
        </w:rPr>
      </w:pPr>
      <w:r w:rsidRPr="00613193">
        <w:rPr>
          <w:rFonts w:ascii="Arial" w:eastAsia="Calibri" w:hAnsi="Arial" w:cs="Arial"/>
          <w:sz w:val="22"/>
          <w:szCs w:val="22"/>
        </w:rPr>
        <w:t>British Heart Foundation (2026) Heart statistics: UK factsheet. Available at: https://www.bhf.org.uk/what-we-do/our-research/heart-statistics (Accessed: 4 July 2026).</w:t>
      </w:r>
    </w:p>
    <w:p w14:paraId="03B0BF5D" w14:textId="77777777" w:rsidR="002A25AF" w:rsidRPr="00613193" w:rsidRDefault="00CC2AB5" w:rsidP="00613193">
      <w:pPr>
        <w:pStyle w:val="ListParagraph"/>
        <w:numPr>
          <w:ilvl w:val="0"/>
          <w:numId w:val="2"/>
        </w:numPr>
        <w:spacing w:after="160" w:line="360" w:lineRule="auto"/>
        <w:jc w:val="both"/>
        <w:rPr>
          <w:rFonts w:ascii="Arial" w:hAnsi="Arial" w:cs="Arial"/>
          <w:sz w:val="22"/>
          <w:szCs w:val="22"/>
        </w:rPr>
      </w:pPr>
      <w:r w:rsidRPr="00613193">
        <w:rPr>
          <w:rFonts w:ascii="Arial" w:eastAsia="Calibri" w:hAnsi="Arial" w:cs="Arial"/>
          <w:sz w:val="22"/>
          <w:szCs w:val="22"/>
        </w:rPr>
        <w:t>NHS (2024) Coronary heart disease. Available at: https://www.nhs.uk/conditions/coronary-heart-disease/ (Accessed: 4 July 2026).</w:t>
      </w:r>
    </w:p>
    <w:p w14:paraId="2EAA1074" w14:textId="77777777" w:rsidR="002A25AF" w:rsidRPr="00613193" w:rsidRDefault="00CC2AB5" w:rsidP="00613193">
      <w:pPr>
        <w:pStyle w:val="ListParagraph"/>
        <w:numPr>
          <w:ilvl w:val="0"/>
          <w:numId w:val="2"/>
        </w:numPr>
        <w:spacing w:after="160" w:line="360" w:lineRule="auto"/>
        <w:jc w:val="both"/>
        <w:rPr>
          <w:rFonts w:ascii="Arial" w:hAnsi="Arial" w:cs="Arial"/>
          <w:sz w:val="22"/>
          <w:szCs w:val="22"/>
        </w:rPr>
      </w:pPr>
      <w:r w:rsidRPr="00613193">
        <w:rPr>
          <w:rFonts w:ascii="Arial" w:eastAsia="Calibri" w:hAnsi="Arial" w:cs="Arial"/>
          <w:sz w:val="22"/>
          <w:szCs w:val="22"/>
        </w:rPr>
        <w:t>Shakya, S., Shrestha, A., Robinson, S., Randall, S., Mnatzaganian, G., Brown, H., Boyd, J., Xu, D., Lee, C.M.Y., Brumby, S., Peeters, A., Lucas, J., Gauci, S., Huxley, R., O'Neil, A. and Gao, L. (2025) 'Global comparison of the economic costs of coronary heart disease: a systematic review and meta-analysis', BMJ Open, 15(1), e084917. doi: 10.1136/bmjopen-2024-084917.</w:t>
      </w:r>
    </w:p>
    <w:p w14:paraId="4D45F86C" w14:textId="77777777" w:rsidR="002A25AF" w:rsidRPr="00613193" w:rsidRDefault="00CC2AB5" w:rsidP="00613193">
      <w:pPr>
        <w:pStyle w:val="ListParagraph"/>
        <w:numPr>
          <w:ilvl w:val="0"/>
          <w:numId w:val="2"/>
        </w:numPr>
        <w:spacing w:after="160" w:line="360" w:lineRule="auto"/>
        <w:jc w:val="both"/>
        <w:rPr>
          <w:rFonts w:ascii="Arial" w:hAnsi="Arial" w:cs="Arial"/>
          <w:sz w:val="22"/>
          <w:szCs w:val="22"/>
        </w:rPr>
      </w:pPr>
      <w:r w:rsidRPr="00613193">
        <w:rPr>
          <w:rFonts w:ascii="Arial" w:eastAsia="Calibri" w:hAnsi="Arial" w:cs="Arial"/>
          <w:sz w:val="22"/>
          <w:szCs w:val="22"/>
        </w:rPr>
        <w:t>Thomson, P., Angus, N.J., Andreis, F., Rushworth, G.F., Mohan, A.R., Chung, M.L. and Leslie, S.J. (2020) 'Longitudinal evaluation of the effects of illness perceptions and beliefs about cardiac rehabilitation on quality of life of patients with coronary artery disease and their caregivers', Health and Quality of Life Outcomes, 18, p. 158. doi: 10.1186/s12955-020-01405-0.</w:t>
      </w:r>
    </w:p>
    <w:sectPr w:rsidR="002A25AF" w:rsidRPr="00613193" w:rsidSect="00BE0EE1">
      <w:footerReference w:type="default" r:id="rId7"/>
      <w:pgSz w:w="11906" w:h="16838"/>
      <w:pgMar w:top="1440" w:right="1440" w:bottom="1440" w:left="1440" w:header="708" w:footer="708"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3A1D5D5" w14:textId="77777777" w:rsidR="009437F7" w:rsidRDefault="009437F7" w:rsidP="00613193">
      <w:r>
        <w:separator/>
      </w:r>
    </w:p>
  </w:endnote>
  <w:endnote w:type="continuationSeparator" w:id="0">
    <w:p w14:paraId="6BBD687C" w14:textId="77777777" w:rsidR="009437F7" w:rsidRDefault="009437F7" w:rsidP="00613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497216849"/>
      <w:docPartObj>
        <w:docPartGallery w:val="Page Numbers (Bottom of Page)"/>
        <w:docPartUnique/>
      </w:docPartObj>
    </w:sdtPr>
    <w:sdtEndPr/>
    <w:sdtContent>
      <w:p w14:paraId="255F57D3" w14:textId="77777777" w:rsidR="00457DAF" w:rsidRDefault="00BE0EE1">
        <w:pPr>
          <w:pStyle w:val="Footer"/>
          <w:jc w:val="center"/>
        </w:pPr>
        <w:r>
          <w:fldChar w:fldCharType="begin"/>
        </w:r>
        <w:r>
          <w:instrText xml:space="preserve"> PAGE   \* MERGEFORMAT </w:instrText>
        </w:r>
        <w:r>
          <w:fldChar w:fldCharType="separate"/>
        </w:r>
        <w:r>
          <w:rPr>
            <w:noProof/>
          </w:rPr>
          <w:t>0</w:t>
        </w:r>
        <w:r>
          <w:rPr>
            <w:noProof/>
          </w:rPr>
          <w:fldChar w:fldCharType="end"/>
        </w:r>
      </w:p>
    </w:sdtContent>
  </w:sdt>
  <w:p w14:paraId="55B8F3A5" w14:textId="77777777" w:rsidR="00613193" w:rsidRDefault="006131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44D7EA0" w14:textId="77777777" w:rsidR="009437F7" w:rsidRDefault="009437F7" w:rsidP="00613193">
      <w:r>
        <w:separator/>
      </w:r>
    </w:p>
  </w:footnote>
  <w:footnote w:type="continuationSeparator" w:id="0">
    <w:p w14:paraId="37C82A25" w14:textId="77777777" w:rsidR="009437F7" w:rsidRDefault="009437F7" w:rsidP="006131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BA652B3"/>
    <w:multiLevelType w:val="hybridMultilevel"/>
    <w:tmpl w:val="FFFFFFFF"/>
    <w:lvl w:ilvl="0" w:tplc="8B32A872" w:tentative="1">
      <w:start w:val="1"/>
      <w:numFmt w:val="bullet"/>
      <w:lvlText w:val="●"/>
      <w:lvlJc w:val="left"/>
      <w:pPr>
        <w:ind w:left="720" w:hanging="360"/>
      </w:pPr>
    </w:lvl>
    <w:lvl w:ilvl="1" w:tplc="C4BCFEE4" w:tentative="1">
      <w:start w:val="1"/>
      <w:numFmt w:val="bullet"/>
      <w:lvlText w:val="○"/>
      <w:lvlJc w:val="left"/>
      <w:pPr>
        <w:ind w:left="1440" w:hanging="360"/>
      </w:pPr>
    </w:lvl>
    <w:lvl w:ilvl="2" w:tplc="07D4AC24" w:tentative="1">
      <w:start w:val="1"/>
      <w:numFmt w:val="bullet"/>
      <w:lvlText w:val="■"/>
      <w:lvlJc w:val="left"/>
      <w:pPr>
        <w:ind w:left="2160" w:hanging="360"/>
      </w:pPr>
    </w:lvl>
    <w:lvl w:ilvl="3" w:tplc="6C86E87E" w:tentative="1">
      <w:start w:val="1"/>
      <w:numFmt w:val="bullet"/>
      <w:lvlText w:val="●"/>
      <w:lvlJc w:val="left"/>
      <w:pPr>
        <w:ind w:left="2880" w:hanging="360"/>
      </w:pPr>
    </w:lvl>
    <w:lvl w:ilvl="4" w:tplc="C1101160" w:tentative="1">
      <w:start w:val="1"/>
      <w:numFmt w:val="bullet"/>
      <w:lvlText w:val="○"/>
      <w:lvlJc w:val="left"/>
      <w:pPr>
        <w:ind w:left="3600" w:hanging="360"/>
      </w:pPr>
    </w:lvl>
    <w:lvl w:ilvl="5" w:tplc="F53CB000" w:tentative="1">
      <w:start w:val="1"/>
      <w:numFmt w:val="bullet"/>
      <w:lvlText w:val="■"/>
      <w:lvlJc w:val="left"/>
      <w:pPr>
        <w:ind w:left="4320" w:hanging="360"/>
      </w:pPr>
    </w:lvl>
    <w:lvl w:ilvl="6" w:tplc="9342C612" w:tentative="1">
      <w:start w:val="1"/>
      <w:numFmt w:val="bullet"/>
      <w:lvlText w:val="●"/>
      <w:lvlJc w:val="left"/>
      <w:pPr>
        <w:ind w:left="5040" w:hanging="360"/>
      </w:pPr>
    </w:lvl>
    <w:lvl w:ilvl="7" w:tplc="3306D4C2" w:tentative="1">
      <w:start w:val="1"/>
      <w:numFmt w:val="bullet"/>
      <w:lvlText w:val="●"/>
      <w:lvlJc w:val="left"/>
      <w:pPr>
        <w:ind w:left="5760" w:hanging="360"/>
      </w:pPr>
    </w:lvl>
    <w:lvl w:ilvl="8" w:tplc="A15CD114" w:tentative="1">
      <w:start w:val="1"/>
      <w:numFmt w:val="bullet"/>
      <w:lvlText w:val="●"/>
      <w:lvlJc w:val="left"/>
      <w:pPr>
        <w:ind w:left="6480" w:hanging="360"/>
      </w:pPr>
    </w:lvl>
  </w:abstractNum>
  <w:abstractNum w:abstractNumId="1" w15:restartNumberingAfterBreak="0">
    <w:nsid w:val="55030A91"/>
    <w:multiLevelType w:val="hybridMultilevel"/>
    <w:tmpl w:val="FC6A0C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78631701">
    <w:abstractNumId w:val="0"/>
    <w:lvlOverride w:ilvl="0">
      <w:startOverride w:val="1"/>
    </w:lvlOverride>
  </w:num>
  <w:num w:numId="2" w16cid:durableId="1178731570">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displayBackgroundShap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5AF"/>
    <w:rsid w:val="00077FA2"/>
    <w:rsid w:val="00121D2F"/>
    <w:rsid w:val="00144FA3"/>
    <w:rsid w:val="002A25AF"/>
    <w:rsid w:val="00384C9E"/>
    <w:rsid w:val="003A017F"/>
    <w:rsid w:val="003C2BD0"/>
    <w:rsid w:val="00456907"/>
    <w:rsid w:val="00457DAF"/>
    <w:rsid w:val="004C58DC"/>
    <w:rsid w:val="004D1CBF"/>
    <w:rsid w:val="005964C1"/>
    <w:rsid w:val="005F61F8"/>
    <w:rsid w:val="00613193"/>
    <w:rsid w:val="00696762"/>
    <w:rsid w:val="007C5B8B"/>
    <w:rsid w:val="007F05A4"/>
    <w:rsid w:val="009437F7"/>
    <w:rsid w:val="009D32C8"/>
    <w:rsid w:val="00A2683B"/>
    <w:rsid w:val="00A438C3"/>
    <w:rsid w:val="00B31A4F"/>
    <w:rsid w:val="00BE0EE1"/>
    <w:rsid w:val="00C76CCD"/>
    <w:rsid w:val="00CC2AB5"/>
    <w:rsid w:val="00D221BF"/>
    <w:rsid w:val="00F22D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F4DE9"/>
  <w15:docId w15:val="{1F3ACEB7-4E50-D345-9E33-13A101CDE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A25AF"/>
    <w:pPr>
      <w:jc w:val="both"/>
    </w:pPr>
    <w:rPr>
      <w:sz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sid w:val="002A25AF"/>
    <w:rPr>
      <w:sz w:val="56"/>
      <w:szCs w:val="56"/>
    </w:rPr>
  </w:style>
  <w:style w:type="paragraph" w:customStyle="1" w:styleId="Heading11">
    <w:name w:val="Heading 11"/>
    <w:qFormat/>
    <w:rsid w:val="002A25AF"/>
    <w:rPr>
      <w:color w:val="2E74B5"/>
      <w:sz w:val="32"/>
      <w:szCs w:val="32"/>
    </w:rPr>
  </w:style>
  <w:style w:type="paragraph" w:customStyle="1" w:styleId="Heading21">
    <w:name w:val="Heading 21"/>
    <w:qFormat/>
    <w:rsid w:val="002A25AF"/>
    <w:rPr>
      <w:color w:val="2E74B5"/>
      <w:sz w:val="26"/>
      <w:szCs w:val="26"/>
    </w:rPr>
  </w:style>
  <w:style w:type="paragraph" w:customStyle="1" w:styleId="Heading31">
    <w:name w:val="Heading 31"/>
    <w:qFormat/>
    <w:rsid w:val="002A25AF"/>
    <w:rPr>
      <w:color w:val="1F4D78"/>
      <w:sz w:val="24"/>
      <w:szCs w:val="24"/>
    </w:rPr>
  </w:style>
  <w:style w:type="paragraph" w:customStyle="1" w:styleId="Heading41">
    <w:name w:val="Heading 41"/>
    <w:qFormat/>
    <w:rsid w:val="002A25AF"/>
    <w:rPr>
      <w:i/>
      <w:iCs/>
      <w:color w:val="2E74B5"/>
    </w:rPr>
  </w:style>
  <w:style w:type="paragraph" w:customStyle="1" w:styleId="Heading51">
    <w:name w:val="Heading 51"/>
    <w:qFormat/>
    <w:rsid w:val="002A25AF"/>
    <w:rPr>
      <w:color w:val="2E74B5"/>
    </w:rPr>
  </w:style>
  <w:style w:type="paragraph" w:customStyle="1" w:styleId="Heading61">
    <w:name w:val="Heading 61"/>
    <w:qFormat/>
    <w:rsid w:val="002A25AF"/>
    <w:rPr>
      <w:color w:val="1F4D78"/>
    </w:rPr>
  </w:style>
  <w:style w:type="paragraph" w:customStyle="1" w:styleId="Strong75a40eb6-afa7-4a5b-8d28-804af0340e60">
    <w:name w:val="Strong_75a40eb6-afa7-4a5b-8d28-804af0340e60"/>
    <w:qFormat/>
    <w:rsid w:val="002A25AF"/>
    <w:rPr>
      <w:b/>
      <w:bCs/>
    </w:rPr>
  </w:style>
  <w:style w:type="paragraph" w:styleId="ListParagraph">
    <w:name w:val="List Paragraph"/>
    <w:qFormat/>
    <w:rsid w:val="002A25AF"/>
  </w:style>
  <w:style w:type="character" w:styleId="Hyperlink">
    <w:name w:val="Hyperlink"/>
    <w:uiPriority w:val="99"/>
    <w:rsid w:val="002A25AF"/>
    <w:rPr>
      <w:color w:val="0563C1"/>
      <w:u w:val="single"/>
    </w:rPr>
  </w:style>
  <w:style w:type="character" w:styleId="FootnoteReference">
    <w:name w:val="footnote reference"/>
    <w:uiPriority w:val="99"/>
    <w:rsid w:val="002A25AF"/>
    <w:rPr>
      <w:vertAlign w:val="superscript"/>
    </w:rPr>
  </w:style>
  <w:style w:type="paragraph" w:styleId="FootnoteText">
    <w:name w:val="footnote text"/>
    <w:link w:val="FootnoteTextChar"/>
    <w:uiPriority w:val="99"/>
    <w:rsid w:val="002A25AF"/>
  </w:style>
  <w:style w:type="character" w:customStyle="1" w:styleId="FootnoteTextChar">
    <w:name w:val="Footnote Text Char"/>
    <w:link w:val="FootnoteText"/>
    <w:uiPriority w:val="99"/>
    <w:rsid w:val="002A25AF"/>
    <w:rPr>
      <w:sz w:val="20"/>
      <w:szCs w:val="20"/>
    </w:rPr>
  </w:style>
  <w:style w:type="character" w:styleId="EndnoteReference">
    <w:name w:val="endnote reference"/>
    <w:uiPriority w:val="99"/>
    <w:rsid w:val="002A25AF"/>
    <w:rPr>
      <w:vertAlign w:val="superscript"/>
    </w:rPr>
  </w:style>
  <w:style w:type="paragraph" w:styleId="EndnoteText">
    <w:name w:val="endnote text"/>
    <w:link w:val="EndnoteTextChar"/>
    <w:uiPriority w:val="99"/>
    <w:rsid w:val="002A25AF"/>
  </w:style>
  <w:style w:type="character" w:customStyle="1" w:styleId="EndnoteTextChar">
    <w:name w:val="Endnote Text Char"/>
    <w:link w:val="EndnoteText"/>
    <w:uiPriority w:val="99"/>
    <w:rsid w:val="002A25AF"/>
    <w:rPr>
      <w:sz w:val="20"/>
      <w:szCs w:val="20"/>
    </w:rPr>
  </w:style>
  <w:style w:type="paragraph" w:styleId="Header">
    <w:name w:val="header"/>
    <w:basedOn w:val="Normal"/>
    <w:link w:val="HeaderChar"/>
    <w:uiPriority w:val="99"/>
    <w:semiHidden/>
    <w:unhideWhenUsed/>
    <w:rsid w:val="00613193"/>
    <w:pPr>
      <w:tabs>
        <w:tab w:val="center" w:pos="4680"/>
        <w:tab w:val="right" w:pos="9360"/>
      </w:tabs>
    </w:pPr>
  </w:style>
  <w:style w:type="character" w:customStyle="1" w:styleId="HeaderChar">
    <w:name w:val="Header Char"/>
    <w:basedOn w:val="DefaultParagraphFont"/>
    <w:link w:val="Header"/>
    <w:uiPriority w:val="99"/>
    <w:semiHidden/>
    <w:rsid w:val="00613193"/>
    <w:rPr>
      <w:sz w:val="21"/>
    </w:rPr>
  </w:style>
  <w:style w:type="paragraph" w:styleId="Footer">
    <w:name w:val="footer"/>
    <w:basedOn w:val="Normal"/>
    <w:link w:val="FooterChar"/>
    <w:uiPriority w:val="99"/>
    <w:unhideWhenUsed/>
    <w:rsid w:val="00613193"/>
    <w:pPr>
      <w:tabs>
        <w:tab w:val="center" w:pos="4680"/>
        <w:tab w:val="right" w:pos="9360"/>
      </w:tabs>
    </w:pPr>
  </w:style>
  <w:style w:type="character" w:customStyle="1" w:styleId="FooterChar">
    <w:name w:val="Footer Char"/>
    <w:basedOn w:val="DefaultParagraphFont"/>
    <w:link w:val="Footer"/>
    <w:uiPriority w:val="99"/>
    <w:rsid w:val="00613193"/>
    <w:rPr>
      <w:sz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1616</Words>
  <Characters>9212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Alhagie Darboe (2519531)</cp:lastModifiedBy>
  <cp:revision>2</cp:revision>
  <dcterms:created xsi:type="dcterms:W3CDTF">2026-07-06T15:27:00Z</dcterms:created>
  <dcterms:modified xsi:type="dcterms:W3CDTF">2026-07-06T15:27:00Z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d44b72570f4545c18e92b5ddc7fbce1d</vt:lpwstr>
  </property>
</Properties>
</file>