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word/theme/theme1.xml" ContentType="application/vnd.openxmlformats-officedocument.theme+xml"/>
  <Override PartName="/word/charts/chart3.xml" ContentType="application/vnd.openxmlformats-officedocument.drawingml.chart+xml"/>
  <Override PartName="/word/charts/colors8.xml" ContentType="application/vnd.ms-office.chartcolorstyle+xml"/>
  <Override PartName="/word/charts/style6.xml" ContentType="application/vnd.ms-office.chartstyle+xml"/>
  <Override PartName="/word/numbering.xml" ContentType="application/vnd.openxmlformats-officedocument.wordprocessingml.numbering+xml"/>
  <Override PartName="/word/charts/chart8.xml" ContentType="application/vnd.openxmlformats-officedocument.drawingml.chart+xml"/>
  <Override PartName="/word/charts/colors3.xml" ContentType="application/vnd.ms-office.chartcolorstyle+xml"/>
  <Override PartName="/word/settings.xml" ContentType="application/vnd.openxmlformats-officedocument.wordprocessingml.settings+xml"/>
  <Override PartName="/word/charts/colors5.xml" ContentType="application/vnd.ms-office.chartcolorstyle+xml"/>
  <Override PartName="/word/charts/chart4.xml" ContentType="application/vnd.openxmlformats-officedocument.drawingml.chart+xml"/>
  <Override PartName="/word/charts/colors4.xml" ContentType="application/vnd.ms-office.chartcolorstyle+xml"/>
  <Override PartName="/word/document.xml" ContentType="application/vnd.openxmlformats-officedocument.wordprocessingml.document.main+xml"/>
  <Override PartName="/word/charts/style1.xml" ContentType="application/vnd.ms-office.chartstyle+xml"/>
  <Override PartName="/customXml/itemProps1.xml" ContentType="application/vnd.openxmlformats-officedocument.customXmlProperties+xml"/>
  <Override PartName="/word/charts/style5.xml" ContentType="application/vnd.ms-office.chartstyle+xml"/>
  <Override PartName="/word/styles.xml" ContentType="application/vnd.openxmlformats-officedocument.wordprocessingml.styles+xml"/>
  <Override PartName="/docProps/app.xml" ContentType="application/vnd.openxmlformats-officedocument.extended-properties+xml"/>
  <Override PartName="/word/charts/colors1.xml" ContentType="application/vnd.ms-office.chartcolorstyle+xml"/>
  <Override PartName="/word/fontTable.xml" ContentType="application/vnd.openxmlformats-officedocument.wordprocessingml.fontTable+xml"/>
  <Override PartName="/word/charts/style8.xml" ContentType="application/vnd.ms-office.chartstyle+xml"/>
  <Override PartName="/word/charts/chart5.xml" ContentType="application/vnd.openxmlformats-officedocument.drawingml.chart+xml"/>
  <Override PartName="/word/charts/colors6.xml" ContentType="application/vnd.ms-office.chartcolorstyle+xml"/>
  <Override PartName="/docProps/core.xml" ContentType="application/vnd.openxmlformats-package.core-properties+xml"/>
  <Override PartName="/word/charts/chart1.xml" ContentType="application/vnd.openxmlformats-officedocument.drawingml.chart+xml"/>
  <Override PartName="/word/charts/style2.xml" ContentType="application/vnd.ms-office.chartstyle+xml"/>
  <Override PartName="/word/charts/style4.xml" ContentType="application/vnd.ms-office.chartstyle+xml"/>
  <Override PartName="/docProps/custom.xml" ContentType="application/vnd.openxmlformats-officedocument.custom-properties+xml"/>
  <Override PartName="/word/charts/colors2.xml" ContentType="application/vnd.ms-office.chartcolorstyle+xml"/>
  <Override PartName="/word/charts/chart6.xml" ContentType="application/vnd.openxmlformats-officedocument.drawingml.chart+xml"/>
  <Override PartName="/word/charts/colors7.xml" ContentType="application/vnd.ms-office.chartcolorstyle+xml"/>
  <Override PartName="/word/charts/chart7.xml" ContentType="application/vnd.openxmlformats-officedocument.drawingml.chart+xml"/>
  <Override PartName="/word/charts/chart2.xml" ContentType="application/vnd.openxmlformats-officedocument.drawingml.chart+xml"/>
  <Override PartName="/word/charts/style7.xml" ContentType="application/vnd.ms-office.chartstyle+xml"/>
  <Override PartName="/word/charts/style3.xml" ContentType="application/vnd.ms-office.chartstyle+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p>
    <w:p>
      <w:pPr>
        <w:pStyle w:val="style0"/>
        <w:jc w:val="center"/>
        <w:rPr/>
      </w:pPr>
      <w:r>
        <w:rPr>
          <w:noProof/>
        </w:rPr>
        <w:drawing>
          <wp:inline distL="0" distT="0" distB="0" distR="0">
            <wp:extent cx="2863850" cy="1593850"/>
            <wp:effectExtent l="0" t="0" r="0" b="6350"/>
            <wp:docPr id="1026" name="Picture 4" descr="university-of-wales-trinity-saint-david-logo-vector | ESRC Wales Doctoral  Training Partnership"/>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 cstate="print"/>
                    <a:srcRect l="0" t="0" r="0" b="0"/>
                    <a:stretch/>
                  </pic:blipFill>
                  <pic:spPr>
                    <a:xfrm rot="0">
                      <a:off x="0" y="0"/>
                      <a:ext cx="2863850" cy="1593850"/>
                    </a:xfrm>
                    <a:prstGeom prst="rect"/>
                    <a:ln>
                      <a:noFill/>
                    </a:ln>
                  </pic:spPr>
                </pic:pic>
              </a:graphicData>
            </a:graphic>
          </wp:inline>
        </w:drawing>
      </w:r>
    </w:p>
    <w:p>
      <w:pPr>
        <w:pStyle w:val="style0"/>
        <w:jc w:val="center"/>
        <w:rPr>
          <w:b/>
          <w:bCs/>
        </w:rPr>
      </w:pPr>
      <w:r>
        <w:rPr>
          <w:b/>
          <w:bCs/>
        </w:rPr>
        <w:t xml:space="preserve">Student ID: </w:t>
      </w:r>
      <w:r>
        <w:rPr>
          <w:b/>
          <w:bCs/>
          <w:lang w:val="en-US"/>
        </w:rPr>
        <w:t>2432635</w:t>
      </w:r>
    </w:p>
    <w:p>
      <w:pPr>
        <w:pStyle w:val="style0"/>
        <w:jc w:val="center"/>
        <w:rPr>
          <w:b/>
          <w:bCs/>
        </w:rPr>
      </w:pPr>
      <w:r>
        <w:rPr>
          <w:b/>
          <w:bCs/>
        </w:rPr>
        <w:t>Student Name:</w:t>
      </w:r>
      <w:r>
        <w:rPr>
          <w:b/>
          <w:bCs/>
          <w:lang w:val="en-US"/>
        </w:rPr>
        <w:t xml:space="preserve"> Mohammod Belal </w:t>
      </w:r>
    </w:p>
    <w:p>
      <w:pPr>
        <w:pStyle w:val="style0"/>
        <w:jc w:val="center"/>
        <w:rPr/>
      </w:pPr>
      <w:r>
        <w:rPr>
          <w:b/>
          <w:bCs/>
        </w:rPr>
        <w:t xml:space="preserve">Program: </w:t>
      </w:r>
      <w:r>
        <w:t>Master of Business Administration</w:t>
      </w:r>
    </w:p>
    <w:p>
      <w:pPr>
        <w:pStyle w:val="style0"/>
        <w:jc w:val="center"/>
        <w:rPr>
          <w:b/>
          <w:bCs/>
        </w:rPr>
      </w:pPr>
      <w:r>
        <w:rPr>
          <w:b/>
          <w:bCs/>
        </w:rPr>
        <w:t xml:space="preserve">Module: </w:t>
      </w:r>
      <w:r>
        <w:t>Financial Management</w:t>
      </w:r>
      <w:r>
        <w:t xml:space="preserve"> (</w:t>
      </w:r>
      <w:r>
        <w:t>LCMB7002</w:t>
      </w:r>
      <w:r>
        <w:t>)</w:t>
      </w:r>
    </w:p>
    <w:p>
      <w:pPr>
        <w:pStyle w:val="style0"/>
        <w:jc w:val="center"/>
        <w:rPr/>
      </w:pPr>
      <w:r>
        <w:rPr>
          <w:b/>
          <w:bCs/>
        </w:rPr>
        <w:t>Assignment Title:</w:t>
      </w:r>
      <w:r>
        <w:t xml:space="preserve"> </w:t>
      </w:r>
      <w:r>
        <w:t>Strategic Financial Analysis and Investment Decision-Making: A Case Study of Toyota Motor Corporation (2020–2024)</w:t>
      </w:r>
    </w:p>
    <w:p>
      <w:pPr>
        <w:pStyle w:val="style0"/>
        <w:jc w:val="center"/>
        <w:rPr/>
      </w:pPr>
      <w:r>
        <w:rPr>
          <w:b/>
          <w:bCs/>
        </w:rPr>
        <w:t>Word Count:</w:t>
      </w:r>
      <w:r>
        <w:t xml:space="preserve"> </w:t>
      </w:r>
      <w:r>
        <w:t>5080</w:t>
      </w:r>
      <w:r>
        <w:t xml:space="preserve"> words</w:t>
      </w:r>
    </w:p>
    <w:p>
      <w:pPr>
        <w:pStyle w:val="style0"/>
        <w:jc w:val="center"/>
        <w:rPr>
          <w:b/>
          <w:bCs/>
        </w:rPr>
      </w:pPr>
      <w:r>
        <w:rPr>
          <w:b/>
          <w:bCs/>
        </w:rPr>
        <w:t>Submission Date:</w:t>
      </w:r>
      <w:r>
        <w:rPr>
          <w:b/>
          <w:bCs/>
          <w:lang w:val="en-US"/>
        </w:rPr>
        <w:t xml:space="preserve"> 24-04-2026</w:t>
      </w:r>
    </w:p>
    <w:p>
      <w:pPr>
        <w:pStyle w:val="style0"/>
        <w:rPr/>
      </w:pPr>
    </w:p>
    <w:p>
      <w:pPr>
        <w:pStyle w:val="style0"/>
        <w:rPr>
          <w:b/>
        </w:rPr>
      </w:pPr>
      <w:r>
        <w:br w:type="page"/>
      </w:r>
    </w:p>
    <w:p>
      <w:pPr>
        <w:pStyle w:val="style266"/>
        <w:rPr/>
      </w:pPr>
      <w:r>
        <w:t>Contents</w:t>
      </w:r>
    </w:p>
    <w:p>
      <w:pPr>
        <w:pStyle w:val="style19"/>
        <w:tabs>
          <w:tab w:val="right" w:leader="dot" w:pos="9350"/>
        </w:tabs>
        <w:rPr>
          <w:rFonts w:ascii="Calibri" w:eastAsia="宋体" w:hAnsi="Calibri"/>
          <w:noProof/>
          <w:kern w:val="2"/>
          <w:szCs w:val="24"/>
          <w:lang w:eastAsia="en-GB"/>
        </w:rPr>
      </w:pPr>
      <w:r>
        <w:rPr/>
        <w:fldChar w:fldCharType="begin"/>
      </w:r>
      <w:r>
        <w:instrText xml:space="preserve"> TOC \o "1-3" \h \z \u </w:instrText>
      </w:r>
      <w:r>
        <w:rPr/>
        <w:fldChar w:fldCharType="separate"/>
      </w:r>
      <w:r>
        <w:rPr/>
        <w:fldChar w:fldCharType="begin"/>
      </w:r>
      <w:r>
        <w:instrText xml:space="preserve"> HYPERLINK \l "_Toc226239069"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_Toc226239069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350"/>
        </w:tabs>
        <w:rPr>
          <w:rFonts w:ascii="Calibri" w:eastAsia="宋体" w:hAnsi="Calibri"/>
          <w:noProof/>
          <w:kern w:val="2"/>
          <w:szCs w:val="24"/>
          <w:lang w:eastAsia="en-GB"/>
        </w:rPr>
      </w:pPr>
      <w:r>
        <w:rPr/>
        <w:fldChar w:fldCharType="begin"/>
      </w:r>
      <w:r>
        <w:instrText xml:space="preserve"> HYPERLINK \l "_Toc226239070" </w:instrText>
      </w:r>
      <w:r>
        <w:rPr/>
        <w:fldChar w:fldCharType="separate"/>
      </w:r>
      <w:r>
        <w:rPr>
          <w:rStyle w:val="style85"/>
          <w:noProof/>
        </w:rPr>
        <w:t>Financial Health Check</w:t>
      </w:r>
      <w:r>
        <w:rPr>
          <w:noProof/>
          <w:webHidden/>
        </w:rPr>
        <w:tab/>
      </w:r>
      <w:r>
        <w:rPr>
          <w:noProof/>
          <w:webHidden/>
        </w:rPr>
        <w:fldChar w:fldCharType="begin"/>
      </w:r>
      <w:r>
        <w:rPr>
          <w:noProof/>
          <w:webHidden/>
        </w:rPr>
        <w:instrText xml:space="preserve"> PAGEREF _Toc226239070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"_Toc226239071" </w:instrText>
      </w:r>
      <w:r>
        <w:rPr/>
        <w:fldChar w:fldCharType="separate"/>
      </w:r>
      <w:r>
        <w:rPr>
          <w:rStyle w:val="style85"/>
          <w:noProof/>
        </w:rPr>
        <w:t>Ratio Analysis Framework</w:t>
      </w:r>
      <w:r>
        <w:rPr>
          <w:noProof/>
          <w:webHidden/>
        </w:rPr>
        <w:tab/>
      </w:r>
      <w:r>
        <w:rPr>
          <w:noProof/>
          <w:webHidden/>
        </w:rPr>
        <w:fldChar w:fldCharType="begin"/>
      </w:r>
      <w:r>
        <w:rPr>
          <w:noProof/>
          <w:webHidden/>
        </w:rPr>
        <w:instrText xml:space="preserve"> PAGEREF _Toc226239071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"_Toc226239072" </w:instrText>
      </w:r>
      <w:r>
        <w:rPr/>
        <w:fldChar w:fldCharType="separate"/>
      </w:r>
      <w:r>
        <w:rPr>
          <w:rStyle w:val="style85"/>
          <w:noProof/>
        </w:rPr>
        <w:t>Profitability Analysis</w:t>
      </w:r>
      <w:r>
        <w:rPr>
          <w:noProof/>
          <w:webHidden/>
        </w:rPr>
        <w:tab/>
      </w:r>
      <w:r>
        <w:rPr>
          <w:noProof/>
          <w:webHidden/>
        </w:rPr>
        <w:fldChar w:fldCharType="begin"/>
      </w:r>
      <w:r>
        <w:rPr>
          <w:noProof/>
          <w:webHidden/>
        </w:rPr>
        <w:instrText xml:space="preserve"> PAGEREF _Toc226239072 \h </w:instrText>
      </w:r>
      <w:r>
        <w:rPr>
          <w:noProof/>
          <w:webHidden/>
        </w:rPr>
        <w:fldChar w:fldCharType="separate"/>
      </w:r>
      <w:r>
        <w:rPr>
          <w:noProof/>
          <w:webHidden/>
        </w:rPr>
        <w:t>9</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"_Toc226239073" </w:instrText>
      </w:r>
      <w:r>
        <w:rPr/>
        <w:fldChar w:fldCharType="separate"/>
      </w:r>
      <w:r>
        <w:rPr>
          <w:rStyle w:val="style85"/>
          <w:noProof/>
        </w:rPr>
        <w:t>Operating Margin</w:t>
      </w:r>
      <w:r>
        <w:rPr>
          <w:noProof/>
          <w:webHidden/>
        </w:rPr>
        <w:tab/>
      </w:r>
      <w:r>
        <w:rPr>
          <w:noProof/>
          <w:webHidden/>
        </w:rPr>
        <w:fldChar w:fldCharType="begin"/>
      </w:r>
      <w:r>
        <w:rPr>
          <w:noProof/>
          <w:webHidden/>
        </w:rPr>
        <w:instrText xml:space="preserve"> PAGEREF _Toc226239073 \h </w:instrText>
      </w:r>
      <w:r>
        <w:rPr>
          <w:noProof/>
          <w:webHidden/>
        </w:rPr>
        <w:fldChar w:fldCharType="separate"/>
      </w:r>
      <w:r>
        <w:rPr>
          <w:noProof/>
          <w:webHidden/>
        </w:rPr>
        <w:t>9</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"_Toc226239074" </w:instrText>
      </w:r>
      <w:r>
        <w:rPr/>
        <w:fldChar w:fldCharType="separate"/>
      </w:r>
      <w:r>
        <w:rPr>
          <w:rStyle w:val="style85"/>
          <w:noProof/>
        </w:rPr>
        <w:t>Net Profit Margin</w:t>
      </w:r>
      <w:r>
        <w:rPr>
          <w:noProof/>
          <w:webHidden/>
        </w:rPr>
        <w:tab/>
      </w:r>
      <w:r>
        <w:rPr>
          <w:noProof/>
          <w:webHidden/>
        </w:rPr>
        <w:fldChar w:fldCharType="begin"/>
      </w:r>
      <w:r>
        <w:rPr>
          <w:noProof/>
          <w:webHidden/>
        </w:rPr>
        <w:instrText xml:space="preserve"> PAGEREF _Toc226239074 \h </w:instrText>
      </w:r>
      <w:r>
        <w:rPr>
          <w:noProof/>
          <w:webHidden/>
        </w:rPr>
        <w:fldChar w:fldCharType="separate"/>
      </w:r>
      <w:r>
        <w:rPr>
          <w:noProof/>
          <w:webHidden/>
        </w:rPr>
        <w:t>11</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"_Toc226239075" </w:instrText>
      </w:r>
      <w:r>
        <w:rPr/>
        <w:fldChar w:fldCharType="separate"/>
      </w:r>
      <w:r>
        <w:rPr>
          <w:rStyle w:val="style85"/>
          <w:noProof/>
        </w:rPr>
        <w:t>Return on Equity (ROE)</w:t>
      </w:r>
      <w:r>
        <w:rPr>
          <w:noProof/>
          <w:webHidden/>
        </w:rPr>
        <w:tab/>
      </w:r>
      <w:r>
        <w:rPr>
          <w:noProof/>
          <w:webHidden/>
        </w:rPr>
        <w:fldChar w:fldCharType="begin"/>
      </w:r>
      <w:r>
        <w:rPr>
          <w:noProof/>
          <w:webHidden/>
        </w:rPr>
        <w:instrText xml:space="preserve"> PAGEREF _Toc226239075 \h </w:instrText>
      </w:r>
      <w:r>
        <w:rPr>
          <w:noProof/>
          <w:webHidden/>
        </w:rPr>
        <w:fldChar w:fldCharType="separate"/>
      </w:r>
      <w:r>
        <w:rPr>
          <w:noProof/>
          <w:webHidden/>
        </w:rPr>
        <w:t>12</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"_Toc226239076" </w:instrText>
      </w:r>
      <w:r>
        <w:rPr/>
        <w:fldChar w:fldCharType="separate"/>
      </w:r>
      <w:r>
        <w:rPr>
          <w:rStyle w:val="style85"/>
          <w:noProof/>
        </w:rPr>
        <w:t>Return on Assets (ROA)</w:t>
      </w:r>
      <w:r>
        <w:rPr>
          <w:noProof/>
          <w:webHidden/>
        </w:rPr>
        <w:tab/>
      </w:r>
      <w:r>
        <w:rPr>
          <w:noProof/>
          <w:webHidden/>
        </w:rPr>
        <w:fldChar w:fldCharType="begin"/>
      </w:r>
      <w:r>
        <w:rPr>
          <w:noProof/>
          <w:webHidden/>
        </w:rPr>
        <w:instrText xml:space="preserve"> PAGEREF _Toc226239076 \h </w:instrText>
      </w:r>
      <w:r>
        <w:rPr>
          <w:noProof/>
          <w:webHidden/>
        </w:rPr>
        <w:fldChar w:fldCharType="separate"/>
      </w:r>
      <w:r>
        <w:rPr>
          <w:noProof/>
          <w:webHidden/>
        </w:rPr>
        <w:t>13</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"_Toc226239077" </w:instrText>
      </w:r>
      <w:r>
        <w:rPr/>
        <w:fldChar w:fldCharType="separate"/>
      </w:r>
      <w:r>
        <w:rPr>
          <w:rStyle w:val="style85"/>
          <w:noProof/>
        </w:rPr>
        <w:t>Liquidity Analysis</w:t>
      </w:r>
      <w:r>
        <w:rPr>
          <w:noProof/>
          <w:webHidden/>
        </w:rPr>
        <w:tab/>
      </w:r>
      <w:r>
        <w:rPr>
          <w:noProof/>
          <w:webHidden/>
        </w:rPr>
        <w:fldChar w:fldCharType="begin"/>
      </w:r>
      <w:r>
        <w:rPr>
          <w:noProof/>
          <w:webHidden/>
        </w:rPr>
        <w:instrText xml:space="preserve"> PAGEREF _Toc226239077 \h </w:instrText>
      </w:r>
      <w:r>
        <w:rPr>
          <w:noProof/>
          <w:webHidden/>
        </w:rPr>
        <w:fldChar w:fldCharType="separate"/>
      </w:r>
      <w:r>
        <w:rPr>
          <w:noProof/>
          <w:webHidden/>
        </w:rPr>
        <w:t>14</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"_Toc226239078" </w:instrText>
      </w:r>
      <w:r>
        <w:rPr/>
        <w:fldChar w:fldCharType="separate"/>
      </w:r>
      <w:r>
        <w:rPr>
          <w:rStyle w:val="style85"/>
          <w:noProof/>
        </w:rPr>
        <w:t>Current Ratio</w:t>
      </w:r>
      <w:r>
        <w:rPr>
          <w:noProof/>
          <w:webHidden/>
        </w:rPr>
        <w:tab/>
      </w:r>
      <w:r>
        <w:rPr>
          <w:noProof/>
          <w:webHidden/>
        </w:rPr>
        <w:fldChar w:fldCharType="begin"/>
      </w:r>
      <w:r>
        <w:rPr>
          <w:noProof/>
          <w:webHidden/>
        </w:rPr>
        <w:instrText xml:space="preserve"> PAGEREF _Toc226239078 \h </w:instrText>
      </w:r>
      <w:r>
        <w:rPr>
          <w:noProof/>
          <w:webHidden/>
        </w:rPr>
        <w:fldChar w:fldCharType="separate"/>
      </w:r>
      <w:r>
        <w:rPr>
          <w:noProof/>
          <w:webHidden/>
        </w:rPr>
        <w:t>14</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"_Toc226239079" </w:instrText>
      </w:r>
      <w:r>
        <w:rPr/>
        <w:fldChar w:fldCharType="separate"/>
      </w:r>
      <w:r>
        <w:rPr>
          <w:rStyle w:val="style85"/>
          <w:noProof/>
        </w:rPr>
        <w:t>Quick Ratio</w:t>
      </w:r>
      <w:r>
        <w:rPr>
          <w:noProof/>
          <w:webHidden/>
        </w:rPr>
        <w:tab/>
      </w:r>
      <w:r>
        <w:rPr>
          <w:noProof/>
          <w:webHidden/>
        </w:rPr>
        <w:fldChar w:fldCharType="begin"/>
      </w:r>
      <w:r>
        <w:rPr>
          <w:noProof/>
          <w:webHidden/>
        </w:rPr>
        <w:instrText xml:space="preserve"> PAGEREF _Toc226239079 \h </w:instrText>
      </w:r>
      <w:r>
        <w:rPr>
          <w:noProof/>
          <w:webHidden/>
        </w:rPr>
        <w:fldChar w:fldCharType="separate"/>
      </w:r>
      <w:r>
        <w:rPr>
          <w:noProof/>
          <w:webHidden/>
        </w:rPr>
        <w:t>15</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"_Toc226239080" </w:instrText>
      </w:r>
      <w:r>
        <w:rPr/>
        <w:fldChar w:fldCharType="separate"/>
      </w:r>
      <w:r>
        <w:rPr>
          <w:rStyle w:val="style85"/>
          <w:noProof/>
        </w:rPr>
        <w:t>Efficiency Analysis</w:t>
      </w:r>
      <w:r>
        <w:rPr>
          <w:noProof/>
          <w:webHidden/>
        </w:rPr>
        <w:tab/>
      </w:r>
      <w:r>
        <w:rPr>
          <w:noProof/>
          <w:webHidden/>
        </w:rPr>
        <w:fldChar w:fldCharType="begin"/>
      </w:r>
      <w:r>
        <w:rPr>
          <w:noProof/>
          <w:webHidden/>
        </w:rPr>
        <w:instrText xml:space="preserve"> PAGEREF _Toc226239080 \h </w:instrText>
      </w:r>
      <w:r>
        <w:rPr>
          <w:noProof/>
          <w:webHidden/>
        </w:rPr>
        <w:fldChar w:fldCharType="separate"/>
      </w:r>
      <w:r>
        <w:rPr>
          <w:noProof/>
          <w:webHidden/>
        </w:rPr>
        <w:t>17</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"_Toc226239081" </w:instrText>
      </w:r>
      <w:r>
        <w:rPr/>
        <w:fldChar w:fldCharType="separate"/>
      </w:r>
      <w:r>
        <w:rPr>
          <w:rStyle w:val="style85"/>
          <w:noProof/>
        </w:rPr>
        <w:t>Inventory Turnover</w:t>
      </w:r>
      <w:r>
        <w:rPr>
          <w:noProof/>
          <w:webHidden/>
        </w:rPr>
        <w:tab/>
      </w:r>
      <w:r>
        <w:rPr>
          <w:noProof/>
          <w:webHidden/>
        </w:rPr>
        <w:fldChar w:fldCharType="begin"/>
      </w:r>
      <w:r>
        <w:rPr>
          <w:noProof/>
          <w:webHidden/>
        </w:rPr>
        <w:instrText xml:space="preserve"> PAGEREF _Toc226239081 \h </w:instrText>
      </w:r>
      <w:r>
        <w:rPr>
          <w:noProof/>
          <w:webHidden/>
        </w:rPr>
        <w:fldChar w:fldCharType="separate"/>
      </w:r>
      <w:r>
        <w:rPr>
          <w:noProof/>
          <w:webHidden/>
        </w:rPr>
        <w:t>17</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"_Toc226239082" </w:instrText>
      </w:r>
      <w:r>
        <w:rPr/>
        <w:fldChar w:fldCharType="separate"/>
      </w:r>
      <w:r>
        <w:rPr>
          <w:rStyle w:val="style85"/>
          <w:noProof/>
        </w:rPr>
        <w:t>Total Asset Turnover</w:t>
      </w:r>
      <w:r>
        <w:rPr>
          <w:noProof/>
          <w:webHidden/>
        </w:rPr>
        <w:tab/>
      </w:r>
      <w:r>
        <w:rPr>
          <w:noProof/>
          <w:webHidden/>
        </w:rPr>
        <w:fldChar w:fldCharType="begin"/>
      </w:r>
      <w:r>
        <w:rPr>
          <w:noProof/>
          <w:webHidden/>
        </w:rPr>
        <w:instrText xml:space="preserve"> PAGEREF _Toc226239082 \h </w:instrText>
      </w:r>
      <w:r>
        <w:rPr>
          <w:noProof/>
          <w:webHidden/>
        </w:rPr>
        <w:fldChar w:fldCharType="separate"/>
      </w:r>
      <w:r>
        <w:rPr>
          <w:noProof/>
          <w:webHidden/>
        </w:rPr>
        <w:t>18</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"_Toc226239083" </w:instrText>
      </w:r>
      <w:r>
        <w:rPr/>
        <w:fldChar w:fldCharType="separate"/>
      </w:r>
      <w:r>
        <w:rPr>
          <w:rStyle w:val="style85"/>
          <w:noProof/>
        </w:rPr>
        <w:t>Gearing Analysis</w:t>
      </w:r>
      <w:r>
        <w:rPr>
          <w:noProof/>
          <w:webHidden/>
        </w:rPr>
        <w:tab/>
      </w:r>
      <w:r>
        <w:rPr>
          <w:noProof/>
          <w:webHidden/>
        </w:rPr>
        <w:fldChar w:fldCharType="begin"/>
      </w:r>
      <w:r>
        <w:rPr>
          <w:noProof/>
          <w:webHidden/>
        </w:rPr>
        <w:instrText xml:space="preserve"> PAGEREF _Toc226239083 \h </w:instrText>
      </w:r>
      <w:r>
        <w:rPr>
          <w:noProof/>
          <w:webHidden/>
        </w:rPr>
        <w:fldChar w:fldCharType="separate"/>
      </w:r>
      <w:r>
        <w:rPr>
          <w:noProof/>
          <w:webHidden/>
        </w:rPr>
        <w:t>19</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"_Toc226239084" </w:instrText>
      </w:r>
      <w:r>
        <w:rPr/>
        <w:fldChar w:fldCharType="separate"/>
      </w:r>
      <w:r>
        <w:rPr>
          <w:rStyle w:val="style85"/>
          <w:noProof/>
        </w:rPr>
        <w:t>Debt-to-Equity Ratio</w:t>
      </w:r>
      <w:r>
        <w:rPr>
          <w:noProof/>
          <w:webHidden/>
        </w:rPr>
        <w:tab/>
      </w:r>
      <w:r>
        <w:rPr>
          <w:noProof/>
          <w:webHidden/>
        </w:rPr>
        <w:fldChar w:fldCharType="begin"/>
      </w:r>
      <w:r>
        <w:rPr>
          <w:noProof/>
          <w:webHidden/>
        </w:rPr>
        <w:instrText xml:space="preserve"> PAGEREF _Toc226239084 \h </w:instrText>
      </w:r>
      <w:r>
        <w:rPr>
          <w:noProof/>
          <w:webHidden/>
        </w:rPr>
        <w:fldChar w:fldCharType="separate"/>
      </w:r>
      <w:r>
        <w:rPr>
          <w:noProof/>
          <w:webHidden/>
        </w:rPr>
        <w:t>19</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"_Toc226239085" </w:instrText>
      </w:r>
      <w:r>
        <w:rPr/>
        <w:fldChar w:fldCharType="separate"/>
      </w:r>
      <w:r>
        <w:rPr>
          <w:rStyle w:val="style85"/>
          <w:noProof/>
        </w:rPr>
        <w:t>Interest Coverage Ratio</w:t>
      </w:r>
      <w:r>
        <w:rPr>
          <w:noProof/>
          <w:webHidden/>
        </w:rPr>
        <w:tab/>
      </w:r>
      <w:r>
        <w:rPr>
          <w:noProof/>
          <w:webHidden/>
        </w:rPr>
        <w:fldChar w:fldCharType="begin"/>
      </w:r>
      <w:r>
        <w:rPr>
          <w:noProof/>
          <w:webHidden/>
        </w:rPr>
        <w:instrText xml:space="preserve"> PAGEREF _Toc226239085 \h </w:instrText>
      </w:r>
      <w:r>
        <w:rPr>
          <w:noProof/>
          <w:webHidden/>
        </w:rPr>
        <w:fldChar w:fldCharType="separate"/>
      </w:r>
      <w:r>
        <w:rPr>
          <w:noProof/>
          <w:webHidden/>
        </w:rPr>
        <w:t>20</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"_Toc226239086" </w:instrText>
      </w:r>
      <w:r>
        <w:rPr/>
        <w:fldChar w:fldCharType="separate"/>
      </w:r>
      <w:r>
        <w:rPr>
          <w:rStyle w:val="style85"/>
          <w:noProof/>
        </w:rPr>
        <w:t>Investment Ratios</w:t>
      </w:r>
      <w:r>
        <w:rPr>
          <w:noProof/>
          <w:webHidden/>
        </w:rPr>
        <w:tab/>
      </w:r>
      <w:r>
        <w:rPr>
          <w:noProof/>
          <w:webHidden/>
        </w:rPr>
        <w:fldChar w:fldCharType="begin"/>
      </w:r>
      <w:r>
        <w:rPr>
          <w:noProof/>
          <w:webHidden/>
        </w:rPr>
        <w:instrText xml:space="preserve"> PAGEREF _Toc226239086 \h </w:instrText>
      </w:r>
      <w:r>
        <w:rPr>
          <w:noProof/>
          <w:webHidden/>
        </w:rPr>
        <w:fldChar w:fldCharType="separate"/>
      </w:r>
      <w:r>
        <w:rPr>
          <w:noProof/>
          <w:webHidden/>
        </w:rPr>
        <w:t>21</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"_Toc226239087" </w:instrText>
      </w:r>
      <w:r>
        <w:rPr/>
        <w:fldChar w:fldCharType="separate"/>
      </w:r>
      <w:r>
        <w:rPr>
          <w:rStyle w:val="style85"/>
          <w:noProof/>
        </w:rPr>
        <w:t>Earnings Per Share (EPS)</w:t>
      </w:r>
      <w:r>
        <w:rPr>
          <w:noProof/>
          <w:webHidden/>
        </w:rPr>
        <w:tab/>
      </w:r>
      <w:r>
        <w:rPr>
          <w:noProof/>
          <w:webHidden/>
        </w:rPr>
        <w:fldChar w:fldCharType="begin"/>
      </w:r>
      <w:r>
        <w:rPr>
          <w:noProof/>
          <w:webHidden/>
        </w:rPr>
        <w:instrText xml:space="preserve"> PAGEREF _Toc226239087 \h </w:instrText>
      </w:r>
      <w:r>
        <w:rPr>
          <w:noProof/>
          <w:webHidden/>
        </w:rPr>
        <w:fldChar w:fldCharType="separate"/>
      </w:r>
      <w:r>
        <w:rPr>
          <w:noProof/>
          <w:webHidden/>
        </w:rPr>
        <w:t>21</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"_Toc226239088" </w:instrText>
      </w:r>
      <w:r>
        <w:rPr/>
        <w:fldChar w:fldCharType="separate"/>
      </w:r>
      <w:r>
        <w:rPr>
          <w:rStyle w:val="style85"/>
          <w:noProof/>
        </w:rPr>
        <w:t>Dividend Payout Ratio</w:t>
      </w:r>
      <w:r>
        <w:rPr>
          <w:noProof/>
          <w:webHidden/>
        </w:rPr>
        <w:tab/>
      </w:r>
      <w:r>
        <w:rPr>
          <w:noProof/>
          <w:webHidden/>
        </w:rPr>
        <w:fldChar w:fldCharType="begin"/>
      </w:r>
      <w:r>
        <w:rPr>
          <w:noProof/>
          <w:webHidden/>
        </w:rPr>
        <w:instrText xml:space="preserve"> PAGEREF _Toc226239088 \h </w:instrText>
      </w:r>
      <w:r>
        <w:rPr>
          <w:noProof/>
          <w:webHidden/>
        </w:rPr>
        <w:fldChar w:fldCharType="separate"/>
      </w:r>
      <w:r>
        <w:rPr>
          <w:noProof/>
          <w:webHidden/>
        </w:rPr>
        <w:t>22</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"_Toc226239089" </w:instrText>
      </w:r>
      <w:r>
        <w:rPr/>
        <w:fldChar w:fldCharType="separate"/>
      </w:r>
      <w:r>
        <w:rPr>
          <w:rStyle w:val="style85"/>
          <w:noProof/>
        </w:rPr>
        <w:t>Overall Financial Evaluation</w:t>
      </w:r>
      <w:r>
        <w:rPr>
          <w:noProof/>
          <w:webHidden/>
        </w:rPr>
        <w:tab/>
      </w:r>
      <w:r>
        <w:rPr>
          <w:noProof/>
          <w:webHidden/>
        </w:rPr>
        <w:fldChar w:fldCharType="begin"/>
      </w:r>
      <w:r>
        <w:rPr>
          <w:noProof/>
          <w:webHidden/>
        </w:rPr>
        <w:instrText xml:space="preserve"> PAGEREF _Toc226239089 \h </w:instrText>
      </w:r>
      <w:r>
        <w:rPr>
          <w:noProof/>
          <w:webHidden/>
        </w:rPr>
        <w:fldChar w:fldCharType="separate"/>
      </w:r>
      <w:r>
        <w:rPr>
          <w:noProof/>
          <w:webHidden/>
        </w:rPr>
        <w:t>23</w:t>
      </w:r>
      <w:r>
        <w:rPr>
          <w:noProof/>
          <w:webHidden/>
        </w:rPr>
        <w:fldChar w:fldCharType="end"/>
      </w:r>
      <w:r>
        <w:rPr/>
        <w:fldChar w:fldCharType="end"/>
      </w:r>
    </w:p>
    <w:p>
      <w:pPr>
        <w:pStyle w:val="style19"/>
        <w:tabs>
          <w:tab w:val="right" w:leader="dot" w:pos="9350"/>
        </w:tabs>
        <w:rPr>
          <w:rFonts w:ascii="Calibri" w:eastAsia="宋体" w:hAnsi="Calibri"/>
          <w:noProof/>
          <w:kern w:val="2"/>
          <w:szCs w:val="24"/>
          <w:lang w:eastAsia="en-GB"/>
        </w:rPr>
      </w:pPr>
      <w:r>
        <w:rPr/>
        <w:fldChar w:fldCharType="begin"/>
      </w:r>
      <w:r>
        <w:instrText xml:space="preserve"> HYPERLINK \l "_Toc226239090" </w:instrText>
      </w:r>
      <w:r>
        <w:rPr/>
        <w:fldChar w:fldCharType="separate"/>
      </w:r>
      <w:r>
        <w:rPr>
          <w:rStyle w:val="style85"/>
          <w:noProof/>
        </w:rPr>
        <w:t>Working Capital Management Analysis</w:t>
      </w:r>
      <w:r>
        <w:rPr>
          <w:noProof/>
          <w:webHidden/>
        </w:rPr>
        <w:tab/>
      </w:r>
      <w:r>
        <w:rPr>
          <w:noProof/>
          <w:webHidden/>
        </w:rPr>
        <w:fldChar w:fldCharType="begin"/>
      </w:r>
      <w:r>
        <w:rPr>
          <w:noProof/>
          <w:webHidden/>
        </w:rPr>
        <w:instrText xml:space="preserve"> PAGEREF _Toc226239090 \h </w:instrText>
      </w:r>
      <w:r>
        <w:rPr>
          <w:noProof/>
          <w:webHidden/>
        </w:rPr>
        <w:fldChar w:fldCharType="separate"/>
      </w:r>
      <w:r>
        <w:rPr>
          <w:noProof/>
          <w:webHidden/>
        </w:rPr>
        <w:t>23</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"_Toc226239091" </w:instrText>
      </w:r>
      <w:r>
        <w:rPr/>
        <w:fldChar w:fldCharType="separate"/>
      </w:r>
      <w:r>
        <w:rPr>
          <w:rStyle w:val="style85"/>
          <w:noProof/>
        </w:rPr>
        <w:t>Cash Conversion Cycle (CCC)</w:t>
      </w:r>
      <w:r>
        <w:rPr>
          <w:noProof/>
          <w:webHidden/>
        </w:rPr>
        <w:tab/>
      </w:r>
      <w:r>
        <w:rPr>
          <w:noProof/>
          <w:webHidden/>
        </w:rPr>
        <w:fldChar w:fldCharType="begin"/>
      </w:r>
      <w:r>
        <w:rPr>
          <w:noProof/>
          <w:webHidden/>
        </w:rPr>
        <w:instrText xml:space="preserve"> PAGEREF _Toc226239091 \h </w:instrText>
      </w:r>
      <w:r>
        <w:rPr>
          <w:noProof/>
          <w:webHidden/>
        </w:rPr>
        <w:fldChar w:fldCharType="separate"/>
      </w:r>
      <w:r>
        <w:rPr>
          <w:noProof/>
          <w:webHidden/>
        </w:rPr>
        <w:t>23</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"_Toc226239092" </w:instrText>
      </w:r>
      <w:r>
        <w:rPr/>
        <w:fldChar w:fldCharType="separate"/>
      </w:r>
      <w:r>
        <w:rPr>
          <w:rStyle w:val="style85"/>
          <w:noProof/>
        </w:rPr>
        <w:t>Liquidity Improvement Strategies</w:t>
      </w:r>
      <w:r>
        <w:rPr>
          <w:noProof/>
          <w:webHidden/>
        </w:rPr>
        <w:tab/>
      </w:r>
      <w:r>
        <w:rPr>
          <w:noProof/>
          <w:webHidden/>
        </w:rPr>
        <w:fldChar w:fldCharType="begin"/>
      </w:r>
      <w:r>
        <w:rPr>
          <w:noProof/>
          <w:webHidden/>
        </w:rPr>
        <w:instrText xml:space="preserve"> PAGEREF _Toc226239092 \h </w:instrText>
      </w:r>
      <w:r>
        <w:rPr>
          <w:noProof/>
          <w:webHidden/>
        </w:rPr>
        <w:fldChar w:fldCharType="separate"/>
      </w:r>
      <w:r>
        <w:rPr>
          <w:noProof/>
          <w:webHidden/>
        </w:rPr>
        <w:t>24</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"_Toc226239093" </w:instrText>
      </w:r>
      <w:r>
        <w:rPr/>
        <w:fldChar w:fldCharType="separate"/>
      </w:r>
      <w:r>
        <w:rPr>
          <w:rStyle w:val="style85"/>
          <w:noProof/>
        </w:rPr>
        <w:t>Financing Options</w:t>
      </w:r>
      <w:r>
        <w:rPr>
          <w:noProof/>
          <w:webHidden/>
        </w:rPr>
        <w:tab/>
      </w:r>
      <w:r>
        <w:rPr>
          <w:noProof/>
          <w:webHidden/>
        </w:rPr>
        <w:fldChar w:fldCharType="begin"/>
      </w:r>
      <w:r>
        <w:rPr>
          <w:noProof/>
          <w:webHidden/>
        </w:rPr>
        <w:instrText xml:space="preserve"> PAGEREF _Toc226239093 \h </w:instrText>
      </w:r>
      <w:r>
        <w:rPr>
          <w:noProof/>
          <w:webHidden/>
        </w:rPr>
        <w:fldChar w:fldCharType="separate"/>
      </w:r>
      <w:r>
        <w:rPr>
          <w:noProof/>
          <w:webHidden/>
        </w:rPr>
        <w:t>25</w:t>
      </w:r>
      <w:r>
        <w:rPr>
          <w:noProof/>
          <w:webHidden/>
        </w:rPr>
        <w:fldChar w:fldCharType="end"/>
      </w:r>
      <w:r>
        <w:rPr/>
        <w:fldChar w:fldCharType="end"/>
      </w:r>
    </w:p>
    <w:p>
      <w:pPr>
        <w:pStyle w:val="style19"/>
        <w:tabs>
          <w:tab w:val="right" w:leader="dot" w:pos="9350"/>
        </w:tabs>
        <w:rPr>
          <w:rFonts w:ascii="Calibri" w:eastAsia="宋体" w:hAnsi="Calibri"/>
          <w:noProof/>
          <w:kern w:val="2"/>
          <w:szCs w:val="24"/>
          <w:lang w:eastAsia="en-GB"/>
        </w:rPr>
      </w:pPr>
      <w:r>
        <w:rPr/>
        <w:fldChar w:fldCharType="begin"/>
      </w:r>
      <w:r>
        <w:instrText xml:space="preserve"> HYPERLINK \l "_Toc226239094" </w:instrText>
      </w:r>
      <w:r>
        <w:rPr/>
        <w:fldChar w:fldCharType="separate"/>
      </w:r>
      <w:r>
        <w:rPr>
          <w:rStyle w:val="style85"/>
          <w:noProof/>
        </w:rPr>
        <w:t>Strategic Financial Restructuring Plan</w:t>
      </w:r>
      <w:r>
        <w:rPr>
          <w:noProof/>
          <w:webHidden/>
        </w:rPr>
        <w:tab/>
      </w:r>
      <w:r>
        <w:rPr>
          <w:noProof/>
          <w:webHidden/>
        </w:rPr>
        <w:fldChar w:fldCharType="begin"/>
      </w:r>
      <w:r>
        <w:rPr>
          <w:noProof/>
          <w:webHidden/>
        </w:rPr>
        <w:instrText xml:space="preserve"> PAGEREF _Toc226239094 \h </w:instrText>
      </w:r>
      <w:r>
        <w:rPr>
          <w:noProof/>
          <w:webHidden/>
        </w:rPr>
        <w:fldChar w:fldCharType="separate"/>
      </w:r>
      <w:r>
        <w:rPr>
          <w:noProof/>
          <w:webHidden/>
        </w:rPr>
        <w:t>26</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"_Toc226239095" </w:instrText>
      </w:r>
      <w:r>
        <w:rPr/>
        <w:fldChar w:fldCharType="separate"/>
      </w:r>
      <w:r>
        <w:rPr>
          <w:rStyle w:val="style85"/>
          <w:noProof/>
        </w:rPr>
        <w:t>Identification of Key Financial Problems</w:t>
      </w:r>
      <w:r>
        <w:rPr>
          <w:noProof/>
          <w:webHidden/>
        </w:rPr>
        <w:tab/>
      </w:r>
      <w:r>
        <w:rPr>
          <w:noProof/>
          <w:webHidden/>
        </w:rPr>
        <w:fldChar w:fldCharType="begin"/>
      </w:r>
      <w:r>
        <w:rPr>
          <w:noProof/>
          <w:webHidden/>
        </w:rPr>
        <w:instrText xml:space="preserve"> PAGEREF _Toc226239095 \h </w:instrText>
      </w:r>
      <w:r>
        <w:rPr>
          <w:noProof/>
          <w:webHidden/>
        </w:rPr>
        <w:fldChar w:fldCharType="separate"/>
      </w:r>
      <w:r>
        <w:rPr>
          <w:noProof/>
          <w:webHidden/>
        </w:rPr>
        <w:t>26</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"_Toc226239096" </w:instrText>
      </w:r>
      <w:r>
        <w:rPr/>
        <w:fldChar w:fldCharType="separate"/>
      </w:r>
      <w:r>
        <w:rPr>
          <w:rStyle w:val="style85"/>
          <w:noProof/>
        </w:rPr>
        <w:t>Financial Restructuring Options</w:t>
      </w:r>
      <w:r>
        <w:rPr>
          <w:noProof/>
          <w:webHidden/>
        </w:rPr>
        <w:tab/>
      </w:r>
      <w:r>
        <w:rPr>
          <w:noProof/>
          <w:webHidden/>
        </w:rPr>
        <w:fldChar w:fldCharType="begin"/>
      </w:r>
      <w:r>
        <w:rPr>
          <w:noProof/>
          <w:webHidden/>
        </w:rPr>
        <w:instrText xml:space="preserve"> PAGEREF _Toc226239096 \h </w:instrText>
      </w:r>
      <w:r>
        <w:rPr>
          <w:noProof/>
          <w:webHidden/>
        </w:rPr>
        <w:fldChar w:fldCharType="separate"/>
      </w:r>
      <w:r>
        <w:rPr>
          <w:noProof/>
          <w:webHidden/>
        </w:rPr>
        <w:t>27</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"_Toc226239097" </w:instrText>
      </w:r>
      <w:r>
        <w:rPr/>
        <w:fldChar w:fldCharType="separate"/>
      </w:r>
      <w:r>
        <w:rPr>
          <w:rStyle w:val="style85"/>
          <w:noProof/>
        </w:rPr>
        <w:t>Impact Analysis of Restructuring</w:t>
      </w:r>
      <w:r>
        <w:rPr>
          <w:noProof/>
          <w:webHidden/>
        </w:rPr>
        <w:tab/>
      </w:r>
      <w:r>
        <w:rPr>
          <w:noProof/>
          <w:webHidden/>
        </w:rPr>
        <w:fldChar w:fldCharType="begin"/>
      </w:r>
      <w:r>
        <w:rPr>
          <w:noProof/>
          <w:webHidden/>
        </w:rPr>
        <w:instrText xml:space="preserve"> PAGEREF _Toc226239097 \h </w:instrText>
      </w:r>
      <w:r>
        <w:rPr>
          <w:noProof/>
          <w:webHidden/>
        </w:rPr>
        <w:fldChar w:fldCharType="separate"/>
      </w:r>
      <w:r>
        <w:rPr>
          <w:noProof/>
          <w:webHidden/>
        </w:rPr>
        <w:t>28</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"_Toc226239098" </w:instrText>
      </w:r>
      <w:r>
        <w:rPr/>
        <w:fldChar w:fldCharType="separate"/>
      </w:r>
      <w:r>
        <w:rPr>
          <w:rStyle w:val="style85"/>
          <w:noProof/>
        </w:rPr>
        <w:t>International and Ethical Considerations</w:t>
      </w:r>
      <w:r>
        <w:rPr>
          <w:noProof/>
          <w:webHidden/>
        </w:rPr>
        <w:tab/>
      </w:r>
      <w:r>
        <w:rPr>
          <w:noProof/>
          <w:webHidden/>
        </w:rPr>
        <w:fldChar w:fldCharType="begin"/>
      </w:r>
      <w:r>
        <w:rPr>
          <w:noProof/>
          <w:webHidden/>
        </w:rPr>
        <w:instrText xml:space="preserve"> PAGEREF _Toc226239098 \h </w:instrText>
      </w:r>
      <w:r>
        <w:rPr>
          <w:noProof/>
          <w:webHidden/>
        </w:rPr>
        <w:fldChar w:fldCharType="separate"/>
      </w:r>
      <w:r>
        <w:rPr>
          <w:noProof/>
          <w:webHidden/>
        </w:rPr>
        <w:t>29</w:t>
      </w:r>
      <w:r>
        <w:rPr>
          <w:noProof/>
          <w:webHidden/>
        </w:rPr>
        <w:fldChar w:fldCharType="end"/>
      </w:r>
      <w:r>
        <w:rPr/>
        <w:fldChar w:fldCharType="end"/>
      </w:r>
    </w:p>
    <w:p>
      <w:pPr>
        <w:pStyle w:val="style19"/>
        <w:tabs>
          <w:tab w:val="right" w:leader="dot" w:pos="9350"/>
        </w:tabs>
        <w:rPr>
          <w:rFonts w:ascii="Calibri" w:eastAsia="宋体" w:hAnsi="Calibri"/>
          <w:noProof/>
          <w:kern w:val="2"/>
          <w:szCs w:val="24"/>
          <w:lang w:eastAsia="en-GB"/>
        </w:rPr>
      </w:pPr>
      <w:r>
        <w:rPr/>
        <w:fldChar w:fldCharType="begin"/>
      </w:r>
      <w:r>
        <w:instrText xml:space="preserve"> HYPERLINK \l "_Toc226239099" </w:instrText>
      </w:r>
      <w:r>
        <w:rPr/>
        <w:fldChar w:fldCharType="separate"/>
      </w:r>
      <w:r>
        <w:rPr>
          <w:rStyle w:val="style85"/>
          <w:noProof/>
        </w:rPr>
        <w:t>Investment Appraisal and Capital Budgeting</w:t>
      </w:r>
      <w:r>
        <w:rPr>
          <w:noProof/>
          <w:webHidden/>
        </w:rPr>
        <w:tab/>
      </w:r>
      <w:r>
        <w:rPr>
          <w:noProof/>
          <w:webHidden/>
        </w:rPr>
        <w:fldChar w:fldCharType="begin"/>
      </w:r>
      <w:r>
        <w:rPr>
          <w:noProof/>
          <w:webHidden/>
        </w:rPr>
        <w:instrText xml:space="preserve"> PAGEREF _Toc226239099 \h </w:instrText>
      </w:r>
      <w:r>
        <w:rPr>
          <w:noProof/>
          <w:webHidden/>
        </w:rPr>
        <w:fldChar w:fldCharType="separate"/>
      </w:r>
      <w:r>
        <w:rPr>
          <w:noProof/>
          <w:webHidden/>
        </w:rPr>
        <w:t>30</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"_Toc226239100" </w:instrText>
      </w:r>
      <w:r>
        <w:rPr/>
        <w:fldChar w:fldCharType="separate"/>
      </w:r>
      <w:r>
        <w:rPr>
          <w:rStyle w:val="style85"/>
          <w:noProof/>
        </w:rPr>
        <w:t>Methodology</w:t>
      </w:r>
      <w:r>
        <w:rPr>
          <w:noProof/>
          <w:webHidden/>
        </w:rPr>
        <w:tab/>
      </w:r>
      <w:r>
        <w:rPr>
          <w:noProof/>
          <w:webHidden/>
        </w:rPr>
        <w:fldChar w:fldCharType="begin"/>
      </w:r>
      <w:r>
        <w:rPr>
          <w:noProof/>
          <w:webHidden/>
        </w:rPr>
        <w:instrText xml:space="preserve"> PAGEREF _Toc226239100 \h </w:instrText>
      </w:r>
      <w:r>
        <w:rPr>
          <w:noProof/>
          <w:webHidden/>
        </w:rPr>
        <w:fldChar w:fldCharType="separate"/>
      </w:r>
      <w:r>
        <w:rPr>
          <w:noProof/>
          <w:webHidden/>
        </w:rPr>
        <w:t>30</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"_Toc226239101" </w:instrText>
      </w:r>
      <w:r>
        <w:rPr/>
        <w:fldChar w:fldCharType="separate"/>
      </w:r>
      <w:r>
        <w:rPr>
          <w:rStyle w:val="style85"/>
          <w:noProof/>
        </w:rPr>
        <w:t>Calculations</w:t>
      </w:r>
      <w:r>
        <w:rPr>
          <w:noProof/>
          <w:webHidden/>
        </w:rPr>
        <w:tab/>
      </w:r>
      <w:r>
        <w:rPr>
          <w:noProof/>
          <w:webHidden/>
        </w:rPr>
        <w:fldChar w:fldCharType="begin"/>
      </w:r>
      <w:r>
        <w:rPr>
          <w:noProof/>
          <w:webHidden/>
        </w:rPr>
        <w:instrText xml:space="preserve"> PAGEREF _Toc226239101 \h </w:instrText>
      </w:r>
      <w:r>
        <w:rPr>
          <w:noProof/>
          <w:webHidden/>
        </w:rPr>
        <w:fldChar w:fldCharType="separate"/>
      </w:r>
      <w:r>
        <w:rPr>
          <w:noProof/>
          <w:webHidden/>
        </w:rPr>
        <w:t>31</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"_Toc226239102" </w:instrText>
      </w:r>
      <w:r>
        <w:rPr/>
        <w:fldChar w:fldCharType="separate"/>
      </w:r>
      <w:r>
        <w:rPr>
          <w:rStyle w:val="style85"/>
          <w:noProof/>
        </w:rPr>
        <w:t>Payback Period (PBP)</w:t>
      </w:r>
      <w:r>
        <w:rPr>
          <w:noProof/>
          <w:webHidden/>
        </w:rPr>
        <w:tab/>
      </w:r>
      <w:r>
        <w:rPr>
          <w:noProof/>
          <w:webHidden/>
        </w:rPr>
        <w:fldChar w:fldCharType="begin"/>
      </w:r>
      <w:r>
        <w:rPr>
          <w:noProof/>
          <w:webHidden/>
        </w:rPr>
        <w:instrText xml:space="preserve"> PAGEREF _Toc226239102 \h </w:instrText>
      </w:r>
      <w:r>
        <w:rPr>
          <w:noProof/>
          <w:webHidden/>
        </w:rPr>
        <w:fldChar w:fldCharType="separate"/>
      </w:r>
      <w:r>
        <w:rPr>
          <w:noProof/>
          <w:webHidden/>
        </w:rPr>
        <w:t>31</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"_Toc226239103" </w:instrText>
      </w:r>
      <w:r>
        <w:rPr/>
        <w:fldChar w:fldCharType="separate"/>
      </w:r>
      <w:r>
        <w:rPr>
          <w:rStyle w:val="style85"/>
          <w:noProof/>
        </w:rPr>
        <w:t>Accounting Rate of Return (ARR)</w:t>
      </w:r>
      <w:r>
        <w:rPr>
          <w:noProof/>
          <w:webHidden/>
        </w:rPr>
        <w:tab/>
      </w:r>
      <w:r>
        <w:rPr>
          <w:noProof/>
          <w:webHidden/>
        </w:rPr>
        <w:fldChar w:fldCharType="begin"/>
      </w:r>
      <w:r>
        <w:rPr>
          <w:noProof/>
          <w:webHidden/>
        </w:rPr>
        <w:instrText xml:space="preserve"> PAGEREF _Toc226239103 \h </w:instrText>
      </w:r>
      <w:r>
        <w:rPr>
          <w:noProof/>
          <w:webHidden/>
        </w:rPr>
        <w:fldChar w:fldCharType="separate"/>
      </w:r>
      <w:r>
        <w:rPr>
          <w:noProof/>
          <w:webHidden/>
        </w:rPr>
        <w:t>32</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"_Toc226239104" </w:instrText>
      </w:r>
      <w:r>
        <w:rPr/>
        <w:fldChar w:fldCharType="separate"/>
      </w:r>
      <w:r>
        <w:rPr>
          <w:rStyle w:val="style85"/>
          <w:noProof/>
        </w:rPr>
        <w:t>Net Present Value (NPV)</w:t>
      </w:r>
      <w:r>
        <w:rPr>
          <w:noProof/>
          <w:webHidden/>
        </w:rPr>
        <w:tab/>
      </w:r>
      <w:r>
        <w:rPr>
          <w:noProof/>
          <w:webHidden/>
        </w:rPr>
        <w:fldChar w:fldCharType="begin"/>
      </w:r>
      <w:r>
        <w:rPr>
          <w:noProof/>
          <w:webHidden/>
        </w:rPr>
        <w:instrText xml:space="preserve"> PAGEREF _Toc226239104 \h </w:instrText>
      </w:r>
      <w:r>
        <w:rPr>
          <w:noProof/>
          <w:webHidden/>
        </w:rPr>
        <w:fldChar w:fldCharType="separate"/>
      </w:r>
      <w:r>
        <w:rPr>
          <w:noProof/>
          <w:webHidden/>
        </w:rPr>
        <w:t>32</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"_Toc226239105" </w:instrText>
      </w:r>
      <w:r>
        <w:rPr/>
        <w:fldChar w:fldCharType="separate"/>
      </w:r>
      <w:r>
        <w:rPr>
          <w:rStyle w:val="style85"/>
          <w:noProof/>
        </w:rPr>
        <w:t>Internal Rate of Return (IRR).</w:t>
      </w:r>
      <w:r>
        <w:rPr>
          <w:noProof/>
          <w:webHidden/>
        </w:rPr>
        <w:tab/>
      </w:r>
      <w:r>
        <w:rPr>
          <w:noProof/>
          <w:webHidden/>
        </w:rPr>
        <w:fldChar w:fldCharType="begin"/>
      </w:r>
      <w:r>
        <w:rPr>
          <w:noProof/>
          <w:webHidden/>
        </w:rPr>
        <w:instrText xml:space="preserve"> PAGEREF _Toc226239105 \h </w:instrText>
      </w:r>
      <w:r>
        <w:rPr>
          <w:noProof/>
          <w:webHidden/>
        </w:rPr>
        <w:fldChar w:fldCharType="separate"/>
      </w:r>
      <w:r>
        <w:rPr>
          <w:noProof/>
          <w:webHidden/>
        </w:rPr>
        <w:t>33</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"_Toc226239106" </w:instrText>
      </w:r>
      <w:r>
        <w:rPr/>
        <w:fldChar w:fldCharType="separate"/>
      </w:r>
      <w:r>
        <w:rPr>
          <w:rStyle w:val="style85"/>
          <w:noProof/>
        </w:rPr>
        <w:t>Profitability Index (PI)</w:t>
      </w:r>
      <w:r>
        <w:rPr>
          <w:noProof/>
          <w:webHidden/>
        </w:rPr>
        <w:tab/>
      </w:r>
      <w:r>
        <w:rPr>
          <w:noProof/>
          <w:webHidden/>
        </w:rPr>
        <w:fldChar w:fldCharType="begin"/>
      </w:r>
      <w:r>
        <w:rPr>
          <w:noProof/>
          <w:webHidden/>
        </w:rPr>
        <w:instrText xml:space="preserve"> PAGEREF _Toc226239106 \h </w:instrText>
      </w:r>
      <w:r>
        <w:rPr>
          <w:noProof/>
          <w:webHidden/>
        </w:rPr>
        <w:fldChar w:fldCharType="separate"/>
      </w:r>
      <w:r>
        <w:rPr>
          <w:noProof/>
          <w:webHidden/>
        </w:rPr>
        <w:t>34</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"_Toc226239107" </w:instrText>
      </w:r>
      <w:r>
        <w:rPr/>
        <w:fldChar w:fldCharType="separate"/>
      </w:r>
      <w:r>
        <w:rPr>
          <w:rStyle w:val="style85"/>
          <w:noProof/>
        </w:rPr>
        <w:t>Comparison of Projects</w:t>
      </w:r>
      <w:r>
        <w:rPr>
          <w:noProof/>
          <w:webHidden/>
        </w:rPr>
        <w:tab/>
      </w:r>
      <w:r>
        <w:rPr>
          <w:noProof/>
          <w:webHidden/>
        </w:rPr>
        <w:fldChar w:fldCharType="begin"/>
      </w:r>
      <w:r>
        <w:rPr>
          <w:noProof/>
          <w:webHidden/>
        </w:rPr>
        <w:instrText xml:space="preserve"> PAGEREF _Toc226239107 \h </w:instrText>
      </w:r>
      <w:r>
        <w:rPr>
          <w:noProof/>
          <w:webHidden/>
        </w:rPr>
        <w:fldChar w:fldCharType="separate"/>
      </w:r>
      <w:r>
        <w:rPr>
          <w:noProof/>
          <w:webHidden/>
        </w:rPr>
        <w:t>35</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"_Toc226239108" </w:instrText>
      </w:r>
      <w:r>
        <w:rPr/>
        <w:fldChar w:fldCharType="separate"/>
      </w:r>
      <w:r>
        <w:rPr>
          <w:rStyle w:val="style85"/>
          <w:noProof/>
        </w:rPr>
        <w:t>Project A (Balanced Option)</w:t>
      </w:r>
      <w:r>
        <w:rPr>
          <w:noProof/>
          <w:webHidden/>
        </w:rPr>
        <w:tab/>
      </w:r>
      <w:r>
        <w:rPr>
          <w:noProof/>
          <w:webHidden/>
        </w:rPr>
        <w:fldChar w:fldCharType="begin"/>
      </w:r>
      <w:r>
        <w:rPr>
          <w:noProof/>
          <w:webHidden/>
        </w:rPr>
        <w:instrText xml:space="preserve"> PAGEREF _Toc226239108 \h </w:instrText>
      </w:r>
      <w:r>
        <w:rPr>
          <w:noProof/>
          <w:webHidden/>
        </w:rPr>
        <w:fldChar w:fldCharType="separate"/>
      </w:r>
      <w:r>
        <w:rPr>
          <w:noProof/>
          <w:webHidden/>
        </w:rPr>
        <w:t>35</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"_Toc226239109" </w:instrText>
      </w:r>
      <w:r>
        <w:rPr/>
        <w:fldChar w:fldCharType="separate"/>
      </w:r>
      <w:r>
        <w:rPr>
          <w:rStyle w:val="style85"/>
          <w:noProof/>
        </w:rPr>
        <w:t>Project B (Stable but Low Return)</w:t>
      </w:r>
      <w:r>
        <w:rPr>
          <w:noProof/>
          <w:webHidden/>
        </w:rPr>
        <w:tab/>
      </w:r>
      <w:r>
        <w:rPr>
          <w:noProof/>
          <w:webHidden/>
        </w:rPr>
        <w:fldChar w:fldCharType="begin"/>
      </w:r>
      <w:r>
        <w:rPr>
          <w:noProof/>
          <w:webHidden/>
        </w:rPr>
        <w:instrText xml:space="preserve"> PAGEREF _Toc226239109 \h </w:instrText>
      </w:r>
      <w:r>
        <w:rPr>
          <w:noProof/>
          <w:webHidden/>
        </w:rPr>
        <w:fldChar w:fldCharType="separate"/>
      </w:r>
      <w:r>
        <w:rPr>
          <w:noProof/>
          <w:webHidden/>
        </w:rPr>
        <w:t>35</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"_Toc226239110" </w:instrText>
      </w:r>
      <w:r>
        <w:rPr/>
        <w:fldChar w:fldCharType="separate"/>
      </w:r>
      <w:r>
        <w:rPr>
          <w:rStyle w:val="style85"/>
          <w:noProof/>
        </w:rPr>
        <w:t>Project C (High Risk–High Return)</w:t>
      </w:r>
      <w:r>
        <w:rPr>
          <w:noProof/>
          <w:webHidden/>
        </w:rPr>
        <w:tab/>
      </w:r>
      <w:r>
        <w:rPr>
          <w:noProof/>
          <w:webHidden/>
        </w:rPr>
        <w:fldChar w:fldCharType="begin"/>
      </w:r>
      <w:r>
        <w:rPr>
          <w:noProof/>
          <w:webHidden/>
        </w:rPr>
        <w:instrText xml:space="preserve"> PAGEREF _Toc226239110 \h </w:instrText>
      </w:r>
      <w:r>
        <w:rPr>
          <w:noProof/>
          <w:webHidden/>
        </w:rPr>
        <w:fldChar w:fldCharType="separate"/>
      </w:r>
      <w:r>
        <w:rPr>
          <w:noProof/>
          <w:webHidden/>
        </w:rPr>
        <w:t>35</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"_Toc226239111" </w:instrText>
      </w:r>
      <w:r>
        <w:rPr/>
        <w:fldChar w:fldCharType="separate"/>
      </w:r>
      <w:r>
        <w:rPr>
          <w:rStyle w:val="style85"/>
          <w:noProof/>
        </w:rPr>
        <w:t>Recommendations</w:t>
      </w:r>
      <w:r>
        <w:rPr>
          <w:noProof/>
          <w:webHidden/>
        </w:rPr>
        <w:tab/>
      </w:r>
      <w:r>
        <w:rPr>
          <w:noProof/>
          <w:webHidden/>
        </w:rPr>
        <w:fldChar w:fldCharType="begin"/>
      </w:r>
      <w:r>
        <w:rPr>
          <w:noProof/>
          <w:webHidden/>
        </w:rPr>
        <w:instrText xml:space="preserve"> PAGEREF _Toc226239111 \h </w:instrText>
      </w:r>
      <w:r>
        <w:rPr>
          <w:noProof/>
          <w:webHidden/>
        </w:rPr>
        <w:fldChar w:fldCharType="separate"/>
      </w:r>
      <w:r>
        <w:rPr>
          <w:noProof/>
          <w:webHidden/>
        </w:rPr>
        <w:t>36</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"_Toc226239112" </w:instrText>
      </w:r>
      <w:r>
        <w:rPr/>
        <w:fldChar w:fldCharType="separate"/>
      </w:r>
      <w:r>
        <w:rPr>
          <w:rStyle w:val="style85"/>
          <w:noProof/>
        </w:rPr>
        <w:t>Capital Rationing Decision</w:t>
      </w:r>
      <w:r>
        <w:rPr>
          <w:noProof/>
          <w:webHidden/>
        </w:rPr>
        <w:tab/>
      </w:r>
      <w:r>
        <w:rPr>
          <w:noProof/>
          <w:webHidden/>
        </w:rPr>
        <w:fldChar w:fldCharType="begin"/>
      </w:r>
      <w:r>
        <w:rPr>
          <w:noProof/>
          <w:webHidden/>
        </w:rPr>
        <w:instrText xml:space="preserve"> PAGEREF _Toc226239112 \h </w:instrText>
      </w:r>
      <w:r>
        <w:rPr>
          <w:noProof/>
          <w:webHidden/>
        </w:rPr>
        <w:fldChar w:fldCharType="separate"/>
      </w:r>
      <w:r>
        <w:rPr>
          <w:noProof/>
          <w:webHidden/>
        </w:rPr>
        <w:t>36</w:t>
      </w:r>
      <w:r>
        <w:rPr>
          <w:noProof/>
          <w:webHidden/>
        </w:rPr>
        <w:fldChar w:fldCharType="end"/>
      </w:r>
      <w:r>
        <w:rPr/>
        <w:fldChar w:fldCharType="end"/>
      </w:r>
    </w:p>
    <w:p>
      <w:pPr>
        <w:pStyle w:val="style21"/>
        <w:tabs>
          <w:tab w:val="right" w:leader="dot" w:pos="9350"/>
        </w:tabs>
        <w:rPr>
          <w:rFonts w:ascii="Calibri" w:eastAsia="宋体" w:hAnsi="Calibri"/>
          <w:noProof/>
          <w:kern w:val="2"/>
          <w:szCs w:val="24"/>
          <w:lang w:eastAsia="en-GB"/>
        </w:rPr>
      </w:pPr>
      <w:r>
        <w:rPr/>
        <w:fldChar w:fldCharType="begin"/>
      </w:r>
      <w:r>
        <w:instrText xml:space="preserve"> HYPERLINK \l "_Toc226239113" </w:instrText>
      </w:r>
      <w:r>
        <w:rPr/>
        <w:fldChar w:fldCharType="separate"/>
      </w:r>
      <w:r>
        <w:rPr>
          <w:rStyle w:val="style85"/>
          <w:noProof/>
        </w:rPr>
        <w:t>NPV Ranking and Combinations</w:t>
      </w:r>
      <w:r>
        <w:rPr>
          <w:noProof/>
          <w:webHidden/>
        </w:rPr>
        <w:tab/>
      </w:r>
      <w:r>
        <w:rPr>
          <w:noProof/>
          <w:webHidden/>
        </w:rPr>
        <w:fldChar w:fldCharType="begin"/>
      </w:r>
      <w:r>
        <w:rPr>
          <w:noProof/>
          <w:webHidden/>
        </w:rPr>
        <w:instrText xml:space="preserve"> PAGEREF _Toc226239113 \h </w:instrText>
      </w:r>
      <w:r>
        <w:rPr>
          <w:noProof/>
          <w:webHidden/>
        </w:rPr>
        <w:fldChar w:fldCharType="separate"/>
      </w:r>
      <w:r>
        <w:rPr>
          <w:noProof/>
          <w:webHidden/>
        </w:rPr>
        <w:t>37</w:t>
      </w:r>
      <w:r>
        <w:rPr>
          <w:noProof/>
          <w:webHidden/>
        </w:rPr>
        <w:fldChar w:fldCharType="end"/>
      </w:r>
      <w:r>
        <w:rPr/>
        <w:fldChar w:fldCharType="end"/>
      </w:r>
    </w:p>
    <w:p>
      <w:pPr>
        <w:pStyle w:val="style19"/>
        <w:tabs>
          <w:tab w:val="right" w:leader="dot" w:pos="9350"/>
        </w:tabs>
        <w:rPr>
          <w:rFonts w:ascii="Calibri" w:eastAsia="宋体" w:hAnsi="Calibri"/>
          <w:noProof/>
          <w:kern w:val="2"/>
          <w:szCs w:val="24"/>
          <w:lang w:eastAsia="en-GB"/>
        </w:rPr>
      </w:pPr>
      <w:r>
        <w:rPr/>
        <w:fldChar w:fldCharType="begin"/>
      </w:r>
      <w:r>
        <w:instrText xml:space="preserve"> HYPERLINK \l "_Toc226239114"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_Toc226239114 \h </w:instrText>
      </w:r>
      <w:r>
        <w:rPr>
          <w:noProof/>
          <w:webHidden/>
        </w:rPr>
        <w:fldChar w:fldCharType="separate"/>
      </w:r>
      <w:r>
        <w:rPr>
          <w:noProof/>
          <w:webHidden/>
        </w:rPr>
        <w:t>38</w:t>
      </w:r>
      <w:r>
        <w:rPr>
          <w:noProof/>
          <w:webHidden/>
        </w:rPr>
        <w:fldChar w:fldCharType="end"/>
      </w:r>
      <w:r>
        <w:rPr/>
        <w:fldChar w:fldCharType="end"/>
      </w:r>
    </w:p>
    <w:p>
      <w:pPr>
        <w:pStyle w:val="style19"/>
        <w:tabs>
          <w:tab w:val="right" w:leader="dot" w:pos="9350"/>
        </w:tabs>
        <w:rPr>
          <w:rFonts w:ascii="Calibri" w:eastAsia="宋体" w:hAnsi="Calibri"/>
          <w:noProof/>
          <w:kern w:val="2"/>
          <w:szCs w:val="24"/>
          <w:lang w:eastAsia="en-GB"/>
        </w:rPr>
      </w:pPr>
      <w:r>
        <w:rPr/>
        <w:fldChar w:fldCharType="begin"/>
      </w:r>
      <w:r>
        <w:instrText xml:space="preserve"> HYPERLINK \l "_Toc226239115"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_Toc226239115 \h </w:instrText>
      </w:r>
      <w:r>
        <w:rPr>
          <w:noProof/>
          <w:webHidden/>
        </w:rPr>
        <w:fldChar w:fldCharType="separate"/>
      </w:r>
      <w:r>
        <w:rPr>
          <w:noProof/>
          <w:webHidden/>
        </w:rPr>
        <w:t>39</w:t>
      </w:r>
      <w:r>
        <w:rPr>
          <w:noProof/>
          <w:webHidden/>
        </w:rPr>
        <w:fldChar w:fldCharType="end"/>
      </w:r>
      <w:r>
        <w:rPr/>
        <w:fldChar w:fldCharType="end"/>
      </w:r>
    </w:p>
    <w:p>
      <w:pPr>
        <w:pStyle w:val="style19"/>
        <w:tabs>
          <w:tab w:val="right" w:leader="dot" w:pos="9350"/>
        </w:tabs>
        <w:rPr>
          <w:rFonts w:ascii="Calibri" w:eastAsia="宋体" w:hAnsi="Calibri"/>
          <w:noProof/>
          <w:kern w:val="2"/>
          <w:szCs w:val="24"/>
          <w:lang w:eastAsia="en-GB"/>
        </w:rPr>
      </w:pPr>
      <w:r>
        <w:rPr/>
        <w:fldChar w:fldCharType="begin"/>
      </w:r>
      <w:r>
        <w:instrText xml:space="preserve"> HYPERLINK \l "_Toc226239116" </w:instrText>
      </w:r>
      <w:r>
        <w:rPr/>
        <w:fldChar w:fldCharType="separate"/>
      </w:r>
      <w:r>
        <w:rPr>
          <w:rStyle w:val="style85"/>
          <w:noProof/>
        </w:rPr>
        <w:t>Appendix</w:t>
      </w:r>
      <w:r>
        <w:rPr>
          <w:noProof/>
          <w:webHidden/>
        </w:rPr>
        <w:tab/>
      </w:r>
      <w:r>
        <w:rPr>
          <w:noProof/>
          <w:webHidden/>
        </w:rPr>
        <w:fldChar w:fldCharType="begin"/>
      </w:r>
      <w:r>
        <w:rPr>
          <w:noProof/>
          <w:webHidden/>
        </w:rPr>
        <w:instrText xml:space="preserve"> PAGEREF _Toc226239116 \h </w:instrText>
      </w:r>
      <w:r>
        <w:rPr>
          <w:noProof/>
          <w:webHidden/>
        </w:rPr>
        <w:fldChar w:fldCharType="separate"/>
      </w:r>
      <w:r>
        <w:rPr>
          <w:noProof/>
          <w:webHidden/>
        </w:rPr>
        <w:t>43</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"_Toc226239117" </w:instrText>
      </w:r>
      <w:r>
        <w:rPr/>
        <w:fldChar w:fldCharType="separate"/>
      </w:r>
      <w:r>
        <w:rPr>
          <w:rStyle w:val="style85"/>
          <w:noProof/>
        </w:rPr>
        <w:t>Appendix A: Ratio Analysis</w:t>
      </w:r>
      <w:r>
        <w:rPr>
          <w:noProof/>
          <w:webHidden/>
        </w:rPr>
        <w:tab/>
      </w:r>
      <w:r>
        <w:rPr>
          <w:noProof/>
          <w:webHidden/>
        </w:rPr>
        <w:fldChar w:fldCharType="begin"/>
      </w:r>
      <w:r>
        <w:rPr>
          <w:noProof/>
          <w:webHidden/>
        </w:rPr>
        <w:instrText xml:space="preserve"> PAGEREF _Toc226239117 \h </w:instrText>
      </w:r>
      <w:r>
        <w:rPr>
          <w:noProof/>
          <w:webHidden/>
        </w:rPr>
        <w:fldChar w:fldCharType="separate"/>
      </w:r>
      <w:r>
        <w:rPr>
          <w:noProof/>
          <w:webHidden/>
        </w:rPr>
        <w:t>43</w:t>
      </w:r>
      <w:r>
        <w:rPr>
          <w:noProof/>
          <w:webHidden/>
        </w:rPr>
        <w:fldChar w:fldCharType="end"/>
      </w:r>
      <w:r>
        <w:rPr/>
        <w:fldChar w:fldCharType="end"/>
      </w:r>
    </w:p>
    <w:p>
      <w:pPr>
        <w:pStyle w:val="style20"/>
        <w:tabs>
          <w:tab w:val="right" w:leader="dot" w:pos="9350"/>
        </w:tabs>
        <w:rPr>
          <w:rFonts w:ascii="Calibri" w:eastAsia="宋体" w:hAnsi="Calibri"/>
          <w:noProof/>
          <w:kern w:val="2"/>
          <w:szCs w:val="24"/>
          <w:lang w:eastAsia="en-GB"/>
        </w:rPr>
      </w:pPr>
      <w:r>
        <w:rPr/>
        <w:fldChar w:fldCharType="begin"/>
      </w:r>
      <w:r>
        <w:instrText xml:space="preserve"> HYPERLINK \l "_Toc226239118" </w:instrText>
      </w:r>
      <w:r>
        <w:rPr/>
        <w:fldChar w:fldCharType="separate"/>
      </w:r>
      <w:r>
        <w:rPr>
          <w:rStyle w:val="style85"/>
          <w:noProof/>
        </w:rPr>
        <w:t>Appendix B: Investment Appraisals</w:t>
      </w:r>
      <w:r>
        <w:rPr>
          <w:noProof/>
          <w:webHidden/>
        </w:rPr>
        <w:tab/>
      </w:r>
      <w:r>
        <w:rPr>
          <w:noProof/>
          <w:webHidden/>
        </w:rPr>
        <w:fldChar w:fldCharType="begin"/>
      </w:r>
      <w:r>
        <w:rPr>
          <w:noProof/>
          <w:webHidden/>
        </w:rPr>
        <w:instrText xml:space="preserve"> PAGEREF _Toc226239118 \h </w:instrText>
      </w:r>
      <w:r>
        <w:rPr>
          <w:noProof/>
          <w:webHidden/>
        </w:rPr>
        <w:fldChar w:fldCharType="separate"/>
      </w:r>
      <w:r>
        <w:rPr>
          <w:noProof/>
          <w:webHidden/>
        </w:rPr>
        <w:t>44</w:t>
      </w:r>
      <w:r>
        <w:rPr>
          <w:noProof/>
          <w:webHidden/>
        </w:rPr>
        <w:fldChar w:fldCharType="end"/>
      </w:r>
      <w:r>
        <w:rPr/>
        <w:fldChar w:fldCharType="end"/>
      </w:r>
    </w:p>
    <w:p>
      <w:pPr>
        <w:pStyle w:val="style0"/>
        <w:rPr/>
      </w:pPr>
      <w:r>
        <w:rPr>
          <w:b/>
          <w:bCs/>
        </w:rPr>
        <w:fldChar w:fldCharType="end"/>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b/>
          <w:bCs/>
        </w:rPr>
      </w:pPr>
      <w:r>
        <w:rPr>
          <w:b/>
          <w:bCs/>
        </w:rPr>
        <w:t>List of Figures</w:t>
      </w:r>
    </w:p>
    <w:p>
      <w:pPr>
        <w:pStyle w:val="style35"/>
        <w:tabs>
          <w:tab w:val="right" w:leader="dot" w:pos="9350"/>
        </w:tabs>
        <w:rPr>
          <w:noProof/>
        </w:rPr>
      </w:pPr>
      <w:r>
        <w:rPr>
          <w:b/>
          <w:bCs/>
        </w:rPr>
        <w:fldChar w:fldCharType="begin"/>
      </w:r>
      <w:r>
        <w:rPr>
          <w:b/>
          <w:bCs/>
        </w:rPr>
        <w:instrText xml:space="preserve"> TOC \h \z \c "Figure" </w:instrText>
      </w:r>
      <w:r>
        <w:rPr>
          <w:b/>
          <w:bCs/>
        </w:rPr>
        <w:fldChar w:fldCharType="separate"/>
      </w:r>
      <w:r>
        <w:rPr/>
        <w:fldChar w:fldCharType="begin"/>
      </w:r>
      <w:r>
        <w:instrText xml:space="preserve"> HYPERLINK \l "_Toc226239038" </w:instrText>
      </w:r>
      <w:r>
        <w:rPr/>
        <w:fldChar w:fldCharType="separate"/>
      </w:r>
      <w:r>
        <w:rPr>
          <w:rStyle w:val="style85"/>
          <w:noProof/>
        </w:rPr>
        <w:t>Figure 1: Toyota Financial Performance (Toyota Motors, 2024)</w:t>
      </w:r>
      <w:r>
        <w:rPr>
          <w:noProof/>
          <w:webHidden/>
        </w:rPr>
        <w:tab/>
      </w:r>
      <w:r>
        <w:rPr>
          <w:noProof/>
          <w:webHidden/>
        </w:rPr>
        <w:fldChar w:fldCharType="begin"/>
      </w:r>
      <w:r>
        <w:rPr>
          <w:noProof/>
          <w:webHidden/>
        </w:rPr>
        <w:instrText xml:space="preserve"> PAGEREF _Toc226239038 \h </w:instrText>
      </w:r>
      <w:r>
        <w:rPr>
          <w:noProof/>
          <w:webHidden/>
        </w:rPr>
        <w:fldChar w:fldCharType="separate"/>
      </w:r>
      <w:r>
        <w:rPr>
          <w:noProof/>
          <w:webHidden/>
        </w:rPr>
        <w:t>6</w:t>
      </w:r>
      <w:r>
        <w:rPr>
          <w:noProof/>
          <w:webHidden/>
        </w:rPr>
        <w:fldChar w:fldCharType="end"/>
      </w:r>
      <w:r>
        <w:rPr/>
        <w:fldChar w:fldCharType="end"/>
      </w:r>
    </w:p>
    <w:p>
      <w:pPr>
        <w:pStyle w:val="style35"/>
        <w:tabs>
          <w:tab w:val="right" w:leader="dot" w:pos="9350"/>
        </w:tabs>
        <w:rPr>
          <w:noProof/>
        </w:rPr>
      </w:pPr>
      <w:r>
        <w:rPr/>
        <w:fldChar w:fldCharType="begin"/>
      </w:r>
      <w:r>
        <w:instrText xml:space="preserve"> HYPERLINK \l "_Toc226239039" </w:instrText>
      </w:r>
      <w:r>
        <w:rPr/>
        <w:fldChar w:fldCharType="separate"/>
      </w:r>
      <w:r>
        <w:rPr>
          <w:rStyle w:val="style85"/>
          <w:noProof/>
        </w:rPr>
        <w:t>Figure 2: Toyota Motors' Operating Margins (Toyota Motors, 2024)</w:t>
      </w:r>
      <w:r>
        <w:rPr>
          <w:noProof/>
          <w:webHidden/>
        </w:rPr>
        <w:tab/>
      </w:r>
      <w:r>
        <w:rPr>
          <w:noProof/>
          <w:webHidden/>
        </w:rPr>
        <w:fldChar w:fldCharType="begin"/>
      </w:r>
      <w:r>
        <w:rPr>
          <w:noProof/>
          <w:webHidden/>
        </w:rPr>
        <w:instrText xml:space="preserve"> PAGEREF _Toc226239039 \h </w:instrText>
      </w:r>
      <w:r>
        <w:rPr>
          <w:noProof/>
          <w:webHidden/>
        </w:rPr>
        <w:fldChar w:fldCharType="separate"/>
      </w:r>
      <w:r>
        <w:rPr>
          <w:noProof/>
          <w:webHidden/>
        </w:rPr>
        <w:t>8</w:t>
      </w:r>
      <w:r>
        <w:rPr>
          <w:noProof/>
          <w:webHidden/>
        </w:rPr>
        <w:fldChar w:fldCharType="end"/>
      </w:r>
      <w:r>
        <w:rPr/>
        <w:fldChar w:fldCharType="end"/>
      </w:r>
    </w:p>
    <w:p>
      <w:pPr>
        <w:pStyle w:val="style35"/>
        <w:tabs>
          <w:tab w:val="right" w:leader="dot" w:pos="9350"/>
        </w:tabs>
        <w:rPr>
          <w:noProof/>
        </w:rPr>
      </w:pPr>
      <w:r>
        <w:rPr/>
        <w:fldChar w:fldCharType="begin"/>
      </w:r>
      <w:r>
        <w:instrText xml:space="preserve"> HYPERLINK \l "_Toc226239040" </w:instrText>
      </w:r>
      <w:r>
        <w:rPr/>
        <w:fldChar w:fldCharType="separate"/>
      </w:r>
      <w:r>
        <w:rPr>
          <w:rStyle w:val="style85"/>
          <w:noProof/>
        </w:rPr>
        <w:t>Figure 3: Toyota Motors' ROA (Toyota Motors, 2024)</w:t>
      </w:r>
      <w:r>
        <w:rPr>
          <w:noProof/>
          <w:webHidden/>
        </w:rPr>
        <w:tab/>
      </w:r>
      <w:r>
        <w:rPr>
          <w:noProof/>
          <w:webHidden/>
        </w:rPr>
        <w:fldChar w:fldCharType="begin"/>
      </w:r>
      <w:r>
        <w:rPr>
          <w:noProof/>
          <w:webHidden/>
        </w:rPr>
        <w:instrText xml:space="preserve"> PAGEREF _Toc226239040 \h </w:instrText>
      </w:r>
      <w:r>
        <w:rPr>
          <w:noProof/>
          <w:webHidden/>
        </w:rPr>
        <w:fldChar w:fldCharType="separate"/>
      </w:r>
      <w:r>
        <w:rPr>
          <w:noProof/>
          <w:webHidden/>
        </w:rPr>
        <w:t>12</w:t>
      </w:r>
      <w:r>
        <w:rPr>
          <w:noProof/>
          <w:webHidden/>
        </w:rPr>
        <w:fldChar w:fldCharType="end"/>
      </w:r>
      <w:r>
        <w:rPr/>
        <w:fldChar w:fldCharType="end"/>
      </w:r>
    </w:p>
    <w:p>
      <w:pPr>
        <w:pStyle w:val="style35"/>
        <w:tabs>
          <w:tab w:val="right" w:leader="dot" w:pos="9350"/>
        </w:tabs>
        <w:rPr>
          <w:noProof/>
        </w:rPr>
      </w:pPr>
      <w:r>
        <w:rPr/>
        <w:fldChar w:fldCharType="begin"/>
      </w:r>
      <w:r>
        <w:instrText xml:space="preserve"> HYPERLINK \l "_Toc226239041" </w:instrText>
      </w:r>
      <w:r>
        <w:rPr/>
        <w:fldChar w:fldCharType="separate"/>
      </w:r>
      <w:r>
        <w:rPr>
          <w:rStyle w:val="style85"/>
          <w:noProof/>
        </w:rPr>
        <w:t>Figure 4: Toyota Motors' Current Ratio (Toyota Motors, 2024)</w:t>
      </w:r>
      <w:r>
        <w:rPr>
          <w:noProof/>
          <w:webHidden/>
        </w:rPr>
        <w:tab/>
      </w:r>
      <w:r>
        <w:rPr>
          <w:noProof/>
          <w:webHidden/>
        </w:rPr>
        <w:fldChar w:fldCharType="begin"/>
      </w:r>
      <w:r>
        <w:rPr>
          <w:noProof/>
          <w:webHidden/>
        </w:rPr>
        <w:instrText xml:space="preserve"> PAGEREF _Toc226239041 \h </w:instrText>
      </w:r>
      <w:r>
        <w:rPr>
          <w:noProof/>
          <w:webHidden/>
        </w:rPr>
        <w:fldChar w:fldCharType="separate"/>
      </w:r>
      <w:r>
        <w:rPr>
          <w:noProof/>
          <w:webHidden/>
        </w:rPr>
        <w:t>13</w:t>
      </w:r>
      <w:r>
        <w:rPr>
          <w:noProof/>
          <w:webHidden/>
        </w:rPr>
        <w:fldChar w:fldCharType="end"/>
      </w:r>
      <w:r>
        <w:rPr/>
        <w:fldChar w:fldCharType="end"/>
      </w:r>
    </w:p>
    <w:p>
      <w:pPr>
        <w:pStyle w:val="style35"/>
        <w:tabs>
          <w:tab w:val="right" w:leader="dot" w:pos="9350"/>
        </w:tabs>
        <w:rPr>
          <w:noProof/>
        </w:rPr>
      </w:pPr>
      <w:r>
        <w:rPr/>
        <w:fldChar w:fldCharType="begin"/>
      </w:r>
      <w:r>
        <w:instrText xml:space="preserve"> HYPERLINK \l "_Toc226239042" </w:instrText>
      </w:r>
      <w:r>
        <w:rPr/>
        <w:fldChar w:fldCharType="separate"/>
      </w:r>
      <w:r>
        <w:rPr>
          <w:rStyle w:val="style85"/>
          <w:noProof/>
        </w:rPr>
        <w:t>Figure 5: Toyota Motors' Quick Ratio (Toyota Motors, 2024)</w:t>
      </w:r>
      <w:r>
        <w:rPr>
          <w:noProof/>
          <w:webHidden/>
        </w:rPr>
        <w:tab/>
      </w:r>
      <w:r>
        <w:rPr>
          <w:noProof/>
          <w:webHidden/>
        </w:rPr>
        <w:fldChar w:fldCharType="begin"/>
      </w:r>
      <w:r>
        <w:rPr>
          <w:noProof/>
          <w:webHidden/>
        </w:rPr>
        <w:instrText xml:space="preserve"> PAGEREF _Toc226239042 \h </w:instrText>
      </w:r>
      <w:r>
        <w:rPr>
          <w:noProof/>
          <w:webHidden/>
        </w:rPr>
        <w:fldChar w:fldCharType="separate"/>
      </w:r>
      <w:r>
        <w:rPr>
          <w:noProof/>
          <w:webHidden/>
        </w:rPr>
        <w:t>14</w:t>
      </w:r>
      <w:r>
        <w:rPr>
          <w:noProof/>
          <w:webHidden/>
        </w:rPr>
        <w:fldChar w:fldCharType="end"/>
      </w:r>
      <w:r>
        <w:rPr/>
        <w:fldChar w:fldCharType="end"/>
      </w:r>
    </w:p>
    <w:p>
      <w:pPr>
        <w:pStyle w:val="style35"/>
        <w:tabs>
          <w:tab w:val="right" w:leader="dot" w:pos="9350"/>
        </w:tabs>
        <w:rPr>
          <w:noProof/>
        </w:rPr>
      </w:pPr>
      <w:r>
        <w:rPr/>
        <w:fldChar w:fldCharType="begin"/>
      </w:r>
      <w:r>
        <w:instrText xml:space="preserve"> HYPERLINK \l "_Toc226239043" </w:instrText>
      </w:r>
      <w:r>
        <w:rPr/>
        <w:fldChar w:fldCharType="separate"/>
      </w:r>
      <w:r>
        <w:rPr>
          <w:rStyle w:val="style85"/>
          <w:noProof/>
        </w:rPr>
        <w:t>Figure 6: Toyota Motors' Total Asset Turnover (Toyota Motors, 2024)</w:t>
      </w:r>
      <w:r>
        <w:rPr>
          <w:noProof/>
          <w:webHidden/>
        </w:rPr>
        <w:tab/>
      </w:r>
      <w:r>
        <w:rPr>
          <w:noProof/>
          <w:webHidden/>
        </w:rPr>
        <w:fldChar w:fldCharType="begin"/>
      </w:r>
      <w:r>
        <w:rPr>
          <w:noProof/>
          <w:webHidden/>
        </w:rPr>
        <w:instrText xml:space="preserve"> PAGEREF _Toc226239043 \h </w:instrText>
      </w:r>
      <w:r>
        <w:rPr>
          <w:noProof/>
          <w:webHidden/>
        </w:rPr>
        <w:fldChar w:fldCharType="separate"/>
      </w:r>
      <w:r>
        <w:rPr>
          <w:noProof/>
          <w:webHidden/>
        </w:rPr>
        <w:t>17</w:t>
      </w:r>
      <w:r>
        <w:rPr>
          <w:noProof/>
          <w:webHidden/>
        </w:rPr>
        <w:fldChar w:fldCharType="end"/>
      </w:r>
      <w:r>
        <w:rPr/>
        <w:fldChar w:fldCharType="end"/>
      </w:r>
    </w:p>
    <w:p>
      <w:pPr>
        <w:pStyle w:val="style35"/>
        <w:tabs>
          <w:tab w:val="right" w:leader="dot" w:pos="9350"/>
        </w:tabs>
        <w:rPr>
          <w:noProof/>
        </w:rPr>
      </w:pPr>
      <w:r>
        <w:rPr/>
        <w:fldChar w:fldCharType="begin"/>
      </w:r>
      <w:r>
        <w:instrText xml:space="preserve"> HYPERLINK \l "_Toc226239044" </w:instrText>
      </w:r>
      <w:r>
        <w:rPr/>
        <w:fldChar w:fldCharType="separate"/>
      </w:r>
      <w:r>
        <w:rPr>
          <w:rStyle w:val="style85"/>
          <w:noProof/>
        </w:rPr>
        <w:t>Figure 7: Toyota Motors' EPS (Toyota Motors, 2024)</w:t>
      </w:r>
      <w:r>
        <w:rPr>
          <w:noProof/>
          <w:webHidden/>
        </w:rPr>
        <w:tab/>
      </w:r>
      <w:r>
        <w:rPr>
          <w:noProof/>
          <w:webHidden/>
        </w:rPr>
        <w:fldChar w:fldCharType="begin"/>
      </w:r>
      <w:r>
        <w:rPr>
          <w:noProof/>
          <w:webHidden/>
        </w:rPr>
        <w:instrText xml:space="preserve"> PAGEREF _Toc226239044 \h </w:instrText>
      </w:r>
      <w:r>
        <w:rPr>
          <w:noProof/>
          <w:webHidden/>
        </w:rPr>
        <w:fldChar w:fldCharType="separate"/>
      </w:r>
      <w:r>
        <w:rPr>
          <w:noProof/>
          <w:webHidden/>
        </w:rPr>
        <w:t>20</w:t>
      </w:r>
      <w:r>
        <w:rPr>
          <w:noProof/>
          <w:webHidden/>
        </w:rPr>
        <w:fldChar w:fldCharType="end"/>
      </w:r>
      <w:r>
        <w:rPr/>
        <w:fldChar w:fldCharType="end"/>
      </w:r>
    </w:p>
    <w:p>
      <w:pPr>
        <w:pStyle w:val="style0"/>
        <w:rPr>
          <w:b/>
          <w:bCs/>
        </w:rPr>
      </w:pPr>
      <w:r>
        <w:rPr>
          <w:b/>
          <w:bCs/>
        </w:rPr>
        <w:fldChar w:fldCharType="end"/>
      </w:r>
    </w:p>
    <w:p>
      <w:pPr>
        <w:pStyle w:val="style0"/>
        <w:rPr>
          <w:b/>
          <w:bCs/>
        </w:rPr>
      </w:pPr>
    </w:p>
    <w:p>
      <w:pPr>
        <w:pStyle w:val="style0"/>
        <w:rPr>
          <w:b/>
          <w:bCs/>
        </w:rPr>
      </w:pPr>
    </w:p>
    <w:p>
      <w:pPr>
        <w:pStyle w:val="style0"/>
        <w:rPr>
          <w:b/>
          <w:bCs/>
        </w:rPr>
      </w:pPr>
    </w:p>
    <w:p>
      <w:pPr>
        <w:pStyle w:val="style0"/>
        <w:rPr>
          <w:b/>
          <w:bCs/>
        </w:rPr>
      </w:pPr>
    </w:p>
    <w:p>
      <w:pPr>
        <w:pStyle w:val="style0"/>
        <w:rPr>
          <w:b/>
          <w:bCs/>
        </w:rPr>
      </w:pPr>
    </w:p>
    <w:p>
      <w:pPr>
        <w:pStyle w:val="style0"/>
        <w:rPr>
          <w:b/>
          <w:bCs/>
        </w:rPr>
      </w:pPr>
    </w:p>
    <w:p>
      <w:pPr>
        <w:pStyle w:val="style0"/>
        <w:rPr>
          <w:b/>
          <w:bCs/>
        </w:rPr>
      </w:pPr>
    </w:p>
    <w:p>
      <w:pPr>
        <w:pStyle w:val="style0"/>
        <w:rPr>
          <w:b/>
          <w:bCs/>
        </w:rPr>
      </w:pPr>
    </w:p>
    <w:p>
      <w:pPr>
        <w:pStyle w:val="style0"/>
        <w:rPr>
          <w:b/>
          <w:bCs/>
        </w:rPr>
      </w:pPr>
    </w:p>
    <w:p>
      <w:pPr>
        <w:pStyle w:val="style0"/>
        <w:rPr>
          <w:b/>
          <w:bCs/>
        </w:rPr>
      </w:pPr>
    </w:p>
    <w:p>
      <w:pPr>
        <w:pStyle w:val="style0"/>
        <w:rPr>
          <w:b/>
          <w:bCs/>
        </w:rPr>
      </w:pPr>
    </w:p>
    <w:p>
      <w:pPr>
        <w:pStyle w:val="style0"/>
        <w:rPr>
          <w:b/>
          <w:bCs/>
        </w:rPr>
      </w:pPr>
      <w:r>
        <w:rPr>
          <w:b/>
          <w:bCs/>
        </w:rPr>
        <w:t>List of Tables</w:t>
      </w:r>
    </w:p>
    <w:p>
      <w:pPr>
        <w:pStyle w:val="style35"/>
        <w:tabs>
          <w:tab w:val="right" w:leader="dot" w:pos="9350"/>
        </w:tabs>
        <w:rPr>
          <w:rFonts w:ascii="Calibri" w:eastAsia="宋体" w:hAnsi="Calibri"/>
          <w:noProof/>
          <w:kern w:val="2"/>
          <w:szCs w:val="24"/>
          <w:lang w:eastAsia="en-GB"/>
        </w:rPr>
      </w:pPr>
      <w:r>
        <w:rPr>
          <w:b/>
          <w:bCs/>
        </w:rPr>
        <w:fldChar w:fldCharType="begin"/>
      </w:r>
      <w:r>
        <w:rPr>
          <w:b/>
          <w:bCs/>
        </w:rPr>
        <w:instrText xml:space="preserve"> TOC \h \z \c "Table" </w:instrText>
      </w:r>
      <w:r>
        <w:rPr>
          <w:b/>
          <w:bCs/>
        </w:rPr>
        <w:fldChar w:fldCharType="separate"/>
      </w:r>
      <w:r>
        <w:rPr/>
        <w:fldChar w:fldCharType="begin"/>
      </w:r>
      <w:r>
        <w:instrText xml:space="preserve"> HYPERLINK \l "_Toc226239045" </w:instrText>
      </w:r>
      <w:r>
        <w:rPr/>
        <w:fldChar w:fldCharType="separate"/>
      </w:r>
      <w:r>
        <w:rPr>
          <w:rStyle w:val="style85"/>
          <w:noProof/>
        </w:rPr>
        <w:t>Table 1: Toyota Motors' Operating Margins (Toyota Motors, 2024)</w:t>
      </w:r>
      <w:r>
        <w:rPr>
          <w:noProof/>
          <w:webHidden/>
        </w:rPr>
        <w:tab/>
      </w:r>
      <w:r>
        <w:rPr>
          <w:noProof/>
          <w:webHidden/>
        </w:rPr>
        <w:fldChar w:fldCharType="begin"/>
      </w:r>
      <w:r>
        <w:rPr>
          <w:noProof/>
          <w:webHidden/>
        </w:rPr>
        <w:instrText xml:space="preserve"> PAGEREF _Toc226239045 \h </w:instrText>
      </w:r>
      <w:r>
        <w:rPr>
          <w:noProof/>
          <w:webHidden/>
        </w:rPr>
        <w:fldChar w:fldCharType="separate"/>
      </w:r>
      <w:r>
        <w:rPr>
          <w:noProof/>
          <w:webHidden/>
        </w:rPr>
        <w:t>10</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"_Toc226239046" </w:instrText>
      </w:r>
      <w:r>
        <w:rPr/>
        <w:fldChar w:fldCharType="separate"/>
      </w:r>
      <w:r>
        <w:rPr>
          <w:rStyle w:val="style85"/>
          <w:noProof/>
        </w:rPr>
        <w:t>Table 2: Toyota Motors' NPM (Toyota Motors, 2024)</w:t>
      </w:r>
      <w:r>
        <w:rPr>
          <w:noProof/>
          <w:webHidden/>
        </w:rPr>
        <w:tab/>
      </w:r>
      <w:r>
        <w:rPr>
          <w:noProof/>
          <w:webHidden/>
        </w:rPr>
        <w:fldChar w:fldCharType="begin"/>
      </w:r>
      <w:r>
        <w:rPr>
          <w:noProof/>
          <w:webHidden/>
        </w:rPr>
        <w:instrText xml:space="preserve"> PAGEREF _Toc226239046 \h </w:instrText>
      </w:r>
      <w:r>
        <w:rPr>
          <w:noProof/>
          <w:webHidden/>
        </w:rPr>
        <w:fldChar w:fldCharType="separate"/>
      </w:r>
      <w:r>
        <w:rPr>
          <w:noProof/>
          <w:webHidden/>
        </w:rPr>
        <w:t>11</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"_Toc226239047" </w:instrText>
      </w:r>
      <w:r>
        <w:rPr/>
        <w:fldChar w:fldCharType="separate"/>
      </w:r>
      <w:r>
        <w:rPr>
          <w:rStyle w:val="style85"/>
          <w:noProof/>
        </w:rPr>
        <w:t>Table 3: Toyota Motors' ROE (Toyota Motors, 2024)</w:t>
      </w:r>
      <w:r>
        <w:rPr>
          <w:noProof/>
          <w:webHidden/>
        </w:rPr>
        <w:tab/>
      </w:r>
      <w:r>
        <w:rPr>
          <w:noProof/>
          <w:webHidden/>
        </w:rPr>
        <w:fldChar w:fldCharType="begin"/>
      </w:r>
      <w:r>
        <w:rPr>
          <w:noProof/>
          <w:webHidden/>
        </w:rPr>
        <w:instrText xml:space="preserve"> PAGEREF _Toc226239047 \h </w:instrText>
      </w:r>
      <w:r>
        <w:rPr>
          <w:noProof/>
          <w:webHidden/>
        </w:rPr>
        <w:fldChar w:fldCharType="separate"/>
      </w:r>
      <w:r>
        <w:rPr>
          <w:noProof/>
          <w:webHidden/>
        </w:rPr>
        <w:t>13</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"_Toc226239048" </w:instrText>
      </w:r>
      <w:r>
        <w:rPr/>
        <w:fldChar w:fldCharType="separate"/>
      </w:r>
      <w:r>
        <w:rPr>
          <w:rStyle w:val="style85"/>
          <w:noProof/>
        </w:rPr>
        <w:t>Table 4: Toyota Motors' ROA (Toyota Motors, 2024)</w:t>
      </w:r>
      <w:r>
        <w:rPr>
          <w:noProof/>
          <w:webHidden/>
        </w:rPr>
        <w:tab/>
      </w:r>
      <w:r>
        <w:rPr>
          <w:noProof/>
          <w:webHidden/>
        </w:rPr>
        <w:fldChar w:fldCharType="begin"/>
      </w:r>
      <w:r>
        <w:rPr>
          <w:noProof/>
          <w:webHidden/>
        </w:rPr>
        <w:instrText xml:space="preserve"> PAGEREF _Toc226239048 \h </w:instrText>
      </w:r>
      <w:r>
        <w:rPr>
          <w:noProof/>
          <w:webHidden/>
        </w:rPr>
        <w:fldChar w:fldCharType="separate"/>
      </w:r>
      <w:r>
        <w:rPr>
          <w:noProof/>
          <w:webHidden/>
        </w:rPr>
        <w:t>13</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"_Toc226239049" </w:instrText>
      </w:r>
      <w:r>
        <w:rPr/>
        <w:fldChar w:fldCharType="separate"/>
      </w:r>
      <w:r>
        <w:rPr>
          <w:rStyle w:val="style85"/>
          <w:noProof/>
        </w:rPr>
        <w:t>Table 5: Toyota Motors' Current Ratio (Toyota Motors, 2024)</w:t>
      </w:r>
      <w:r>
        <w:rPr>
          <w:noProof/>
          <w:webHidden/>
        </w:rPr>
        <w:tab/>
      </w:r>
      <w:r>
        <w:rPr>
          <w:noProof/>
          <w:webHidden/>
        </w:rPr>
        <w:fldChar w:fldCharType="begin"/>
      </w:r>
      <w:r>
        <w:rPr>
          <w:noProof/>
          <w:webHidden/>
        </w:rPr>
        <w:instrText xml:space="preserve"> PAGEREF _Toc226239049 \h </w:instrText>
      </w:r>
      <w:r>
        <w:rPr>
          <w:noProof/>
          <w:webHidden/>
        </w:rPr>
        <w:fldChar w:fldCharType="separate"/>
      </w:r>
      <w:r>
        <w:rPr>
          <w:noProof/>
          <w:webHidden/>
        </w:rPr>
        <w:t>15</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"_Toc226239050" </w:instrText>
      </w:r>
      <w:r>
        <w:rPr/>
        <w:fldChar w:fldCharType="separate"/>
      </w:r>
      <w:r>
        <w:rPr>
          <w:rStyle w:val="style85"/>
          <w:noProof/>
        </w:rPr>
        <w:t>Table 6: Toyota Motors' Quick Ratio (Toyota Motors, 2024)</w:t>
      </w:r>
      <w:r>
        <w:rPr>
          <w:noProof/>
          <w:webHidden/>
        </w:rPr>
        <w:tab/>
      </w:r>
      <w:r>
        <w:rPr>
          <w:noProof/>
          <w:webHidden/>
        </w:rPr>
        <w:fldChar w:fldCharType="begin"/>
      </w:r>
      <w:r>
        <w:rPr>
          <w:noProof/>
          <w:webHidden/>
        </w:rPr>
        <w:instrText xml:space="preserve"> PAGEREF _Toc226239050 \h </w:instrText>
      </w:r>
      <w:r>
        <w:rPr>
          <w:noProof/>
          <w:webHidden/>
        </w:rPr>
        <w:fldChar w:fldCharType="separate"/>
      </w:r>
      <w:r>
        <w:rPr>
          <w:noProof/>
          <w:webHidden/>
        </w:rPr>
        <w:t>16</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"_Toc226239051" </w:instrText>
      </w:r>
      <w:r>
        <w:rPr/>
        <w:fldChar w:fldCharType="separate"/>
      </w:r>
      <w:r>
        <w:rPr>
          <w:rStyle w:val="style85"/>
          <w:noProof/>
        </w:rPr>
        <w:t>Table 7: Toyota Motors' Inventory Turnover (Toyota Motors, 2024)</w:t>
      </w:r>
      <w:r>
        <w:rPr>
          <w:noProof/>
          <w:webHidden/>
        </w:rPr>
        <w:tab/>
      </w:r>
      <w:r>
        <w:rPr>
          <w:noProof/>
          <w:webHidden/>
        </w:rPr>
        <w:fldChar w:fldCharType="begin"/>
      </w:r>
      <w:r>
        <w:rPr>
          <w:noProof/>
          <w:webHidden/>
        </w:rPr>
        <w:instrText xml:space="preserve"> PAGEREF _Toc226239051 \h </w:instrText>
      </w:r>
      <w:r>
        <w:rPr>
          <w:noProof/>
          <w:webHidden/>
        </w:rPr>
        <w:fldChar w:fldCharType="separate"/>
      </w:r>
      <w:r>
        <w:rPr>
          <w:noProof/>
          <w:webHidden/>
        </w:rPr>
        <w:t>17</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"_Toc226239052" </w:instrText>
      </w:r>
      <w:r>
        <w:rPr/>
        <w:fldChar w:fldCharType="separate"/>
      </w:r>
      <w:r>
        <w:rPr>
          <w:rStyle w:val="style85"/>
          <w:noProof/>
        </w:rPr>
        <w:t>Table 8: Toyota Motors' Total Asset Turnover (Toyota Motors, 2024)</w:t>
      </w:r>
      <w:r>
        <w:rPr>
          <w:noProof/>
          <w:webHidden/>
        </w:rPr>
        <w:tab/>
      </w:r>
      <w:r>
        <w:rPr>
          <w:noProof/>
          <w:webHidden/>
        </w:rPr>
        <w:fldChar w:fldCharType="begin"/>
      </w:r>
      <w:r>
        <w:rPr>
          <w:noProof/>
          <w:webHidden/>
        </w:rPr>
        <w:instrText xml:space="preserve"> PAGEREF _Toc226239052 \h </w:instrText>
      </w:r>
      <w:r>
        <w:rPr>
          <w:noProof/>
          <w:webHidden/>
        </w:rPr>
        <w:fldChar w:fldCharType="separate"/>
      </w:r>
      <w:r>
        <w:rPr>
          <w:noProof/>
          <w:webHidden/>
        </w:rPr>
        <w:t>18</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"_Toc226239053" </w:instrText>
      </w:r>
      <w:r>
        <w:rPr/>
        <w:fldChar w:fldCharType="separate"/>
      </w:r>
      <w:r>
        <w:rPr>
          <w:rStyle w:val="style85"/>
          <w:noProof/>
        </w:rPr>
        <w:t>Table 9: Toyota Motors' Debt-to-Equity Ratio (Toyota Motors, 2024)</w:t>
      </w:r>
      <w:r>
        <w:rPr>
          <w:noProof/>
          <w:webHidden/>
        </w:rPr>
        <w:tab/>
      </w:r>
      <w:r>
        <w:rPr>
          <w:noProof/>
          <w:webHidden/>
        </w:rPr>
        <w:fldChar w:fldCharType="begin"/>
      </w:r>
      <w:r>
        <w:rPr>
          <w:noProof/>
          <w:webHidden/>
        </w:rPr>
        <w:instrText xml:space="preserve"> PAGEREF _Toc226239053 \h </w:instrText>
      </w:r>
      <w:r>
        <w:rPr>
          <w:noProof/>
          <w:webHidden/>
        </w:rPr>
        <w:fldChar w:fldCharType="separate"/>
      </w:r>
      <w:r>
        <w:rPr>
          <w:noProof/>
          <w:webHidden/>
        </w:rPr>
        <w:t>20</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"_Toc226239054" </w:instrText>
      </w:r>
      <w:r>
        <w:rPr/>
        <w:fldChar w:fldCharType="separate"/>
      </w:r>
      <w:r>
        <w:rPr>
          <w:rStyle w:val="style85"/>
          <w:noProof/>
        </w:rPr>
        <w:t>Table 10: Toyota Motors' Interest Coverage Ratio (Toyota Motors, 2024)</w:t>
      </w:r>
      <w:r>
        <w:rPr>
          <w:noProof/>
          <w:webHidden/>
        </w:rPr>
        <w:tab/>
      </w:r>
      <w:r>
        <w:rPr>
          <w:noProof/>
          <w:webHidden/>
        </w:rPr>
        <w:fldChar w:fldCharType="begin"/>
      </w:r>
      <w:r>
        <w:rPr>
          <w:noProof/>
          <w:webHidden/>
        </w:rPr>
        <w:instrText xml:space="preserve"> PAGEREF _Toc226239054 \h </w:instrText>
      </w:r>
      <w:r>
        <w:rPr>
          <w:noProof/>
          <w:webHidden/>
        </w:rPr>
        <w:fldChar w:fldCharType="separate"/>
      </w:r>
      <w:r>
        <w:rPr>
          <w:noProof/>
          <w:webHidden/>
        </w:rPr>
        <w:t>20</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"_Toc226239055" </w:instrText>
      </w:r>
      <w:r>
        <w:rPr/>
        <w:fldChar w:fldCharType="separate"/>
      </w:r>
      <w:r>
        <w:rPr>
          <w:rStyle w:val="style85"/>
          <w:noProof/>
        </w:rPr>
        <w:t>Table 11: Toyota Motors' EPS (Toyota Motors, 2024)</w:t>
      </w:r>
      <w:r>
        <w:rPr>
          <w:noProof/>
          <w:webHidden/>
        </w:rPr>
        <w:tab/>
      </w:r>
      <w:r>
        <w:rPr>
          <w:noProof/>
          <w:webHidden/>
        </w:rPr>
        <w:fldChar w:fldCharType="begin"/>
      </w:r>
      <w:r>
        <w:rPr>
          <w:noProof/>
          <w:webHidden/>
        </w:rPr>
        <w:instrText xml:space="preserve"> PAGEREF _Toc226239055 \h </w:instrText>
      </w:r>
      <w:r>
        <w:rPr>
          <w:noProof/>
          <w:webHidden/>
        </w:rPr>
        <w:fldChar w:fldCharType="separate"/>
      </w:r>
      <w:r>
        <w:rPr>
          <w:noProof/>
          <w:webHidden/>
        </w:rPr>
        <w:t>21</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"_Toc226239056" </w:instrText>
      </w:r>
      <w:r>
        <w:rPr/>
        <w:fldChar w:fldCharType="separate"/>
      </w:r>
      <w:r>
        <w:rPr>
          <w:rStyle w:val="style85"/>
          <w:noProof/>
        </w:rPr>
        <w:t>Table 12: Toyota Motors' Dividend Payout Ratio (Toyota Motors, 2024)</w:t>
      </w:r>
      <w:r>
        <w:rPr>
          <w:noProof/>
          <w:webHidden/>
        </w:rPr>
        <w:tab/>
      </w:r>
      <w:r>
        <w:rPr>
          <w:noProof/>
          <w:webHidden/>
        </w:rPr>
        <w:fldChar w:fldCharType="begin"/>
      </w:r>
      <w:r>
        <w:rPr>
          <w:noProof/>
          <w:webHidden/>
        </w:rPr>
        <w:instrText xml:space="preserve"> PAGEREF _Toc226239056 \h </w:instrText>
      </w:r>
      <w:r>
        <w:rPr>
          <w:noProof/>
          <w:webHidden/>
        </w:rPr>
        <w:fldChar w:fldCharType="separate"/>
      </w:r>
      <w:r>
        <w:rPr>
          <w:noProof/>
          <w:webHidden/>
        </w:rPr>
        <w:t>23</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"_Toc226239057" </w:instrText>
      </w:r>
      <w:r>
        <w:rPr/>
        <w:fldChar w:fldCharType="separate"/>
      </w:r>
      <w:r>
        <w:rPr>
          <w:rStyle w:val="style85"/>
          <w:noProof/>
        </w:rPr>
        <w:t>Table 13: Toyota Motors' CCC (Toyota Motors, 2024)</w:t>
      </w:r>
      <w:r>
        <w:rPr>
          <w:noProof/>
          <w:webHidden/>
        </w:rPr>
        <w:tab/>
      </w:r>
      <w:r>
        <w:rPr>
          <w:noProof/>
          <w:webHidden/>
        </w:rPr>
        <w:fldChar w:fldCharType="begin"/>
      </w:r>
      <w:r>
        <w:rPr>
          <w:noProof/>
          <w:webHidden/>
        </w:rPr>
        <w:instrText xml:space="preserve"> PAGEREF _Toc226239057 \h </w:instrText>
      </w:r>
      <w:r>
        <w:rPr>
          <w:noProof/>
          <w:webHidden/>
        </w:rPr>
        <w:fldChar w:fldCharType="separate"/>
      </w:r>
      <w:r>
        <w:rPr>
          <w:noProof/>
          <w:webHidden/>
        </w:rPr>
        <w:t>24</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"_Toc226239058" </w:instrText>
      </w:r>
      <w:r>
        <w:rPr/>
        <w:fldChar w:fldCharType="separate"/>
      </w:r>
      <w:r>
        <w:rPr>
          <w:rStyle w:val="style85"/>
          <w:noProof/>
        </w:rPr>
        <w:t>Table 14: Issues Identified with Toyota Long-term Growth (Toyota Motors, 2024)</w:t>
      </w:r>
      <w:r>
        <w:rPr>
          <w:noProof/>
          <w:webHidden/>
        </w:rPr>
        <w:tab/>
      </w:r>
      <w:r>
        <w:rPr>
          <w:noProof/>
          <w:webHidden/>
        </w:rPr>
        <w:fldChar w:fldCharType="begin"/>
      </w:r>
      <w:r>
        <w:rPr>
          <w:noProof/>
          <w:webHidden/>
        </w:rPr>
        <w:instrText xml:space="preserve"> PAGEREF _Toc226239058 \h </w:instrText>
      </w:r>
      <w:r>
        <w:rPr>
          <w:noProof/>
          <w:webHidden/>
        </w:rPr>
        <w:fldChar w:fldCharType="separate"/>
      </w:r>
      <w:r>
        <w:rPr>
          <w:noProof/>
          <w:webHidden/>
        </w:rPr>
        <w:t>27</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"_Toc226239059" </w:instrText>
      </w:r>
      <w:r>
        <w:rPr/>
        <w:fldChar w:fldCharType="separate"/>
      </w:r>
      <w:r>
        <w:rPr>
          <w:rStyle w:val="style85"/>
          <w:noProof/>
        </w:rPr>
        <w:t>Table 15: Strategic Restructuring Options for Toyota (Author)</w:t>
      </w:r>
      <w:r>
        <w:rPr>
          <w:noProof/>
          <w:webHidden/>
        </w:rPr>
        <w:tab/>
      </w:r>
      <w:r>
        <w:rPr>
          <w:noProof/>
          <w:webHidden/>
        </w:rPr>
        <w:fldChar w:fldCharType="begin"/>
      </w:r>
      <w:r>
        <w:rPr>
          <w:noProof/>
          <w:webHidden/>
        </w:rPr>
        <w:instrText xml:space="preserve"> PAGEREF _Toc226239059 \h </w:instrText>
      </w:r>
      <w:r>
        <w:rPr>
          <w:noProof/>
          <w:webHidden/>
        </w:rPr>
        <w:fldChar w:fldCharType="separate"/>
      </w:r>
      <w:r>
        <w:rPr>
          <w:noProof/>
          <w:webHidden/>
        </w:rPr>
        <w:t>28</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"_Toc226239060" </w:instrText>
      </w:r>
      <w:r>
        <w:rPr/>
        <w:fldChar w:fldCharType="separate"/>
      </w:r>
      <w:r>
        <w:rPr>
          <w:rStyle w:val="style85"/>
          <w:noProof/>
        </w:rPr>
        <w:t>Table 16: Restructuring Plan for Toyota (Author)</w:t>
      </w:r>
      <w:r>
        <w:rPr>
          <w:noProof/>
          <w:webHidden/>
        </w:rPr>
        <w:tab/>
      </w:r>
      <w:r>
        <w:rPr>
          <w:noProof/>
          <w:webHidden/>
        </w:rPr>
        <w:fldChar w:fldCharType="begin"/>
      </w:r>
      <w:r>
        <w:rPr>
          <w:noProof/>
          <w:webHidden/>
        </w:rPr>
        <w:instrText xml:space="preserve"> PAGEREF _Toc226239060 \h </w:instrText>
      </w:r>
      <w:r>
        <w:rPr>
          <w:noProof/>
          <w:webHidden/>
        </w:rPr>
        <w:fldChar w:fldCharType="separate"/>
      </w:r>
      <w:r>
        <w:rPr>
          <w:noProof/>
          <w:webHidden/>
        </w:rPr>
        <w:t>29</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"_Toc226239061" </w:instrText>
      </w:r>
      <w:r>
        <w:rPr/>
        <w:fldChar w:fldCharType="separate"/>
      </w:r>
      <w:r>
        <w:rPr>
          <w:rStyle w:val="style85"/>
          <w:noProof/>
        </w:rPr>
        <w:t>Table 17: Projects Payback period (Author)</w:t>
      </w:r>
      <w:r>
        <w:rPr>
          <w:noProof/>
          <w:webHidden/>
        </w:rPr>
        <w:tab/>
      </w:r>
      <w:r>
        <w:rPr>
          <w:noProof/>
          <w:webHidden/>
        </w:rPr>
        <w:fldChar w:fldCharType="begin"/>
      </w:r>
      <w:r>
        <w:rPr>
          <w:noProof/>
          <w:webHidden/>
        </w:rPr>
        <w:instrText xml:space="preserve"> PAGEREF _Toc226239061 \h </w:instrText>
      </w:r>
      <w:r>
        <w:rPr>
          <w:noProof/>
          <w:webHidden/>
        </w:rPr>
        <w:fldChar w:fldCharType="separate"/>
      </w:r>
      <w:r>
        <w:rPr>
          <w:noProof/>
          <w:webHidden/>
        </w:rPr>
        <w:t>31</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"_Toc226239062" </w:instrText>
      </w:r>
      <w:r>
        <w:rPr/>
        <w:fldChar w:fldCharType="separate"/>
      </w:r>
      <w:r>
        <w:rPr>
          <w:rStyle w:val="style85"/>
          <w:noProof/>
        </w:rPr>
        <w:t>Table 18: ARR for Projects (Author)</w:t>
      </w:r>
      <w:r>
        <w:rPr>
          <w:noProof/>
          <w:webHidden/>
        </w:rPr>
        <w:tab/>
      </w:r>
      <w:r>
        <w:rPr>
          <w:noProof/>
          <w:webHidden/>
        </w:rPr>
        <w:fldChar w:fldCharType="begin"/>
      </w:r>
      <w:r>
        <w:rPr>
          <w:noProof/>
          <w:webHidden/>
        </w:rPr>
        <w:instrText xml:space="preserve"> PAGEREF _Toc226239062 \h </w:instrText>
      </w:r>
      <w:r>
        <w:rPr>
          <w:noProof/>
          <w:webHidden/>
        </w:rPr>
        <w:fldChar w:fldCharType="separate"/>
      </w:r>
      <w:r>
        <w:rPr>
          <w:noProof/>
          <w:webHidden/>
        </w:rPr>
        <w:t>32</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"_Toc226239063" </w:instrText>
      </w:r>
      <w:r>
        <w:rPr/>
        <w:fldChar w:fldCharType="separate"/>
      </w:r>
      <w:r>
        <w:rPr>
          <w:rStyle w:val="style85"/>
          <w:noProof/>
        </w:rPr>
        <w:t>Table 19: Discount Factors Over Years (Author)</w:t>
      </w:r>
      <w:r>
        <w:rPr>
          <w:noProof/>
          <w:webHidden/>
        </w:rPr>
        <w:tab/>
      </w:r>
      <w:r>
        <w:rPr>
          <w:noProof/>
          <w:webHidden/>
        </w:rPr>
        <w:fldChar w:fldCharType="begin"/>
      </w:r>
      <w:r>
        <w:rPr>
          <w:noProof/>
          <w:webHidden/>
        </w:rPr>
        <w:instrText xml:space="preserve"> PAGEREF _Toc226239063 \h </w:instrText>
      </w:r>
      <w:r>
        <w:rPr>
          <w:noProof/>
          <w:webHidden/>
        </w:rPr>
        <w:fldChar w:fldCharType="separate"/>
      </w:r>
      <w:r>
        <w:rPr>
          <w:noProof/>
          <w:webHidden/>
        </w:rPr>
        <w:t>33</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"_Toc226239064" </w:instrText>
      </w:r>
      <w:r>
        <w:rPr/>
        <w:fldChar w:fldCharType="separate"/>
      </w:r>
      <w:r>
        <w:rPr>
          <w:rStyle w:val="style85"/>
          <w:noProof/>
        </w:rPr>
        <w:t>Table 20: NPV for Projects (Author)</w:t>
      </w:r>
      <w:r>
        <w:rPr>
          <w:noProof/>
          <w:webHidden/>
        </w:rPr>
        <w:tab/>
      </w:r>
      <w:r>
        <w:rPr>
          <w:noProof/>
          <w:webHidden/>
        </w:rPr>
        <w:fldChar w:fldCharType="begin"/>
      </w:r>
      <w:r>
        <w:rPr>
          <w:noProof/>
          <w:webHidden/>
        </w:rPr>
        <w:instrText xml:space="preserve"> PAGEREF _Toc226239064 \h </w:instrText>
      </w:r>
      <w:r>
        <w:rPr>
          <w:noProof/>
          <w:webHidden/>
        </w:rPr>
        <w:fldChar w:fldCharType="separate"/>
      </w:r>
      <w:r>
        <w:rPr>
          <w:noProof/>
          <w:webHidden/>
        </w:rPr>
        <w:t>33</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"_Toc226239065" </w:instrText>
      </w:r>
      <w:r>
        <w:rPr/>
        <w:fldChar w:fldCharType="separate"/>
      </w:r>
      <w:r>
        <w:rPr>
          <w:rStyle w:val="style85"/>
          <w:noProof/>
        </w:rPr>
        <w:t>Table 21: IRR For Projects (Author)</w:t>
      </w:r>
      <w:r>
        <w:rPr>
          <w:noProof/>
          <w:webHidden/>
        </w:rPr>
        <w:tab/>
      </w:r>
      <w:r>
        <w:rPr>
          <w:noProof/>
          <w:webHidden/>
        </w:rPr>
        <w:fldChar w:fldCharType="begin"/>
      </w:r>
      <w:r>
        <w:rPr>
          <w:noProof/>
          <w:webHidden/>
        </w:rPr>
        <w:instrText xml:space="preserve"> PAGEREF _Toc226239065 \h </w:instrText>
      </w:r>
      <w:r>
        <w:rPr>
          <w:noProof/>
          <w:webHidden/>
        </w:rPr>
        <w:fldChar w:fldCharType="separate"/>
      </w:r>
      <w:r>
        <w:rPr>
          <w:noProof/>
          <w:webHidden/>
        </w:rPr>
        <w:t>34</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"_Toc226239066" </w:instrText>
      </w:r>
      <w:r>
        <w:rPr/>
        <w:fldChar w:fldCharType="separate"/>
      </w:r>
      <w:r>
        <w:rPr>
          <w:rStyle w:val="style85"/>
          <w:noProof/>
        </w:rPr>
        <w:t>Table 22: PI for Projects (Author)</w:t>
      </w:r>
      <w:r>
        <w:rPr>
          <w:noProof/>
          <w:webHidden/>
        </w:rPr>
        <w:tab/>
      </w:r>
      <w:r>
        <w:rPr>
          <w:noProof/>
          <w:webHidden/>
        </w:rPr>
        <w:fldChar w:fldCharType="begin"/>
      </w:r>
      <w:r>
        <w:rPr>
          <w:noProof/>
          <w:webHidden/>
        </w:rPr>
        <w:instrText xml:space="preserve"> PAGEREF _Toc226239066 \h </w:instrText>
      </w:r>
      <w:r>
        <w:rPr>
          <w:noProof/>
          <w:webHidden/>
        </w:rPr>
        <w:fldChar w:fldCharType="separate"/>
      </w:r>
      <w:r>
        <w:rPr>
          <w:noProof/>
          <w:webHidden/>
        </w:rPr>
        <w:t>34</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"_Toc226239067" </w:instrText>
      </w:r>
      <w:r>
        <w:rPr/>
        <w:fldChar w:fldCharType="separate"/>
      </w:r>
      <w:r>
        <w:rPr>
          <w:rStyle w:val="style85"/>
          <w:noProof/>
        </w:rPr>
        <w:t>Table 23: Project Comparison (Author)</w:t>
      </w:r>
      <w:r>
        <w:rPr>
          <w:noProof/>
          <w:webHidden/>
        </w:rPr>
        <w:tab/>
      </w:r>
      <w:r>
        <w:rPr>
          <w:noProof/>
          <w:webHidden/>
        </w:rPr>
        <w:fldChar w:fldCharType="begin"/>
      </w:r>
      <w:r>
        <w:rPr>
          <w:noProof/>
          <w:webHidden/>
        </w:rPr>
        <w:instrText xml:space="preserve"> PAGEREF _Toc226239067 \h </w:instrText>
      </w:r>
      <w:r>
        <w:rPr>
          <w:noProof/>
          <w:webHidden/>
        </w:rPr>
        <w:fldChar w:fldCharType="separate"/>
      </w:r>
      <w:r>
        <w:rPr>
          <w:noProof/>
          <w:webHidden/>
        </w:rPr>
        <w:t>35</w:t>
      </w:r>
      <w:r>
        <w:rPr>
          <w:noProof/>
          <w:webHidden/>
        </w:rPr>
        <w:fldChar w:fldCharType="end"/>
      </w:r>
      <w:r>
        <w:rPr/>
        <w:fldChar w:fldCharType="end"/>
      </w:r>
    </w:p>
    <w:p>
      <w:pPr>
        <w:pStyle w:val="style35"/>
        <w:tabs>
          <w:tab w:val="right" w:leader="dot" w:pos="9350"/>
        </w:tabs>
        <w:rPr>
          <w:rFonts w:ascii="Calibri" w:eastAsia="宋体" w:hAnsi="Calibri"/>
          <w:noProof/>
          <w:kern w:val="2"/>
          <w:szCs w:val="24"/>
          <w:lang w:eastAsia="en-GB"/>
        </w:rPr>
      </w:pPr>
      <w:r>
        <w:rPr/>
        <w:fldChar w:fldCharType="begin"/>
      </w:r>
      <w:r>
        <w:instrText xml:space="preserve"> HYPERLINK \l "_Toc226239068" </w:instrText>
      </w:r>
      <w:r>
        <w:rPr/>
        <w:fldChar w:fldCharType="separate"/>
      </w:r>
      <w:r>
        <w:rPr>
          <w:rStyle w:val="style85"/>
          <w:noProof/>
        </w:rPr>
        <w:t>Table 24: Project Combinations (Author)</w:t>
      </w:r>
      <w:r>
        <w:rPr>
          <w:noProof/>
          <w:webHidden/>
        </w:rPr>
        <w:tab/>
      </w:r>
      <w:r>
        <w:rPr>
          <w:noProof/>
          <w:webHidden/>
        </w:rPr>
        <w:fldChar w:fldCharType="begin"/>
      </w:r>
      <w:r>
        <w:rPr>
          <w:noProof/>
          <w:webHidden/>
        </w:rPr>
        <w:instrText xml:space="preserve"> PAGEREF _Toc226239068 \h </w:instrText>
      </w:r>
      <w:r>
        <w:rPr>
          <w:noProof/>
          <w:webHidden/>
        </w:rPr>
        <w:fldChar w:fldCharType="separate"/>
      </w:r>
      <w:r>
        <w:rPr>
          <w:noProof/>
          <w:webHidden/>
        </w:rPr>
        <w:t>37</w:t>
      </w:r>
      <w:r>
        <w:rPr>
          <w:noProof/>
          <w:webHidden/>
        </w:rPr>
        <w:fldChar w:fldCharType="end"/>
      </w:r>
      <w:r>
        <w:rPr/>
        <w:fldChar w:fldCharType="end"/>
      </w:r>
    </w:p>
    <w:p>
      <w:pPr>
        <w:pStyle w:val="style0"/>
        <w:rPr>
          <w:b/>
          <w:bCs/>
        </w:rPr>
      </w:pPr>
      <w:r>
        <w:rPr>
          <w:b/>
          <w:bCs/>
        </w:rPr>
        <w:fldChar w:fldCharType="end"/>
      </w:r>
    </w:p>
    <w:p>
      <w:pPr>
        <w:pStyle w:val="style0"/>
        <w:rPr>
          <w:b/>
        </w:rPr>
      </w:pPr>
      <w:r>
        <w:br w:type="page"/>
      </w:r>
    </w:p>
    <w:bookmarkStart w:id="0" w:name="_Toc226239069"/>
    <w:p>
      <w:pPr>
        <w:pStyle w:val="style1"/>
        <w:rPr/>
      </w:pPr>
      <w:r>
        <w:t>Introduction</w:t>
      </w:r>
      <w:bookmarkEnd w:id="0"/>
    </w:p>
    <w:p>
      <w:pPr>
        <w:pStyle w:val="style0"/>
        <w:rPr/>
      </w:pPr>
      <w:r>
        <w:t>The largest automotive manufacturer in the world Toyota Motor Corporation has a high level of global competitiveness due to its hybrid-based and a changing electric vehicle (EV) strategy. In 2024, the company has recorded the highest revenues of about ¥45.1 trillion and net income of ¥4.94 trillion, indicating a high growth as a result of global demand and favourable currency movements (Toyota Motors, 2024).</w:t>
      </w:r>
    </w:p>
    <w:p>
      <w:pPr>
        <w:pStyle w:val="style0"/>
        <w:rPr/>
      </w:pPr>
      <w:r>
        <w:rPr>
          <w:noProof/>
        </w:rPr>
        <w:drawing>
          <wp:inline distL="0" distT="0" distB="0" distR="0">
            <wp:extent cx="5454930" cy="4083260"/>
            <wp:effectExtent l="0" t="0" r="0" b="0"/>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5454930" cy="4083260"/>
                    </a:xfrm>
                    <a:prstGeom prst="rect"/>
                  </pic:spPr>
                </pic:pic>
              </a:graphicData>
            </a:graphic>
          </wp:inline>
        </w:drawing>
      </w:r>
    </w:p>
    <w:bookmarkStart w:id="1" w:name="_Toc226239038"/>
    <w:p>
      <w:pPr>
        <w:pStyle w:val="style34"/>
        <w:rPr/>
      </w:pPr>
      <w:r>
        <w:t xml:space="preserve">Figure </w:t>
      </w:r>
      <w:r>
        <w:rPr/>
        <w:fldChar w:fldCharType="begin"/>
      </w:r>
      <w:r>
        <w:instrText xml:space="preserve"> SEQ Figure \* ARABIC </w:instrText>
      </w:r>
      <w:r>
        <w:rPr/>
        <w:fldChar w:fldCharType="separate"/>
      </w:r>
      <w:r>
        <w:rPr>
          <w:noProof/>
        </w:rPr>
        <w:t>1</w:t>
      </w:r>
      <w:r>
        <w:rPr>
          <w:noProof/>
        </w:rPr>
        <w:fldChar w:fldCharType="end"/>
      </w:r>
      <w:r>
        <w:t xml:space="preserve">: Toyota Financial Performance </w:t>
      </w:r>
      <w:r>
        <w:t>(Toyota Motors, 2024)</w:t>
      </w:r>
      <w:bookmarkEnd w:id="1"/>
    </w:p>
    <w:p>
      <w:pPr>
        <w:pStyle w:val="style0"/>
        <w:rPr/>
      </w:pPr>
      <w:r>
        <w:t>This report critically assesses financial performance of Toyota from 2020-2024 through financial statements as Chief Financial Officer and highlights the main strengths, risks, and strategic priorities of the company and then proceeds to analyse the working capital, the decision about the restructuring, and the decision to invest in the context of industry electrification.</w:t>
      </w:r>
    </w:p>
    <w:bookmarkStart w:id="2" w:name="_Toc226239070"/>
    <w:p>
      <w:pPr>
        <w:pStyle w:val="style1"/>
        <w:rPr/>
      </w:pPr>
      <w:r>
        <w:t>Financial Health Check</w:t>
      </w:r>
      <w:bookmarkEnd w:id="2"/>
    </w:p>
    <w:bookmarkStart w:id="3" w:name="_Toc226239071"/>
    <w:p>
      <w:pPr>
        <w:pStyle w:val="style2"/>
        <w:rPr/>
      </w:pPr>
      <w:r>
        <w:t>Ratio Analysis Framework</w:t>
      </w:r>
      <w:bookmarkEnd w:id="3"/>
    </w:p>
    <w:p>
      <w:pPr>
        <w:pStyle w:val="style0"/>
        <w:rPr/>
      </w:pPr>
      <w:r>
        <w:t>Ratio analysis is a financial analysis method which is applied to determine the performance of a company by evaluating the financial statements (Zhang et al., 2025). Brigham and Ehrhardt state that ratios assist in assessing profitability, liquidity, efficiency, gearing, as well as investment performance to aid managerial decision making (Kanaan et al., 2023). Ratio analysis is very significant to Toyota Motor Corporation as the company is in a capital intensive global automotive market and is in the process of switching to hybrid and electric vehicles which are very costly. The analysis of Toyota financial data of 2020-2024 provides this section with the identification of the main trends, strengths, weaknesses, and risks, providing a deeper insight into the financial health and strategic position of Toyota.</w:t>
      </w:r>
    </w:p>
    <w:bookmarkStart w:id="4" w:name="_Toc226239072"/>
    <w:p>
      <w:pPr>
        <w:pStyle w:val="style2"/>
        <w:rPr/>
      </w:pPr>
      <w:r>
        <w:t>Profitability Analysis</w:t>
      </w:r>
      <w:bookmarkEnd w:id="4"/>
    </w:p>
    <w:p>
      <w:pPr>
        <w:pStyle w:val="style0"/>
        <w:rPr/>
      </w:pPr>
      <w:r>
        <w:t>Profitability ratios determine how Toyota can earn a profit from its operations, assets, and funds of its shareholders. These ratios are very important to Toyota because they show how efficiently it operates, how it manages its costs, and how well the cost leadership strategy it has is working (Du, 2023).</w:t>
      </w:r>
    </w:p>
    <w:bookmarkStart w:id="5" w:name="_Toc226239073"/>
    <w:p>
      <w:pPr>
        <w:pStyle w:val="style3"/>
        <w:rPr/>
      </w:pPr>
      <w:r>
        <w:t>Operating Margin</w:t>
      </w:r>
      <w:bookmarkEnd w:id="5"/>
    </w:p>
    <w:p>
      <w:pPr>
        <w:pStyle w:val="style0"/>
        <w:rPr/>
      </w:pPr>
      <w:r>
        <w:t>Operating margin is the efficiency with which Toyota is able to make a profit on its business operations without taking into consideration the interest and tax (Gaffney &amp; Michelson, 2023). This ratio is of importance to Toyota as it demonstrates the level of control that the company has over its production and operational expenses in an extremely competitive automotive sector.</w:t>
      </w:r>
    </w:p>
    <w:p>
      <w:pPr>
        <w:pStyle w:val="style0"/>
        <w:rPr>
          <w:b/>
          <w:bCs/>
          <w:i/>
          <w:iCs/>
        </w:rPr>
      </w:pPr>
      <w:r>
        <w:rPr>
          <w:b/>
          <w:bCs/>
          <w:i/>
          <w:iCs/>
        </w:rPr>
        <w:t>Formula:</w:t>
      </w:r>
    </w:p>
    <w:p>
      <w:pPr>
        <w:pStyle w:val="style0"/>
        <w:jc w:val="center"/>
        <w:rPr/>
      </w:pPr>
      <w:r>
        <w:rPr>
          <w:noProof/>
        </w:rPr>
        <w:drawing>
          <wp:inline distL="0" distT="0" distB="0" distR="0">
            <wp:extent cx="3130711" cy="673135"/>
            <wp:effectExtent l="0" t="0" r="0" b="0"/>
            <wp:docPr id="1028"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4" cstate="print"/>
                    <a:srcRect l="0" t="0" r="0" b="0"/>
                    <a:stretch/>
                  </pic:blipFill>
                  <pic:spPr>
                    <a:xfrm rot="0">
                      <a:off x="0" y="0"/>
                      <a:ext cx="3130711" cy="673135"/>
                    </a:xfrm>
                    <a:prstGeom prst="rect"/>
                  </pic:spPr>
                </pic:pic>
              </a:graphicData>
            </a:graphic>
          </wp:inline>
        </w:drawing>
      </w:r>
    </w:p>
    <w:p>
      <w:pPr>
        <w:pStyle w:val="style0"/>
        <w:rPr>
          <w:rFonts w:eastAsia="宋体"/>
        </w:rPr>
      </w:pPr>
      <w:r>
        <w:rPr>
          <w:rFonts w:eastAsia="宋体"/>
          <w:noProof/>
        </w:rPr>
        <w:drawing>
          <wp:inline distL="0" distT="0" distB="0" distR="0">
            <wp:extent cx="5454930" cy="2101958"/>
            <wp:effectExtent l="0" t="0" r="0" b="0"/>
            <wp:docPr id="1029"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5" cstate="print"/>
                    <a:srcRect l="0" t="0" r="0" b="0"/>
                    <a:stretch/>
                  </pic:blipFill>
                  <pic:spPr>
                    <a:xfrm rot="0">
                      <a:off x="0" y="0"/>
                      <a:ext cx="5454930" cy="2101958"/>
                    </a:xfrm>
                    <a:prstGeom prst="rect"/>
                  </pic:spPr>
                </pic:pic>
              </a:graphicData>
            </a:graphic>
          </wp:inline>
        </w:drawing>
      </w:r>
    </w:p>
    <w:bookmarkStart w:id="6" w:name="_Toc226239045"/>
    <w:p>
      <w:pPr>
        <w:pStyle w:val="style34"/>
        <w:rPr/>
      </w:pPr>
      <w:r>
        <w:t xml:space="preserve">Table </w:t>
      </w:r>
      <w:r>
        <w:rPr/>
        <w:fldChar w:fldCharType="begin"/>
      </w:r>
      <w:r>
        <w:instrText xml:space="preserve"> SEQ Table \* ARABIC </w:instrText>
      </w:r>
      <w:r>
        <w:rPr/>
        <w:fldChar w:fldCharType="separate"/>
      </w:r>
      <w:r>
        <w:rPr>
          <w:noProof/>
        </w:rPr>
        <w:t>1</w:t>
      </w:r>
      <w:r>
        <w:rPr>
          <w:noProof/>
        </w:rPr>
        <w:fldChar w:fldCharType="end"/>
      </w:r>
      <w:r>
        <w:t xml:space="preserve">: Toyota Motors' Operating Margins </w:t>
      </w:r>
      <w:r>
        <w:t>(Toyota Motors, 2024)</w:t>
      </w:r>
      <w:bookmarkEnd w:id="6"/>
    </w:p>
    <w:p>
      <w:pPr>
        <w:pStyle w:val="style0"/>
        <w:rPr/>
      </w:pPr>
      <w:r>
        <w:rPr>
          <w:noProof/>
        </w:rPr>
      </w:r>
      <w:r>
        <w:rPr>
          <w:noProof/>
        </w:rPr>
      </w:r>
      <w:r>
        <w:rPr>
          <w:noProof/>
        </w:rPr>
      </w:r>
      <w:r>
        <w:rPr>
          <w:noProof/>
        </w:rPr>
        <w:drawing>
          <wp:inline distL="114300" distT="0" distB="0" distR="114300">
            <wp:extent cx="4572000" cy="2743200"/>
            <wp:effectExtent l="0" t="0" r="0" b="0"/>
            <wp:docPr id="1031"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Pr>
          <w:noProof/>
        </w:rPr>
      </w:r>
    </w:p>
    <w:bookmarkStart w:id="7" w:name="_Toc226239039"/>
    <w:p>
      <w:pPr>
        <w:pStyle w:val="style34"/>
        <w:rPr/>
      </w:pPr>
      <w:r>
        <w:t xml:space="preserve">Figure </w:t>
      </w:r>
      <w:r>
        <w:rPr/>
        <w:fldChar w:fldCharType="begin"/>
      </w:r>
      <w:r>
        <w:instrText xml:space="preserve"> SEQ Figure \* ARABIC </w:instrText>
      </w:r>
      <w:r>
        <w:rPr/>
        <w:fldChar w:fldCharType="separate"/>
      </w:r>
      <w:r>
        <w:rPr>
          <w:noProof/>
        </w:rPr>
        <w:t>2</w:t>
      </w:r>
      <w:r>
        <w:rPr/>
        <w:fldChar w:fldCharType="end"/>
      </w:r>
      <w:r>
        <w:t xml:space="preserve">: </w:t>
      </w:r>
      <w:r>
        <w:t>Toyota Motors' Operating Margins (Toyota Motors, 2024)</w:t>
      </w:r>
      <w:bookmarkEnd w:id="7"/>
    </w:p>
    <w:p>
      <w:pPr>
        <w:pStyle w:val="style0"/>
        <w:rPr/>
      </w:pPr>
      <w:r>
        <w:t>Toyota has a high management of its costs, as the operating margin did not decrease during COVID-19 disruptions in 2020-2021. It expanded in 2022 because production and demand recovered. However, the margin decreased in 2023 because of the increase in cost of raw materials, inflation, and supply chain disruption. In 2024, the margin has grown tremendously to 11.9%, which is a strong indicator of an improved operational performance, superior pricing policies, and the favorable effect of weaker Japanese yen (Toyota Motors, 2024). This trend indicates that Toyota possesses good cost control capabilities and helps the cost leadership strategy enabling the company to be profitable even in difficult economic climates.</w:t>
      </w:r>
    </w:p>
    <w:bookmarkStart w:id="8" w:name="_Toc226239074"/>
    <w:p>
      <w:pPr>
        <w:pStyle w:val="style3"/>
        <w:rPr/>
      </w:pPr>
      <w:r>
        <w:t>Net Profit Margin</w:t>
      </w:r>
      <w:bookmarkEnd w:id="8"/>
    </w:p>
    <w:p>
      <w:pPr>
        <w:pStyle w:val="style0"/>
        <w:rPr/>
      </w:pPr>
      <w:r>
        <w:t>The net profit margin is used to determine the overall profitability after deduction of all costs such as taxes and interest (Widiasmara et al., 2022). The ratio is significant to Toyota because it shows the ultimate profitability that can be given to the shareholders after expenses.</w:t>
      </w:r>
    </w:p>
    <w:p>
      <w:pPr>
        <w:pStyle w:val="style0"/>
        <w:rPr>
          <w:b/>
          <w:bCs/>
          <w:i/>
          <w:iCs/>
        </w:rPr>
      </w:pPr>
      <w:r>
        <w:rPr>
          <w:b/>
          <w:bCs/>
          <w:i/>
          <w:iCs/>
        </w:rPr>
        <w:t>Formula:</w:t>
      </w:r>
    </w:p>
    <w:p>
      <w:pPr>
        <w:pStyle w:val="style0"/>
        <w:jc w:val="center"/>
        <w:rPr/>
      </w:pPr>
      <w:r>
        <w:rPr>
          <w:noProof/>
        </w:rPr>
        <w:object>
          <v:shape id="1032" type="#_x0000_t75" filled="f" stroked="f" style="margin-left:0.0pt;margin-top:0.0pt;width:177.01pt;height:51.0pt;mso-wrap-distance-left:0.0pt;mso-wrap-distance-right:0.0pt;visibility:visible;">
            <w10:anchorlock/>
            <v:imagedata r:id="rId7" embosscolor="white" o:title=""/>
            <v:fill/>
          </v:shape>
          <o:OLEObject Type="EMBED" ProgID="Excel.Chart.8" ShapeID="1032" DrawAspect="Content" ObjectID="0" r:id="rId8"/>
        </w:object>
      </w:r>
    </w:p>
    <w:p>
      <w:pPr>
        <w:pStyle w:val="style0"/>
        <w:rPr/>
      </w:pPr>
      <w:r>
        <w:rPr>
          <w:noProof/>
        </w:rPr>
      </w:r>
      <w:r>
        <w:rPr>
          <w:noProof/>
        </w:rPr>
      </w:r>
      <w:r>
        <w:rPr>
          <w:noProof/>
        </w:rPr>
      </w:r>
      <w:r>
        <w:rPr>
          <w:noProof/>
        </w:rPr>
        <w:drawing>
          <wp:inline distL="114300" distT="0" distB="0" distR="114300">
            <wp:extent cx="4572000" cy="2743200"/>
            <wp:effectExtent l="0" t="0" r="0" b="0"/>
            <wp:docPr id="1034"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noProof/>
        </w:rPr>
      </w:r>
    </w:p>
    <w:p>
      <w:pPr>
        <w:pStyle w:val="style0"/>
        <w:rPr>
          <w:rFonts w:eastAsia="宋体"/>
        </w:rPr>
      </w:pPr>
      <w:r>
        <w:rPr>
          <w:rFonts w:eastAsia="宋体"/>
          <w:noProof/>
        </w:rPr>
        <w:object>
          <v:shape id="1035" type="#_x0000_t75" filled="f" stroked="f" style="margin-left:0.0pt;margin-top:0.0pt;width:429.02pt;height:150.51pt;mso-wrap-distance-left:0.0pt;mso-wrap-distance-right:0.0pt;visibility:visible;">
            <w10:anchorlock/>
            <v:imagedata r:id="rId10" embosscolor="white" o:title=""/>
            <v:fill/>
          </v:shape>
          <o:OLEObject Type="EMBED" ProgID="Excel.Chart.8" ShapeID="1035" DrawAspect="Content" ObjectID="0" r:id="rId11"/>
        </w:object>
      </w:r>
    </w:p>
    <w:bookmarkStart w:id="9" w:name="_Toc226239046"/>
    <w:p>
      <w:pPr>
        <w:pStyle w:val="style34"/>
        <w:rPr/>
      </w:pPr>
      <w:r>
        <w:t xml:space="preserve">Table </w:t>
      </w:r>
      <w:r>
        <w:rPr/>
        <w:fldChar w:fldCharType="begin"/>
      </w:r>
      <w:r>
        <w:instrText xml:space="preserve"> SEQ Table \* ARABIC </w:instrText>
      </w:r>
      <w:r>
        <w:rPr/>
        <w:fldChar w:fldCharType="separate"/>
      </w:r>
      <w:r>
        <w:rPr>
          <w:noProof/>
        </w:rPr>
        <w:t>2</w:t>
      </w:r>
      <w:r>
        <w:rPr>
          <w:noProof/>
        </w:rPr>
        <w:fldChar w:fldCharType="end"/>
      </w:r>
      <w:r>
        <w:t xml:space="preserve">: </w:t>
      </w:r>
      <w:r>
        <w:t xml:space="preserve">Toyota Motors' </w:t>
      </w:r>
      <w:r>
        <w:t>NPM</w:t>
      </w:r>
      <w:r>
        <w:t xml:space="preserve"> (Toyota Motors, 2024)</w:t>
      </w:r>
      <w:bookmarkEnd w:id="9"/>
    </w:p>
    <w:p>
      <w:pPr>
        <w:pStyle w:val="style0"/>
        <w:rPr/>
      </w:pPr>
      <w:r>
        <w:t>The net profit margin indicates that the company is more profitable and recovered better than in 2020, which is positive. However, it decreased in 2023 with the added cost and external pressure. The margin in 2024 saw a significant rise to 11.2%, with a high financial performance and better cost efficiency (Toyota Motors, 2024). This trend shows that Toyota can regain its position fast and enhance profitability by using effective management strategies.</w:t>
      </w:r>
    </w:p>
    <w:bookmarkStart w:id="10" w:name="_Toc226239075"/>
    <w:p>
      <w:pPr>
        <w:pStyle w:val="style3"/>
        <w:rPr/>
      </w:pPr>
      <w:r>
        <w:t>Return on Equity (ROE)</w:t>
      </w:r>
      <w:bookmarkEnd w:id="10"/>
    </w:p>
    <w:p>
      <w:pPr>
        <w:pStyle w:val="style0"/>
        <w:rPr/>
      </w:pPr>
      <w:r>
        <w:t>ROE is used to measure the efficiency with which Toyota utilizes the equity of its shareholders to make profits (Anggraeni &amp; Daito, 2022). For Toyota, ROE is significant as it shows returns to the investors and creation of shareholder value in general.</w:t>
      </w:r>
    </w:p>
    <w:p>
      <w:pPr>
        <w:pStyle w:val="style0"/>
        <w:rPr>
          <w:b/>
          <w:bCs/>
          <w:i/>
          <w:iCs/>
        </w:rPr>
      </w:pPr>
      <w:r>
        <w:rPr>
          <w:b/>
          <w:bCs/>
          <w:i/>
          <w:iCs/>
        </w:rPr>
        <w:t>Formula:</w:t>
      </w:r>
    </w:p>
    <w:p>
      <w:pPr>
        <w:pStyle w:val="style0"/>
        <w:jc w:val="center"/>
        <w:rPr/>
      </w:pPr>
      <w:r>
        <w:rPr>
          <w:noProof/>
        </w:rPr>
        <w:drawing>
          <wp:inline distL="0" distT="0" distB="0" distR="0">
            <wp:extent cx="2597283" cy="762039"/>
            <wp:effectExtent l="0" t="0" r="0" b="0"/>
            <wp:docPr id="103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12" cstate="print"/>
                    <a:srcRect l="0" t="0" r="0" b="0"/>
                    <a:stretch/>
                  </pic:blipFill>
                  <pic:spPr>
                    <a:xfrm rot="0">
                      <a:off x="0" y="0"/>
                      <a:ext cx="2597283" cy="762039"/>
                    </a:xfrm>
                    <a:prstGeom prst="rect"/>
                  </pic:spPr>
                </pic:pic>
              </a:graphicData>
            </a:graphic>
          </wp:inline>
        </w:drawing>
      </w:r>
    </w:p>
    <w:p>
      <w:pPr>
        <w:pStyle w:val="style0"/>
        <w:jc w:val="center"/>
        <w:rPr/>
      </w:pPr>
      <w:r>
        <w:rPr>
          <w:noProof/>
        </w:rPr>
      </w:r>
      <w:r>
        <w:rPr>
          <w:noProof/>
        </w:rPr>
      </w:r>
      <w:r>
        <w:rPr>
          <w:noProof/>
        </w:rPr>
      </w:r>
      <w:r>
        <w:rPr>
          <w:noProof/>
        </w:rPr>
        <w:drawing>
          <wp:inline distL="114300" distT="0" distB="0" distR="114300">
            <wp:extent cx="4572000" cy="2743200"/>
            <wp:effectExtent l="0" t="0" r="0" b="0"/>
            <wp:docPr id="1038"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Pr>
          <w:noProof/>
        </w:rPr>
      </w:r>
    </w:p>
    <w:p>
      <w:pPr>
        <w:pStyle w:val="style0"/>
        <w:rPr>
          <w:rFonts w:eastAsia="宋体"/>
        </w:rPr>
      </w:pPr>
      <w:r>
        <w:rPr>
          <w:rFonts w:eastAsia="宋体"/>
          <w:noProof/>
        </w:rPr>
        <w:object>
          <v:shape id="1039" type="#_x0000_t75" filled="f" stroked="f" style="margin-left:0.0pt;margin-top:0.0pt;width:426.52pt;height:148.51pt;mso-wrap-distance-left:0.0pt;mso-wrap-distance-right:0.0pt;visibility:visible;">
            <w10:anchorlock/>
            <v:imagedata r:id="rId14" embosscolor="white" o:title=""/>
            <v:fill/>
          </v:shape>
          <o:OLEObject Type="EMBED" ProgID="Excel.Chart.8" ShapeID="1039" DrawAspect="Content" ObjectID="0" r:id="rId15"/>
        </w:object>
      </w:r>
    </w:p>
    <w:bookmarkStart w:id="11" w:name="_Toc226239047"/>
    <w:p>
      <w:pPr>
        <w:pStyle w:val="style34"/>
        <w:rPr/>
      </w:pPr>
      <w:r>
        <w:t xml:space="preserve">Table </w:t>
      </w:r>
      <w:r>
        <w:rPr/>
        <w:fldChar w:fldCharType="begin"/>
      </w:r>
      <w:r>
        <w:instrText xml:space="preserve"> SEQ Table \* ARABIC </w:instrText>
      </w:r>
      <w:r>
        <w:rPr/>
        <w:fldChar w:fldCharType="separate"/>
      </w:r>
      <w:r>
        <w:rPr>
          <w:noProof/>
        </w:rPr>
        <w:t>3</w:t>
      </w:r>
      <w:r>
        <w:rPr>
          <w:noProof/>
        </w:rPr>
        <w:fldChar w:fldCharType="end"/>
      </w:r>
      <w:r>
        <w:t xml:space="preserve">: </w:t>
      </w:r>
      <w:r>
        <w:t xml:space="preserve">Toyota Motors' </w:t>
      </w:r>
      <w:r>
        <w:t xml:space="preserve">ROE </w:t>
      </w:r>
      <w:r>
        <w:t>(Toyota Motors, 2024)</w:t>
      </w:r>
      <w:bookmarkEnd w:id="11"/>
    </w:p>
    <w:p>
      <w:pPr>
        <w:pStyle w:val="style0"/>
        <w:rPr/>
      </w:pPr>
      <w:r>
        <w:t>The ROE was more or less constant between 2020 and 2022 but dropped in 2023 because the profitability decreased. The ROE in 2024 rose dramatically to 15.8%, which demonstrates that there is a high value creation to shareholders and financial performance (Toyota Motors, 2024). This demonstrates how Toyota has been able to use equity to create more returns.</w:t>
      </w:r>
    </w:p>
    <w:bookmarkStart w:id="12" w:name="_Toc226239076"/>
    <w:p>
      <w:pPr>
        <w:pStyle w:val="style3"/>
        <w:rPr/>
      </w:pPr>
      <w:r>
        <w:t>Return on Assets (ROA)</w:t>
      </w:r>
      <w:bookmarkEnd w:id="12"/>
    </w:p>
    <w:p>
      <w:pPr>
        <w:pStyle w:val="style0"/>
        <w:rPr/>
      </w:pPr>
      <w:r>
        <w:t>ROA is used to determine the efficiency with which Toyota utilizes its assets to make profit (Singh et al., 2024). This ratio is significant to Toyota since it works with big investments of assets in production and technology.</w:t>
      </w:r>
    </w:p>
    <w:p>
      <w:pPr>
        <w:pStyle w:val="style0"/>
        <w:rPr/>
      </w:pPr>
      <w:r>
        <w:rPr>
          <w:b/>
          <w:bCs/>
          <w:i/>
          <w:iCs/>
        </w:rPr>
        <w:t>Formula:</w:t>
      </w:r>
    </w:p>
    <w:p>
      <w:pPr>
        <w:pStyle w:val="style0"/>
        <w:rPr>
          <w:rFonts w:eastAsia="宋体"/>
        </w:rPr>
      </w:pPr>
      <m:oMathPara>
        <m:oMath>
          <m:r>
            <w:rPr>
              <w:rFonts w:ascii="Cambria Math" w:hAnsi="Cambria Math"/>
            </w:rPr>
            <m:t>ROA=</m:t>
          </m:r>
          <m:f>
            <m:fPr>
              <m:ctrlPr>
                <w:rPr>
                  <w:rFonts w:ascii="Cambria Math" w:hAnsi="Cambria Math"/>
                  <w:i/>
                </w:rPr>
              </m:ctrlPr>
            </m:fPr>
            <m:num>
              <m:r>
                <w:rPr>
                  <w:rFonts w:ascii="Cambria Math" w:hAnsi="Cambria Math"/>
                </w:rPr>
                <m:t>Net Income</m:t>
              </m:r>
            </m:num>
            <m:den>
              <m:r>
                <w:rPr>
                  <w:rFonts w:ascii="Cambria Math" w:hAnsi="Cambria Math"/>
                </w:rPr>
                <m:t>Total Assets</m:t>
              </m:r>
            </m:den>
          </m:f>
        </m:oMath>
      </m:oMathPara>
    </w:p>
    <w:p>
      <w:pPr>
        <w:pStyle w:val="style0"/>
        <w:rPr/>
      </w:pPr>
      <w:r>
        <w:rPr>
          <w:noProof/>
        </w:rPr>
        <w:drawing>
          <wp:inline distL="0" distT="0" distB="0" distR="0">
            <wp:extent cx="4714850" cy="1631852"/>
            <wp:effectExtent l="0" t="0" r="0" b="6985"/>
            <wp:docPr id="1040"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1"/>
                    <pic:cNvPicPr/>
                  </pic:nvPicPr>
                  <pic:blipFill>
                    <a:blip r:embed="rId16" cstate="print"/>
                    <a:srcRect l="0" t="0" r="0" b="0"/>
                    <a:stretch/>
                  </pic:blipFill>
                  <pic:spPr>
                    <a:xfrm rot="0">
                      <a:off x="0" y="0"/>
                      <a:ext cx="4714850" cy="1631852"/>
                    </a:xfrm>
                    <a:prstGeom prst="rect"/>
                  </pic:spPr>
                </pic:pic>
              </a:graphicData>
            </a:graphic>
          </wp:inline>
        </w:drawing>
      </w:r>
    </w:p>
    <w:bookmarkStart w:id="13" w:name="_Toc226239048"/>
    <w:p>
      <w:pPr>
        <w:pStyle w:val="style34"/>
        <w:rPr/>
      </w:pPr>
      <w:r>
        <w:t xml:space="preserve">Table </w:t>
      </w:r>
      <w:r>
        <w:rPr/>
        <w:fldChar w:fldCharType="begin"/>
      </w:r>
      <w:r>
        <w:instrText xml:space="preserve"> SEQ Table \* ARABIC </w:instrText>
      </w:r>
      <w:r>
        <w:rPr/>
        <w:fldChar w:fldCharType="separate"/>
      </w:r>
      <w:r>
        <w:rPr>
          <w:noProof/>
        </w:rPr>
        <w:t>4</w:t>
      </w:r>
      <w:r>
        <w:rPr>
          <w:noProof/>
        </w:rPr>
        <w:fldChar w:fldCharType="end"/>
      </w:r>
      <w:r>
        <w:t xml:space="preserve">: </w:t>
      </w:r>
      <w:r>
        <w:t>Toyota Motors' RO</w:t>
      </w:r>
      <w:r>
        <w:t>A</w:t>
      </w:r>
      <w:r>
        <w:t xml:space="preserve"> (Toyota Motors, 2024)</w:t>
      </w:r>
      <w:bookmarkEnd w:id="13"/>
    </w:p>
    <w:p>
      <w:pPr>
        <w:pStyle w:val="style0"/>
        <w:rPr/>
      </w:pPr>
      <w:r>
        <w:rPr>
          <w:noProof/>
        </w:rPr>
      </w:r>
      <w:r>
        <w:rPr>
          <w:noProof/>
        </w:rPr>
      </w:r>
      <w:r>
        <w:rPr>
          <w:noProof/>
        </w:rPr>
      </w:r>
      <w:r>
        <w:rPr>
          <w:noProof/>
        </w:rPr>
        <w:drawing>
          <wp:inline distL="114300" distT="0" distB="0" distR="114300">
            <wp:extent cx="4572000" cy="2743200"/>
            <wp:effectExtent l="0" t="0" r="0" b="0"/>
            <wp:docPr id="1042"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noProof/>
        </w:rPr>
      </w:r>
    </w:p>
    <w:bookmarkStart w:id="14" w:name="_Toc226239040"/>
    <w:p>
      <w:pPr>
        <w:pStyle w:val="style34"/>
        <w:rPr/>
      </w:pPr>
      <w:r>
        <w:t xml:space="preserve">Figure </w:t>
      </w:r>
      <w:r>
        <w:rPr/>
        <w:fldChar w:fldCharType="begin"/>
      </w:r>
      <w:r>
        <w:instrText xml:space="preserve"> SEQ Figure \* ARABIC </w:instrText>
      </w:r>
      <w:r>
        <w:rPr/>
        <w:fldChar w:fldCharType="separate"/>
      </w:r>
      <w:r>
        <w:rPr>
          <w:noProof/>
        </w:rPr>
        <w:t>3</w:t>
      </w:r>
      <w:r>
        <w:rPr/>
        <w:fldChar w:fldCharType="end"/>
      </w:r>
      <w:r>
        <w:t xml:space="preserve">: </w:t>
      </w:r>
      <w:r>
        <w:t>Toyota Motors' ROA (Toyota Motors, 2024)</w:t>
      </w:r>
      <w:bookmarkEnd w:id="14"/>
    </w:p>
    <w:p>
      <w:pPr>
        <w:pStyle w:val="style0"/>
        <w:rPr/>
      </w:pPr>
      <w:r>
        <w:t>In 2021, ROA decreased because of the rise in assets and efficiency, but in 2022, the company showed positive growth. It fell again in 2023 as a result of profitability problems but rose sharply in 2024 (Toyota Motors, 2024). This implies that Toyota had a better utilisation of its assets and efficiency in asset utilisation to generate profits.</w:t>
      </w:r>
    </w:p>
    <w:bookmarkStart w:id="15" w:name="_Toc226239077"/>
    <w:p>
      <w:pPr>
        <w:pStyle w:val="style2"/>
        <w:rPr/>
      </w:pPr>
      <w:r>
        <w:t>Liquidity Analysis</w:t>
      </w:r>
      <w:bookmarkEnd w:id="15"/>
    </w:p>
    <w:p>
      <w:pPr>
        <w:pStyle w:val="style0"/>
        <w:rPr/>
      </w:pPr>
      <w:r>
        <w:t>Liquidity ratios evaluate how Toyota can fulfill its short-term financial obligations with the help of its current assets. This is particularly important for Toyota since it is a capital-intensive industry that has huge working capital demands in terms of inventory, receivables, and short-term debts (Blessing &amp; Sakouvogui, 2023).</w:t>
      </w:r>
    </w:p>
    <w:bookmarkStart w:id="16" w:name="_Toc226239078"/>
    <w:p>
      <w:pPr>
        <w:pStyle w:val="style3"/>
        <w:rPr/>
      </w:pPr>
      <w:r>
        <w:t>Current Ratio</w:t>
      </w:r>
      <w:bookmarkEnd w:id="16"/>
    </w:p>
    <w:p>
      <w:pPr>
        <w:pStyle w:val="style0"/>
        <w:rPr/>
      </w:pPr>
      <w:r>
        <w:t>The current ratio is used to measure how far Toyota can go to meet its short-term liabilities with its short-term assets (Muhamad &amp; Nuraeni, 2022). In the case of Toyota, a sufficient current ratio is critical to the company as it will allow operating with ease throughout its international supply chain and prevent a lack of liquidity, in particular during such disruptions as COVID-19.</w:t>
      </w:r>
    </w:p>
    <w:p>
      <w:pPr>
        <w:pStyle w:val="style0"/>
        <w:rPr/>
      </w:pPr>
      <w:r>
        <w:rPr>
          <w:b/>
          <w:bCs/>
          <w:i/>
          <w:iCs/>
        </w:rPr>
        <w:t>Formula:</w:t>
      </w:r>
    </w:p>
    <w:p>
      <w:pPr>
        <w:pStyle w:val="style0"/>
        <w:rPr>
          <w:rFonts w:eastAsia="宋体"/>
        </w:rPr>
      </w:pPr>
      <m:oMathPara>
        <m:oMath>
          <m:r>
            <w:rPr>
              <w:rFonts w:ascii="Cambria Math" w:hAnsi="Cambria Math"/>
            </w:rPr>
            <m:t>Current Ratio =</m:t>
          </m:r>
          <m:f>
            <m:fPr>
              <m:ctrlPr>
                <w:rPr>
                  <w:rFonts w:ascii="Cambria Math" w:hAnsi="Cambria Math"/>
                  <w:i/>
                </w:rPr>
              </m:ctrlPr>
            </m:fPr>
            <m:num>
              <m:r>
                <w:rPr>
                  <w:rFonts w:ascii="Cambria Math" w:hAnsi="Cambria Math"/>
                </w:rPr>
                <m:t xml:space="preserve"> Current Assets</m:t>
              </m:r>
            </m:num>
            <m:den>
              <m:r>
                <w:rPr>
                  <w:rFonts w:ascii="Cambria Math" w:hAnsi="Cambria Math"/>
                </w:rPr>
                <m:t>Current Liabilities</m:t>
              </m:r>
            </m:den>
          </m:f>
        </m:oMath>
      </m:oMathPara>
    </w:p>
    <w:p>
      <w:pPr>
        <w:pStyle w:val="style0"/>
        <w:rPr>
          <w:rFonts w:eastAsia="宋体"/>
        </w:rPr>
      </w:pPr>
      <w:r>
        <w:rPr>
          <w:rFonts w:eastAsia="宋体"/>
          <w:noProof/>
        </w:rPr>
        <w:object>
          <v:shape id="1043" type="#_x0000_t75" filled="f" stroked="f" style="margin-left:0.0pt;margin-top:0.0pt;width:427.52pt;height:160.51pt;mso-wrap-distance-left:0.0pt;mso-wrap-distance-right:0.0pt;visibility:visible;">
            <w10:anchorlock/>
            <v:imagedata r:id="rId18" embosscolor="white" o:title=""/>
            <v:fill/>
          </v:shape>
          <o:OLEObject Type="EMBED" ProgID="Excel.Chart.8" ShapeID="1043" DrawAspect="Content" ObjectID="0" r:id="rId19"/>
        </w:object>
      </w:r>
    </w:p>
    <w:bookmarkStart w:id="17" w:name="_Toc226239049"/>
    <w:p>
      <w:pPr>
        <w:pStyle w:val="style34"/>
        <w:rPr/>
      </w:pPr>
      <w:r>
        <w:t xml:space="preserve">Table </w:t>
      </w:r>
      <w:r>
        <w:rPr/>
        <w:fldChar w:fldCharType="begin"/>
      </w:r>
      <w:r>
        <w:instrText xml:space="preserve"> SEQ Table \* ARABIC </w:instrText>
      </w:r>
      <w:r>
        <w:rPr/>
        <w:fldChar w:fldCharType="separate"/>
      </w:r>
      <w:r>
        <w:rPr>
          <w:noProof/>
        </w:rPr>
        <w:t>5</w:t>
      </w:r>
      <w:r>
        <w:rPr>
          <w:noProof/>
        </w:rPr>
        <w:fldChar w:fldCharType="end"/>
      </w:r>
      <w:r>
        <w:t xml:space="preserve">: </w:t>
      </w:r>
      <w:r>
        <w:t xml:space="preserve">Toyota Motors' </w:t>
      </w:r>
      <w:r>
        <w:t>Current Ratio</w:t>
      </w:r>
      <w:r>
        <w:t xml:space="preserve"> (Toyota Motors, 2024)</w:t>
      </w:r>
      <w:bookmarkEnd w:id="17"/>
    </w:p>
    <w:p>
      <w:pPr>
        <w:pStyle w:val="style0"/>
        <w:rPr/>
      </w:pPr>
      <w:r>
        <w:rPr>
          <w:noProof/>
        </w:rPr>
      </w:r>
      <w:r>
        <w:rPr>
          <w:noProof/>
        </w:rPr>
      </w:r>
      <w:r>
        <w:rPr>
          <w:noProof/>
        </w:rPr>
      </w:r>
      <w:r>
        <w:rPr>
          <w:noProof/>
        </w:rPr>
        <w:drawing>
          <wp:inline distL="114300" distT="0" distB="0" distR="114300">
            <wp:extent cx="4572000" cy="2743200"/>
            <wp:effectExtent l="0" t="0" r="0" b="0"/>
            <wp:docPr id="1045"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Pr>
          <w:noProof/>
        </w:rPr>
      </w:r>
    </w:p>
    <w:bookmarkStart w:id="18" w:name="_Toc226239041"/>
    <w:p>
      <w:pPr>
        <w:pStyle w:val="style34"/>
        <w:rPr/>
      </w:pPr>
      <w:r>
        <w:t xml:space="preserve">Figure </w:t>
      </w:r>
      <w:r>
        <w:rPr/>
        <w:fldChar w:fldCharType="begin"/>
      </w:r>
      <w:r>
        <w:instrText xml:space="preserve"> SEQ Figure \* ARABIC </w:instrText>
      </w:r>
      <w:r>
        <w:rPr/>
        <w:fldChar w:fldCharType="separate"/>
      </w:r>
      <w:r>
        <w:rPr>
          <w:noProof/>
        </w:rPr>
        <w:t>4</w:t>
      </w:r>
      <w:r>
        <w:rPr/>
        <w:fldChar w:fldCharType="end"/>
      </w:r>
      <w:r>
        <w:t xml:space="preserve">: </w:t>
      </w:r>
      <w:r>
        <w:t>Toyota Motors' Current Ratio (Toyota Motors, 2024)</w:t>
      </w:r>
      <w:bookmarkEnd w:id="18"/>
    </w:p>
    <w:p>
      <w:pPr>
        <w:pStyle w:val="style0"/>
        <w:rPr/>
      </w:pPr>
      <w:r>
        <w:t>The current ratio shows a gradual increase from 1.10 in 2020 to 1.25 in 2024 (Toyota Motors, 2024). This shows that Toyota has been able to increase its short-term financial status over the years. The ratio is always more than 1, and this implies that Toyota has enough current assets to finance its liabilities.</w:t>
      </w:r>
    </w:p>
    <w:bookmarkStart w:id="19" w:name="_Toc226239079"/>
    <w:p>
      <w:pPr>
        <w:pStyle w:val="style3"/>
        <w:rPr/>
      </w:pPr>
      <w:r>
        <w:t>Quick Ratio</w:t>
      </w:r>
      <w:bookmarkEnd w:id="19"/>
    </w:p>
    <w:p>
      <w:pPr>
        <w:pStyle w:val="style0"/>
        <w:rPr/>
      </w:pPr>
      <w:r>
        <w:t>The quick ratio is used to determine the capacity that Toyota can fulfill its short-term liabilities without government aid in terms of inventory (Mahmoud et al., 2022). This is critical to Toyota since inventory within the automotive sector cannot be readily translated into cash when demand is low or when the supply chain is disrupted.</w:t>
      </w:r>
    </w:p>
    <w:p>
      <w:pPr>
        <w:pStyle w:val="style0"/>
        <w:rPr/>
      </w:pPr>
      <w:r>
        <w:rPr>
          <w:b/>
          <w:bCs/>
          <w:i/>
          <w:iCs/>
        </w:rPr>
        <w:t>Formula:</w:t>
      </w:r>
    </w:p>
    <w:p>
      <w:pPr>
        <w:pStyle w:val="style0"/>
        <w:rPr>
          <w:rFonts w:eastAsia="宋体"/>
        </w:rPr>
      </w:pPr>
      <m:oMathPara>
        <m:oMath>
          <m:r>
            <w:rPr>
              <w:rFonts w:ascii="Cambria Math" w:hAnsi="Cambria Math"/>
            </w:rPr>
            <m:t>Quick Ratio=</m:t>
          </m:r>
          <m:f>
            <m:fPr>
              <m:ctrlPr>
                <w:rPr>
                  <w:rFonts w:ascii="Cambria Math" w:hAnsi="Cambria Math"/>
                  <w:i/>
                </w:rPr>
              </m:ctrlPr>
            </m:fPr>
            <m:num>
              <m:r>
                <w:rPr>
                  <w:rFonts w:ascii="Cambria Math" w:hAnsi="Cambria Math"/>
                </w:rPr>
                <m:t>(Current Assets - Inventory)</m:t>
              </m:r>
            </m:num>
            <m:den>
              <m:r>
                <w:rPr>
                  <w:rFonts w:ascii="Cambria Math" w:hAnsi="Cambria Math"/>
                </w:rPr>
                <m:t>Current Liabilities</m:t>
              </m:r>
            </m:den>
          </m:f>
        </m:oMath>
      </m:oMathPara>
    </w:p>
    <w:p>
      <w:pPr>
        <w:pStyle w:val="style0"/>
        <w:rPr/>
      </w:pPr>
      <w:r>
        <w:rPr>
          <w:noProof/>
        </w:rPr>
        <w:object>
          <v:shape id="1046" type="#_x0000_t75" filled="f" stroked="f" style="margin-left:0.0pt;margin-top:0.0pt;width:426.02pt;height:159.51pt;mso-wrap-distance-left:0.0pt;mso-wrap-distance-right:0.0pt;visibility:visible;">
            <w10:anchorlock/>
            <v:imagedata r:id="rId21" embosscolor="white" o:title=""/>
            <v:fill/>
          </v:shape>
          <o:OLEObject Type="EMBED" ProgID="Excel.Chart.8" ShapeID="1046" DrawAspect="Content" ObjectID="0" r:id="rId22"/>
        </w:object>
      </w:r>
    </w:p>
    <w:bookmarkStart w:id="20" w:name="_Toc226239050"/>
    <w:p>
      <w:pPr>
        <w:pStyle w:val="style34"/>
        <w:rPr/>
      </w:pPr>
      <w:r>
        <w:t xml:space="preserve">Table </w:t>
      </w:r>
      <w:r>
        <w:rPr/>
        <w:fldChar w:fldCharType="begin"/>
      </w:r>
      <w:r>
        <w:instrText xml:space="preserve"> SEQ Table \* ARABIC </w:instrText>
      </w:r>
      <w:r>
        <w:rPr/>
        <w:fldChar w:fldCharType="separate"/>
      </w:r>
      <w:r>
        <w:rPr>
          <w:noProof/>
        </w:rPr>
        <w:t>6</w:t>
      </w:r>
      <w:r>
        <w:rPr>
          <w:noProof/>
        </w:rPr>
        <w:fldChar w:fldCharType="end"/>
      </w:r>
      <w:r>
        <w:t xml:space="preserve">: </w:t>
      </w:r>
      <w:r>
        <w:t xml:space="preserve">Toyota Motors' </w:t>
      </w:r>
      <w:r>
        <w:t>Quick</w:t>
      </w:r>
      <w:r>
        <w:t xml:space="preserve"> Ratio (Toyota Motors, 2024)</w:t>
      </w:r>
      <w:bookmarkEnd w:id="20"/>
    </w:p>
    <w:p>
      <w:pPr>
        <w:pStyle w:val="style0"/>
        <w:rPr/>
      </w:pPr>
      <w:r>
        <w:rPr>
          <w:noProof/>
        </w:rPr>
      </w:r>
      <w:r>
        <w:rPr>
          <w:noProof/>
        </w:rPr>
      </w:r>
      <w:r>
        <w:rPr>
          <w:noProof/>
        </w:rPr>
      </w:r>
      <w:r>
        <w:rPr>
          <w:noProof/>
        </w:rPr>
        <w:drawing>
          <wp:inline distL="114300" distT="0" distB="0" distR="114300">
            <wp:extent cx="4572000" cy="2743200"/>
            <wp:effectExtent l="0" t="0" r="0" b="0"/>
            <wp:docPr id="1048"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Pr>
          <w:noProof/>
        </w:rPr>
      </w:r>
    </w:p>
    <w:bookmarkStart w:id="21" w:name="_Toc226239042"/>
    <w:p>
      <w:pPr>
        <w:pStyle w:val="style34"/>
        <w:rPr/>
      </w:pPr>
      <w:r>
        <w:t xml:space="preserve">Figure </w:t>
      </w:r>
      <w:r>
        <w:rPr/>
        <w:fldChar w:fldCharType="begin"/>
      </w:r>
      <w:r>
        <w:instrText xml:space="preserve"> SEQ Figure \* ARABIC </w:instrText>
      </w:r>
      <w:r>
        <w:rPr/>
        <w:fldChar w:fldCharType="separate"/>
      </w:r>
      <w:r>
        <w:rPr>
          <w:noProof/>
        </w:rPr>
        <w:t>5</w:t>
      </w:r>
      <w:r>
        <w:rPr/>
        <w:fldChar w:fldCharType="end"/>
      </w:r>
      <w:r>
        <w:t xml:space="preserve">: </w:t>
      </w:r>
      <w:r>
        <w:t>Toyota Motors' Quick Ratio (Toyota Motors, 2024)</w:t>
      </w:r>
      <w:bookmarkEnd w:id="21"/>
    </w:p>
    <w:p>
      <w:pPr>
        <w:pStyle w:val="style0"/>
        <w:rPr/>
      </w:pPr>
      <w:r>
        <w:t>The quick ratio improved steadily from 0.90 in 2020 to 1.05 in 2024 (Toyota Motors, 2024). This indicates that the liquidity position of Toyota has improved a lot. The ratio of more than 1 in 2024 shows that Toyota will be able to cover its short-term commitments without relying on inventory. This progress is supported by higher cash reserves (¥9.4 trillion in 2024) and indicates good liquidity management (Toyota Motors, 2024).</w:t>
      </w:r>
    </w:p>
    <w:bookmarkStart w:id="22" w:name="_Toc226239080"/>
    <w:p>
      <w:pPr>
        <w:pStyle w:val="style2"/>
        <w:rPr/>
      </w:pPr>
      <w:r>
        <w:t>Efficiency Analysis</w:t>
      </w:r>
      <w:bookmarkEnd w:id="22"/>
    </w:p>
    <w:p>
      <w:pPr>
        <w:pStyle w:val="style0"/>
        <w:rPr/>
      </w:pPr>
      <w:r>
        <w:t>The efficiency ratios are used to measure efficiency in terms of the ability of the Toyota to utilize its assets to increase revenue and control operations (Minh, 2023).</w:t>
      </w:r>
    </w:p>
    <w:bookmarkStart w:id="23" w:name="_Toc226239081"/>
    <w:p>
      <w:pPr>
        <w:pStyle w:val="style3"/>
        <w:rPr/>
      </w:pPr>
      <w:r>
        <w:t>Inventory Turnover</w:t>
      </w:r>
      <w:bookmarkEnd w:id="23"/>
    </w:p>
    <w:p>
      <w:pPr>
        <w:pStyle w:val="style0"/>
        <w:rPr/>
      </w:pPr>
      <w:r>
        <w:t>Inventory turnover is used in determining the efficiency with which Toyota sells and replaces inventory (Rahman &amp; Acharya, 2020). This ratio is very crucial to Toyota because of their Just-in-Time (JIT) production system that strives to reduce the inventory costs.</w:t>
      </w:r>
    </w:p>
    <w:p>
      <w:pPr>
        <w:pStyle w:val="style0"/>
        <w:rPr/>
      </w:pPr>
      <w:r>
        <w:rPr>
          <w:b/>
          <w:bCs/>
          <w:i/>
          <w:iCs/>
        </w:rPr>
        <w:t>Formula:</w:t>
      </w:r>
    </w:p>
    <w:p>
      <w:pPr>
        <w:pStyle w:val="style0"/>
        <w:rPr>
          <w:rFonts w:eastAsia="宋体"/>
        </w:rPr>
      </w:pPr>
      <m:oMathPara>
        <m:oMath>
          <m:r>
            <w:rPr>
              <w:rFonts w:ascii="Cambria Math" w:hAnsi="Cambria Math"/>
            </w:rPr>
            <m:t>Inventory Turnover =</m:t>
          </m:r>
          <m:f>
            <m:fPr>
              <m:ctrlPr>
                <w:rPr>
                  <w:rFonts w:ascii="Cambria Math" w:hAnsi="Cambria Math"/>
                  <w:i/>
                </w:rPr>
              </m:ctrlPr>
            </m:fPr>
            <m:num>
              <m:r>
                <w:rPr>
                  <w:rFonts w:ascii="Cambria Math" w:hAnsi="Cambria Math"/>
                </w:rPr>
                <m:t>Cost of Goods Sold</m:t>
              </m:r>
            </m:num>
            <m:den>
              <m:r>
                <w:rPr>
                  <w:rFonts w:ascii="Cambria Math" w:hAnsi="Cambria Math"/>
                </w:rPr>
                <m:t xml:space="preserve"> Inventory</m:t>
              </m:r>
            </m:den>
          </m:f>
        </m:oMath>
      </m:oMathPara>
    </w:p>
    <w:p>
      <w:pPr>
        <w:pStyle w:val="style0"/>
        <w:rPr/>
      </w:pPr>
      <w:r>
        <w:rPr>
          <w:noProof/>
        </w:rPr>
        <w:object>
          <v:shape id="1049" type="#_x0000_t75" filled="f" stroked="f" style="margin-left:0.0pt;margin-top:0.0pt;width:427.52pt;height:162.51pt;mso-wrap-distance-left:0.0pt;mso-wrap-distance-right:0.0pt;visibility:visible;">
            <w10:anchorlock/>
            <v:imagedata r:id="rId24" embosscolor="white" o:title=""/>
            <v:fill/>
          </v:shape>
          <o:OLEObject Type="EMBED" ProgID="Excel.Chart.8" ShapeID="1049" DrawAspect="Content" ObjectID="0" r:id="rId25"/>
        </w:object>
      </w:r>
    </w:p>
    <w:bookmarkStart w:id="24" w:name="_Toc226239051"/>
    <w:p>
      <w:pPr>
        <w:pStyle w:val="style34"/>
        <w:rPr/>
      </w:pPr>
      <w:r>
        <w:t xml:space="preserve">Table </w:t>
      </w:r>
      <w:r>
        <w:rPr/>
        <w:fldChar w:fldCharType="begin"/>
      </w:r>
      <w:r>
        <w:instrText xml:space="preserve"> SEQ Table \* ARABIC </w:instrText>
      </w:r>
      <w:r>
        <w:rPr/>
        <w:fldChar w:fldCharType="separate"/>
      </w:r>
      <w:r>
        <w:rPr>
          <w:noProof/>
        </w:rPr>
        <w:t>7</w:t>
      </w:r>
      <w:r>
        <w:rPr>
          <w:noProof/>
        </w:rPr>
        <w:fldChar w:fldCharType="end"/>
      </w:r>
      <w:r>
        <w:t xml:space="preserve">: </w:t>
      </w:r>
      <w:r>
        <w:t xml:space="preserve">Toyota Motors' </w:t>
      </w:r>
      <w:r>
        <w:t>Inventory Turnover</w:t>
      </w:r>
      <w:r>
        <w:t xml:space="preserve"> (Toyota Motors, 2024)</w:t>
      </w:r>
      <w:bookmarkEnd w:id="24"/>
    </w:p>
    <w:p>
      <w:pPr>
        <w:pStyle w:val="style0"/>
        <w:rPr/>
      </w:pPr>
      <w:r>
        <w:t xml:space="preserve">The 2021 inventory turnover was lower because disruptions to production and demand caused by COVID-19 weakened the turnover. Nevertheless, during 2022 and onwards, </w:t>
      </w:r>
      <w:r>
        <w:t>it increased substantially to 2.92 (Toyota Motors, 2024). This means enhancement of inventory management and restoration of supply chains. Nevertheless, the disruptions demonstrated the fragility of the JIT system used at Toyota because minimum stock levels promoted susceptibility to shortages in the global market.</w:t>
      </w:r>
    </w:p>
    <w:bookmarkStart w:id="25" w:name="_Toc226239082"/>
    <w:p>
      <w:pPr>
        <w:pStyle w:val="style3"/>
        <w:rPr/>
      </w:pPr>
      <w:r>
        <w:t>Total Asset Turnover</w:t>
      </w:r>
      <w:bookmarkEnd w:id="25"/>
    </w:p>
    <w:p>
      <w:pPr>
        <w:pStyle w:val="style0"/>
        <w:rPr/>
      </w:pPr>
      <w:r>
        <w:t>It is a ratio that determines the efficiency with which Toyota utilizes its total assets in generating revenue (Tolegen, 2022).</w:t>
      </w:r>
    </w:p>
    <w:p>
      <w:pPr>
        <w:pStyle w:val="style0"/>
        <w:rPr/>
      </w:pPr>
      <w:r>
        <w:rPr>
          <w:b/>
          <w:bCs/>
          <w:i/>
          <w:iCs/>
        </w:rPr>
        <w:t>Formula:</w:t>
      </w:r>
    </w:p>
    <w:p>
      <w:pPr>
        <w:pStyle w:val="style0"/>
        <w:rPr>
          <w:rFonts w:eastAsia="宋体"/>
        </w:rPr>
      </w:pPr>
      <m:oMathPara>
        <m:oMath>
          <m:r>
            <w:rPr>
              <w:rFonts w:ascii="Cambria Math" w:hAnsi="Cambria Math"/>
            </w:rPr>
            <m:t>Total Asset Turnover =</m:t>
          </m:r>
          <m:f>
            <m:fPr>
              <m:ctrlPr>
                <w:rPr>
                  <w:rFonts w:ascii="Cambria Math" w:hAnsi="Cambria Math"/>
                  <w:i/>
                </w:rPr>
              </m:ctrlPr>
            </m:fPr>
            <m:num>
              <m:r>
                <w:rPr>
                  <w:rFonts w:ascii="Cambria Math" w:hAnsi="Cambria Math"/>
                </w:rPr>
                <m:t xml:space="preserve">Revenue </m:t>
              </m:r>
            </m:num>
            <m:den>
              <m:r>
                <w:rPr>
                  <w:rFonts w:ascii="Cambria Math" w:hAnsi="Cambria Math"/>
                </w:rPr>
                <m:t>Total Assets</m:t>
              </m:r>
            </m:den>
          </m:f>
        </m:oMath>
      </m:oMathPara>
    </w:p>
    <w:p>
      <w:pPr>
        <w:pStyle w:val="style0"/>
        <w:rPr/>
      </w:pPr>
      <w:r>
        <w:rPr>
          <w:noProof/>
        </w:rPr>
        <w:drawing>
          <wp:inline distL="0" distT="0" distB="0" distR="0">
            <wp:extent cx="5410478" cy="1905098"/>
            <wp:effectExtent l="0" t="0" r="0" b="0"/>
            <wp:docPr id="1050"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Picture 1"/>
                    <pic:cNvPicPr/>
                  </pic:nvPicPr>
                  <pic:blipFill>
                    <a:blip r:embed="rId26" cstate="print"/>
                    <a:srcRect l="0" t="0" r="0" b="0"/>
                    <a:stretch/>
                  </pic:blipFill>
                  <pic:spPr>
                    <a:xfrm rot="0">
                      <a:off x="0" y="0"/>
                      <a:ext cx="5410478" cy="1905098"/>
                    </a:xfrm>
                    <a:prstGeom prst="rect"/>
                  </pic:spPr>
                </pic:pic>
              </a:graphicData>
            </a:graphic>
          </wp:inline>
        </w:drawing>
      </w:r>
    </w:p>
    <w:bookmarkStart w:id="26" w:name="_Toc226239052"/>
    <w:p>
      <w:pPr>
        <w:pStyle w:val="style34"/>
        <w:rPr/>
      </w:pPr>
      <w:r>
        <w:t xml:space="preserve">Table </w:t>
      </w:r>
      <w:r>
        <w:rPr/>
        <w:fldChar w:fldCharType="begin"/>
      </w:r>
      <w:r>
        <w:instrText xml:space="preserve"> SEQ Table \* ARABIC </w:instrText>
      </w:r>
      <w:r>
        <w:rPr/>
        <w:fldChar w:fldCharType="separate"/>
      </w:r>
      <w:r>
        <w:rPr>
          <w:noProof/>
        </w:rPr>
        <w:t>8</w:t>
      </w:r>
      <w:r>
        <w:rPr>
          <w:noProof/>
        </w:rPr>
        <w:fldChar w:fldCharType="end"/>
      </w:r>
      <w:r>
        <w:t xml:space="preserve">: </w:t>
      </w:r>
      <w:r>
        <w:t xml:space="preserve">Toyota Motors' </w:t>
      </w:r>
      <w:r>
        <w:t>Total Asset</w:t>
      </w:r>
      <w:r>
        <w:t xml:space="preserve"> Turnover (Toyota Motors, 2024)</w:t>
      </w:r>
      <w:bookmarkEnd w:id="26"/>
    </w:p>
    <w:p>
      <w:pPr>
        <w:pStyle w:val="style0"/>
        <w:rPr/>
      </w:pPr>
      <w:r>
        <w:rPr>
          <w:noProof/>
        </w:rPr>
      </w:r>
      <w:r>
        <w:rPr>
          <w:noProof/>
        </w:rPr>
      </w:r>
      <w:r>
        <w:rPr>
          <w:noProof/>
        </w:rPr>
      </w:r>
      <w:r>
        <w:rPr>
          <w:noProof/>
        </w:rPr>
        <w:drawing>
          <wp:inline distL="114300" distT="0" distB="0" distR="114300">
            <wp:extent cx="4572000" cy="2743200"/>
            <wp:effectExtent l="0" t="0" r="0" b="0"/>
            <wp:docPr id="1052"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Pr>
          <w:noProof/>
        </w:rPr>
      </w:r>
    </w:p>
    <w:bookmarkStart w:id="27" w:name="_Toc226239043"/>
    <w:p>
      <w:pPr>
        <w:pStyle w:val="style34"/>
        <w:rPr/>
      </w:pPr>
      <w:r>
        <w:t xml:space="preserve">Figure </w:t>
      </w:r>
      <w:r>
        <w:rPr/>
        <w:fldChar w:fldCharType="begin"/>
      </w:r>
      <w:r>
        <w:instrText xml:space="preserve"> SEQ Figure \* ARABIC </w:instrText>
      </w:r>
      <w:r>
        <w:rPr/>
        <w:fldChar w:fldCharType="separate"/>
      </w:r>
      <w:r>
        <w:rPr>
          <w:noProof/>
        </w:rPr>
        <w:t>6</w:t>
      </w:r>
      <w:r>
        <w:rPr/>
        <w:fldChar w:fldCharType="end"/>
      </w:r>
      <w:r>
        <w:t xml:space="preserve">: </w:t>
      </w:r>
      <w:r>
        <w:t>Toyota Motors' Total Asset Turnover (Toyota Motors, 2024)</w:t>
      </w:r>
      <w:bookmarkEnd w:id="27"/>
    </w:p>
    <w:p>
      <w:pPr>
        <w:pStyle w:val="style0"/>
        <w:rPr/>
      </w:pPr>
      <w:r>
        <w:t>The ratio dropped dramatically in 2021 because of the increase in assets and lower revenue over COVID-19. However, it improved gradually from 2022 onwards. The stable position of 0.50 in 2023-2024 indicates that Toyota is making good use of its growing asset base to generate revenue (Toyota Motors, 2024).</w:t>
      </w:r>
    </w:p>
    <w:bookmarkStart w:id="28" w:name="_Toc226239083"/>
    <w:p>
      <w:pPr>
        <w:pStyle w:val="style2"/>
        <w:rPr/>
      </w:pPr>
      <w:r>
        <w:t>Gearing Analysis</w:t>
      </w:r>
      <w:bookmarkEnd w:id="28"/>
    </w:p>
    <w:p>
      <w:pPr>
        <w:pStyle w:val="style0"/>
        <w:rPr/>
      </w:pPr>
      <w:r>
        <w:t>Gearing ratios indicate the financial risk and debt financing of Toyota (Bhattacheryay, 2023).</w:t>
      </w:r>
    </w:p>
    <w:bookmarkStart w:id="29" w:name="_Toc226239084"/>
    <w:p>
      <w:pPr>
        <w:pStyle w:val="style3"/>
        <w:rPr/>
      </w:pPr>
      <w:r>
        <w:t>Debt-to-Equity Ratio</w:t>
      </w:r>
      <w:bookmarkEnd w:id="29"/>
    </w:p>
    <w:p>
      <w:pPr>
        <w:pStyle w:val="style0"/>
        <w:rPr/>
      </w:pPr>
      <w:r>
        <w:t>This ratio is used to determine the ratio of debt utilized with the shareholders equity (Susilawati et al., 2022). For Toyota, this is significant since it reflects financial stability and the equilibrium of risk and the reward.</w:t>
      </w:r>
    </w:p>
    <w:p>
      <w:pPr>
        <w:pStyle w:val="style0"/>
        <w:rPr/>
      </w:pPr>
      <w:r>
        <w:rPr>
          <w:b/>
          <w:bCs/>
          <w:i/>
          <w:iCs/>
        </w:rPr>
        <w:t>Formula:</w:t>
      </w:r>
    </w:p>
    <w:p>
      <w:pPr>
        <w:pStyle w:val="style0"/>
        <w:rPr>
          <w:rFonts w:eastAsia="宋体"/>
        </w:rPr>
      </w:pPr>
      <m:oMathPara>
        <m:oMath>
          <m:r>
            <w:rPr>
              <w:rFonts w:ascii="Cambria Math" w:hAnsi="Cambria Math"/>
            </w:rPr>
            <m:t>Debt-to-Equity Ratio =</m:t>
          </m:r>
          <m:f>
            <m:fPr>
              <m:ctrlPr>
                <w:rPr>
                  <w:rFonts w:ascii="Cambria Math" w:hAnsi="Cambria Math"/>
                  <w:i/>
                </w:rPr>
              </m:ctrlPr>
            </m:fPr>
            <m:num>
              <m:r>
                <w:rPr>
                  <w:rFonts w:ascii="Cambria Math" w:hAnsi="Cambria Math"/>
                </w:rPr>
                <m:t>Total Debt</m:t>
              </m:r>
            </m:num>
            <m:den>
              <m:r>
                <w:rPr>
                  <w:rFonts w:ascii="Cambria Math" w:hAnsi="Cambria Math"/>
                </w:rPr>
                <m:t>Shareholders’ Equity</m:t>
              </m:r>
            </m:den>
          </m:f>
        </m:oMath>
      </m:oMathPara>
    </w:p>
    <w:p>
      <w:pPr>
        <w:pStyle w:val="style0"/>
        <w:rPr/>
      </w:pPr>
      <w:r>
        <w:rPr>
          <w:noProof/>
        </w:rPr>
        <w:object>
          <v:shape id="1053" type="#_x0000_t75" filled="f" stroked="f" style="margin-left:0.0pt;margin-top:0.0pt;width:426.52pt;height:146.01pt;mso-wrap-distance-left:0.0pt;mso-wrap-distance-right:0.0pt;visibility:visible;">
            <w10:anchorlock/>
            <v:imagedata r:id="rId28" embosscolor="white" o:title=""/>
            <v:fill/>
          </v:shape>
          <o:OLEObject Type="EMBED" ProgID="Excel.Chart.8" ShapeID="1053" DrawAspect="Content" ObjectID="0" r:id="rId29"/>
        </w:object>
      </w:r>
    </w:p>
    <w:bookmarkStart w:id="30" w:name="_Toc226239053"/>
    <w:p>
      <w:pPr>
        <w:pStyle w:val="style34"/>
        <w:rPr/>
      </w:pPr>
      <w:r>
        <w:t xml:space="preserve">Table </w:t>
      </w:r>
      <w:r>
        <w:rPr/>
        <w:fldChar w:fldCharType="begin"/>
      </w:r>
      <w:r>
        <w:instrText xml:space="preserve"> SEQ Table \* ARABIC </w:instrText>
      </w:r>
      <w:r>
        <w:rPr/>
        <w:fldChar w:fldCharType="separate"/>
      </w:r>
      <w:r>
        <w:rPr>
          <w:noProof/>
        </w:rPr>
        <w:t>9</w:t>
      </w:r>
      <w:r>
        <w:rPr>
          <w:noProof/>
        </w:rPr>
        <w:fldChar w:fldCharType="end"/>
      </w:r>
      <w:r>
        <w:t xml:space="preserve">: </w:t>
      </w:r>
      <w:r>
        <w:t xml:space="preserve">Toyota Motors' </w:t>
      </w:r>
      <w:r>
        <w:t>Debt-to-Equity Ratio</w:t>
      </w:r>
      <w:r>
        <w:t xml:space="preserve"> (Toyota Motors, 2024)</w:t>
      </w:r>
      <w:bookmarkEnd w:id="30"/>
    </w:p>
    <w:p>
      <w:pPr>
        <w:pStyle w:val="style0"/>
        <w:rPr/>
      </w:pPr>
      <w:r>
        <w:t>The ratio is gradually decreasing and it means that it is less dependent on debt. Toyota has moderate leverage, which leads to financial stability and gives them an opportunity to grow (Toyota Motors, 2024).</w:t>
      </w:r>
    </w:p>
    <w:bookmarkStart w:id="31" w:name="_Toc226239085"/>
    <w:p>
      <w:pPr>
        <w:pStyle w:val="style3"/>
        <w:rPr/>
      </w:pPr>
      <w:r>
        <w:t>Interest Coverage Ratio</w:t>
      </w:r>
      <w:bookmarkEnd w:id="31"/>
    </w:p>
    <w:p>
      <w:pPr>
        <w:pStyle w:val="style0"/>
        <w:rPr/>
      </w:pPr>
      <w:r>
        <w:t>Interest coverage ratio is used to determine the capacity of Toyota to cover interest payments by using operating income (Setiany, 2021).</w:t>
      </w:r>
    </w:p>
    <w:p>
      <w:pPr>
        <w:pStyle w:val="style0"/>
        <w:rPr/>
      </w:pPr>
      <w:r>
        <w:rPr>
          <w:b/>
          <w:bCs/>
          <w:i/>
          <w:iCs/>
        </w:rPr>
        <w:t>Formula:</w:t>
      </w:r>
    </w:p>
    <w:p>
      <w:pPr>
        <w:pStyle w:val="style0"/>
        <w:rPr>
          <w:rFonts w:eastAsia="宋体"/>
        </w:rPr>
      </w:pPr>
      <m:oMathPara>
        <m:oMath>
          <m:r>
            <w:rPr>
              <w:rFonts w:ascii="Cambria Math" w:hAnsi="Cambria Math"/>
            </w:rPr>
            <m:t>Interest Coverage =</m:t>
          </m:r>
          <m:f>
            <m:fPr>
              <m:ctrlPr>
                <w:rPr>
                  <w:rFonts w:ascii="Cambria Math" w:hAnsi="Cambria Math"/>
                  <w:i/>
                </w:rPr>
              </m:ctrlPr>
            </m:fPr>
            <m:num>
              <m:r>
                <w:rPr>
                  <w:rFonts w:ascii="Cambria Math" w:hAnsi="Cambria Math"/>
                </w:rPr>
                <m:t>Operating Income</m:t>
              </m:r>
            </m:num>
            <m:den>
              <m:r>
                <w:rPr>
                  <w:rFonts w:ascii="Cambria Math" w:hAnsi="Cambria Math"/>
                </w:rPr>
                <m:t>Interest Expense</m:t>
              </m:r>
            </m:den>
          </m:f>
        </m:oMath>
      </m:oMathPara>
    </w:p>
    <w:p>
      <w:pPr>
        <w:pStyle w:val="style0"/>
        <w:rPr>
          <w:rFonts w:eastAsia="宋体"/>
        </w:rPr>
      </w:pPr>
      <w:r>
        <w:rPr>
          <w:rFonts w:eastAsia="宋体"/>
          <w:noProof/>
        </w:rPr>
        <w:drawing>
          <wp:inline distL="0" distT="0" distB="0" distR="0">
            <wp:extent cx="4964816" cy="1793631"/>
            <wp:effectExtent l="0" t="0" r="7620" b="0"/>
            <wp:docPr id="1054"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Picture 1"/>
                    <pic:cNvPicPr/>
                  </pic:nvPicPr>
                  <pic:blipFill>
                    <a:blip r:embed="rId30" cstate="print"/>
                    <a:srcRect l="0" t="0" r="0" b="0"/>
                    <a:stretch/>
                  </pic:blipFill>
                  <pic:spPr>
                    <a:xfrm rot="0">
                      <a:off x="0" y="0"/>
                      <a:ext cx="4964816" cy="1793631"/>
                    </a:xfrm>
                    <a:prstGeom prst="rect"/>
                  </pic:spPr>
                </pic:pic>
              </a:graphicData>
            </a:graphic>
          </wp:inline>
        </w:drawing>
      </w:r>
    </w:p>
    <w:bookmarkStart w:id="32" w:name="_Toc226239054"/>
    <w:p>
      <w:pPr>
        <w:pStyle w:val="style34"/>
        <w:rPr/>
      </w:pPr>
      <w:r>
        <w:t xml:space="preserve">Table </w:t>
      </w:r>
      <w:r>
        <w:rPr/>
        <w:fldChar w:fldCharType="begin"/>
      </w:r>
      <w:r>
        <w:instrText xml:space="preserve"> SEQ Table \* ARABIC </w:instrText>
      </w:r>
      <w:r>
        <w:rPr/>
        <w:fldChar w:fldCharType="separate"/>
      </w:r>
      <w:r>
        <w:rPr>
          <w:noProof/>
        </w:rPr>
        <w:t>10</w:t>
      </w:r>
      <w:r>
        <w:rPr>
          <w:noProof/>
        </w:rPr>
        <w:fldChar w:fldCharType="end"/>
      </w:r>
      <w:r>
        <w:t xml:space="preserve">: </w:t>
      </w:r>
      <w:r>
        <w:t xml:space="preserve">Toyota Motors' </w:t>
      </w:r>
      <w:r>
        <w:t>Interest Coverage Ratio</w:t>
      </w:r>
      <w:r>
        <w:t xml:space="preserve"> (Toyota Motors, 2024)</w:t>
      </w:r>
      <w:bookmarkEnd w:id="32"/>
    </w:p>
    <w:p>
      <w:pPr>
        <w:pStyle w:val="style0"/>
        <w:rPr/>
      </w:pPr>
      <w:r>
        <w:t>The ratio indicates high coverage in the past, and it  increased significantly in 2024. This means that Toyota is not highly financially risky and it can comfortably service debt (Toyota Motors, 2024).</w:t>
      </w:r>
    </w:p>
    <w:bookmarkStart w:id="33" w:name="_Toc226239086"/>
    <w:p>
      <w:pPr>
        <w:pStyle w:val="style2"/>
        <w:rPr/>
      </w:pPr>
      <w:r>
        <w:t>Investment Ratios</w:t>
      </w:r>
      <w:bookmarkEnd w:id="33"/>
    </w:p>
    <w:p>
      <w:pPr>
        <w:pStyle w:val="style0"/>
        <w:rPr/>
      </w:pPr>
      <w:r>
        <w:t>Investment ratios assess returns to shareholders (Nukala &amp; Rao, 2021).</w:t>
      </w:r>
    </w:p>
    <w:bookmarkStart w:id="34" w:name="_Toc226239087"/>
    <w:p>
      <w:pPr>
        <w:pStyle w:val="style3"/>
        <w:rPr/>
      </w:pPr>
      <w:r>
        <w:t>Earnings Per Share (EPS)</w:t>
      </w:r>
      <w:bookmarkEnd w:id="34"/>
    </w:p>
    <w:p>
      <w:pPr>
        <w:pStyle w:val="style0"/>
        <w:rPr/>
      </w:pPr>
      <w:r>
        <w:t>EPS is the profit realized per share (Nukala &amp; Rao, 2021).</w:t>
      </w:r>
    </w:p>
    <w:p>
      <w:pPr>
        <w:pStyle w:val="style0"/>
        <w:rPr/>
      </w:pPr>
      <w:r>
        <w:rPr>
          <w:b/>
          <w:bCs/>
          <w:i/>
          <w:iCs/>
        </w:rPr>
        <w:t>Formula:</w:t>
      </w:r>
    </w:p>
    <w:p>
      <w:pPr>
        <w:pStyle w:val="style0"/>
        <w:rPr>
          <w:rFonts w:eastAsia="宋体"/>
        </w:rPr>
      </w:pPr>
      <m:oMathPara>
        <m:oMath>
          <m:r>
            <w:rPr>
              <w:rFonts w:ascii="Cambria Math" w:hAnsi="Cambria Math"/>
            </w:rPr>
            <m:t>EPS =</m:t>
          </m:r>
          <m:f>
            <m:fPr>
              <m:ctrlPr>
                <w:rPr>
                  <w:rFonts w:ascii="Cambria Math" w:hAnsi="Cambria Math"/>
                  <w:i/>
                </w:rPr>
              </m:ctrlPr>
            </m:fPr>
            <m:num>
              <m:r>
                <w:rPr>
                  <w:rFonts w:ascii="Cambria Math" w:hAnsi="Cambria Math"/>
                </w:rPr>
                <m:t>Net Income</m:t>
              </m:r>
            </m:num>
            <m:den>
              <m:r>
                <w:rPr>
                  <w:rFonts w:ascii="Cambria Math" w:hAnsi="Cambria Math"/>
                </w:rPr>
                <m:t>Number of Shares</m:t>
              </m:r>
            </m:den>
          </m:f>
        </m:oMath>
      </m:oMathPara>
    </w:p>
    <w:p>
      <w:pPr>
        <w:pStyle w:val="style0"/>
        <w:rPr>
          <w:rFonts w:eastAsia="宋体"/>
        </w:rPr>
      </w:pPr>
      <w:r>
        <w:rPr>
          <w:rFonts w:eastAsia="宋体"/>
          <w:noProof/>
        </w:rPr>
        <w:drawing>
          <wp:inline distL="0" distT="0" distB="0" distR="0">
            <wp:extent cx="5435879" cy="1930499"/>
            <wp:effectExtent l="0" t="0" r="0" b="0"/>
            <wp:docPr id="1055"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Picture 1"/>
                    <pic:cNvPicPr/>
                  </pic:nvPicPr>
                  <pic:blipFill>
                    <a:blip r:embed="rId31" cstate="print"/>
                    <a:srcRect l="0" t="0" r="0" b="0"/>
                    <a:stretch/>
                  </pic:blipFill>
                  <pic:spPr>
                    <a:xfrm rot="0">
                      <a:off x="0" y="0"/>
                      <a:ext cx="5435879" cy="1930499"/>
                    </a:xfrm>
                    <a:prstGeom prst="rect"/>
                  </pic:spPr>
                </pic:pic>
              </a:graphicData>
            </a:graphic>
          </wp:inline>
        </w:drawing>
      </w:r>
    </w:p>
    <w:bookmarkStart w:id="35" w:name="_Toc226239055"/>
    <w:p>
      <w:pPr>
        <w:pStyle w:val="style34"/>
        <w:rPr/>
      </w:pPr>
      <w:r>
        <w:t xml:space="preserve">Table </w:t>
      </w:r>
      <w:r>
        <w:rPr/>
        <w:fldChar w:fldCharType="begin"/>
      </w:r>
      <w:r>
        <w:instrText xml:space="preserve"> SEQ Table \* ARABIC </w:instrText>
      </w:r>
      <w:r>
        <w:rPr/>
        <w:fldChar w:fldCharType="separate"/>
      </w:r>
      <w:r>
        <w:rPr>
          <w:noProof/>
        </w:rPr>
        <w:t>11</w:t>
      </w:r>
      <w:r>
        <w:rPr>
          <w:noProof/>
        </w:rPr>
        <w:fldChar w:fldCharType="end"/>
      </w:r>
      <w:r>
        <w:t xml:space="preserve">: </w:t>
      </w:r>
      <w:r>
        <w:t xml:space="preserve">Toyota Motors' </w:t>
      </w:r>
      <w:r>
        <w:t>EPS</w:t>
      </w:r>
      <w:r>
        <w:t xml:space="preserve"> (Toyota Motors, 2024)</w:t>
      </w:r>
      <w:bookmarkEnd w:id="35"/>
    </w:p>
    <w:p>
      <w:pPr>
        <w:pStyle w:val="style0"/>
        <w:rPr/>
      </w:pPr>
      <w:r>
        <w:rPr>
          <w:noProof/>
        </w:rPr>
      </w:r>
      <w:r>
        <w:rPr>
          <w:noProof/>
        </w:rPr>
      </w:r>
      <w:r>
        <w:rPr>
          <w:noProof/>
        </w:rPr>
      </w:r>
      <w:r>
        <w:rPr>
          <w:noProof/>
        </w:rPr>
        <w:drawing>
          <wp:inline distL="114300" distT="0" distB="0" distR="114300">
            <wp:extent cx="4572000" cy="2743200"/>
            <wp:effectExtent l="0" t="0" r="0" b="0"/>
            <wp:docPr id="1057"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Pr>
          <w:noProof/>
        </w:rPr>
      </w:r>
    </w:p>
    <w:bookmarkStart w:id="36" w:name="_Toc226239044"/>
    <w:p>
      <w:pPr>
        <w:pStyle w:val="style34"/>
        <w:rPr/>
      </w:pPr>
      <w:r>
        <w:t xml:space="preserve">Figure </w:t>
      </w:r>
      <w:r>
        <w:rPr/>
        <w:fldChar w:fldCharType="begin"/>
      </w:r>
      <w:r>
        <w:instrText xml:space="preserve"> SEQ Figure \* ARABIC </w:instrText>
      </w:r>
      <w:r>
        <w:rPr/>
        <w:fldChar w:fldCharType="separate"/>
      </w:r>
      <w:r>
        <w:rPr>
          <w:noProof/>
        </w:rPr>
        <w:t>7</w:t>
      </w:r>
      <w:r>
        <w:rPr/>
        <w:fldChar w:fldCharType="end"/>
      </w:r>
      <w:r>
        <w:t xml:space="preserve">: </w:t>
      </w:r>
      <w:r>
        <w:t>Toyota Motors' EPS (Toyota Motors, 2024)</w:t>
      </w:r>
      <w:bookmarkEnd w:id="36"/>
    </w:p>
    <w:p>
      <w:pPr>
        <w:pStyle w:val="style0"/>
        <w:rPr/>
      </w:pPr>
      <w:r>
        <w:t>The shareholder value is created because EPS has been growing substantially in 2024 as a result of increased profits (Toyota Motors, 2024).</w:t>
      </w:r>
    </w:p>
    <w:bookmarkStart w:id="37" w:name="_Toc226239088"/>
    <w:p>
      <w:pPr>
        <w:pStyle w:val="style3"/>
        <w:rPr/>
      </w:pPr>
      <w:r>
        <w:t>Dividend Payout Ratio</w:t>
      </w:r>
      <w:bookmarkEnd w:id="37"/>
    </w:p>
    <w:p>
      <w:pPr>
        <w:pStyle w:val="style0"/>
        <w:rPr/>
      </w:pPr>
      <w:r>
        <w:t>This ratio is used to calculate the rate of earnings paid out in form of dividends (Shabrina &amp; Hadian, 2021).</w:t>
      </w:r>
    </w:p>
    <w:p>
      <w:pPr>
        <w:pStyle w:val="style0"/>
        <w:rPr>
          <w:rFonts w:eastAsia="宋体"/>
        </w:rPr>
      </w:pPr>
      <w:r>
        <w:rPr>
          <w:rFonts w:eastAsia="宋体"/>
          <w:b/>
          <w:bCs/>
          <w:i/>
          <w:iCs/>
        </w:rPr>
        <w:t>Formula:</w:t>
      </w:r>
    </w:p>
    <w:p>
      <w:pPr>
        <w:pStyle w:val="style0"/>
        <w:rPr>
          <w:rFonts w:eastAsia="宋体"/>
        </w:rPr>
      </w:pPr>
      <w:r>
        <w:rPr>
          <w:rFonts w:eastAsia="宋体"/>
          <w:noProof/>
        </w:rPr>
        <w:object>
          <v:shape id="1058" type="#_x0000_t75" filled="f" stroked="f" style="margin-left:0.0pt;margin-top:0.0pt;width:463.52pt;height:212.01pt;mso-wrap-distance-left:0.0pt;mso-wrap-distance-right:0.0pt;visibility:visible;">
            <w10:anchorlock/>
            <v:imagedata r:id="rId33" embosscolor="white" o:title=""/>
            <v:fill/>
          </v:shape>
          <o:OLEObject Type="EMBED" ProgID="Excel.Chart.8" ShapeID="1058" DrawAspect="Content" ObjectID="0" r:id="rId34"/>
        </w:object>
      </w:r>
    </w:p>
    <w:bookmarkStart w:id="38" w:name="_Toc226239056"/>
    <w:p>
      <w:pPr>
        <w:pStyle w:val="style34"/>
        <w:rPr/>
      </w:pPr>
      <w:r>
        <w:t xml:space="preserve">Table </w:t>
      </w:r>
      <w:r>
        <w:rPr/>
        <w:fldChar w:fldCharType="begin"/>
      </w:r>
      <w:r>
        <w:instrText xml:space="preserve"> SEQ Table \* ARABIC </w:instrText>
      </w:r>
      <w:r>
        <w:rPr/>
        <w:fldChar w:fldCharType="separate"/>
      </w:r>
      <w:r>
        <w:rPr>
          <w:noProof/>
        </w:rPr>
        <w:t>12</w:t>
      </w:r>
      <w:r>
        <w:rPr>
          <w:noProof/>
        </w:rPr>
        <w:fldChar w:fldCharType="end"/>
      </w:r>
      <w:r>
        <w:t xml:space="preserve">: </w:t>
      </w:r>
      <w:r>
        <w:t xml:space="preserve">Toyota Motors' </w:t>
      </w:r>
      <w:r>
        <w:t>Dividend Payout Ratio</w:t>
      </w:r>
      <w:r>
        <w:t xml:space="preserve"> (Toyota Motors, 2024)</w:t>
      </w:r>
      <w:bookmarkEnd w:id="38"/>
    </w:p>
    <w:p>
      <w:pPr>
        <w:pStyle w:val="style0"/>
        <w:rPr/>
      </w:pPr>
      <w:r>
        <w:t>Toyota has a consistent payout ratio of between 20% and 33%, which indicates moderation in both reinvestment and shareholder dividends. This favours dividend signalling theory (Toyota Motors, 2024).</w:t>
      </w:r>
    </w:p>
    <w:bookmarkStart w:id="39" w:name="_Toc226239089"/>
    <w:p>
      <w:pPr>
        <w:pStyle w:val="style2"/>
        <w:rPr/>
      </w:pPr>
      <w:r>
        <w:t>Overall Financial Evaluation</w:t>
      </w:r>
      <w:bookmarkEnd w:id="39"/>
    </w:p>
    <w:p>
      <w:pPr>
        <w:pStyle w:val="style0"/>
        <w:rPr/>
      </w:pPr>
      <w:r>
        <w:t>In general, Toyota has a good financial performance during the five years. Revenue and profitability were recovered and improved with a great improvement in 2024. It is financially stable as liquidity is high and cash reserves are high. Post COVID disruptions lead to increased efficiency, but there are supply chain risks. Nevertheless, the volatility of margin and external risk (inflation, currency volatility, supply chain interruptions, etc.) are crucial issues.</w:t>
      </w:r>
    </w:p>
    <w:bookmarkStart w:id="40" w:name="_Toc226239090"/>
    <w:p>
      <w:pPr>
        <w:pStyle w:val="style1"/>
        <w:rPr/>
      </w:pPr>
      <w:r>
        <w:t>Working Capital Management Analysis</w:t>
      </w:r>
      <w:bookmarkEnd w:id="40"/>
    </w:p>
    <w:bookmarkStart w:id="41" w:name="_Toc226239091"/>
    <w:p>
      <w:pPr>
        <w:pStyle w:val="style2"/>
        <w:rPr/>
      </w:pPr>
      <w:r>
        <w:t>Cash Conversion Cycle (CCC)</w:t>
      </w:r>
      <w:bookmarkEnd w:id="41"/>
    </w:p>
    <w:p>
      <w:pPr>
        <w:pStyle w:val="style0"/>
        <w:rPr/>
      </w:pPr>
      <w:r>
        <w:t>The cash conversion cycle (CCC) is used to measure the duration that a firm requires to convert its investments in inventory and receivables into cash, including payment to suppliers (Boisjoly et al., 2020). It is determined as:</w:t>
      </w:r>
    </w:p>
    <w:p>
      <w:pPr>
        <w:pStyle w:val="style0"/>
        <w:rPr>
          <w:rFonts w:eastAsia="宋体"/>
        </w:rPr>
      </w:pPr>
      <m:oMathPara>
        <m:oMath>
          <m:r>
            <w:rPr>
              <w:rFonts w:ascii="Cambria Math" w:hAnsi="Cambria Math"/>
            </w:rPr>
            <m:t>CCC = Inventory Days + Receivable Days - Payable Days</m:t>
          </m:r>
        </m:oMath>
      </m:oMathPara>
    </w:p>
    <w:p>
      <w:pPr>
        <w:pStyle w:val="style0"/>
        <w:rPr/>
      </w:pPr>
      <w:r>
        <w:t>For Toyota, CCC is a very important indicator since the corporation has a large scale of global supply chain and has implemented Just-in-Time (JIT) production system that focuses on reducing the cost of holding inventory and enhancing efficiency (Soliman, 2023).</w:t>
      </w:r>
    </w:p>
    <w:p>
      <w:pPr>
        <w:pStyle w:val="style0"/>
        <w:rPr/>
      </w:pPr>
      <w:r>
        <w:rPr>
          <w:noProof/>
        </w:rPr>
        <w:drawing>
          <wp:inline distL="0" distT="0" distB="0" distR="0">
            <wp:extent cx="5435879" cy="2076557"/>
            <wp:effectExtent l="0" t="0" r="0" b="0"/>
            <wp:docPr id="1059"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 name="Picture 1"/>
                    <pic:cNvPicPr/>
                  </pic:nvPicPr>
                  <pic:blipFill>
                    <a:blip r:embed="rId35" cstate="print"/>
                    <a:srcRect l="0" t="0" r="0" b="0"/>
                    <a:stretch/>
                  </pic:blipFill>
                  <pic:spPr>
                    <a:xfrm rot="0">
                      <a:off x="0" y="0"/>
                      <a:ext cx="5435879" cy="2076557"/>
                    </a:xfrm>
                    <a:prstGeom prst="rect"/>
                  </pic:spPr>
                </pic:pic>
              </a:graphicData>
            </a:graphic>
          </wp:inline>
        </w:drawing>
      </w:r>
    </w:p>
    <w:bookmarkStart w:id="42" w:name="_Toc226239057"/>
    <w:p>
      <w:pPr>
        <w:pStyle w:val="style34"/>
        <w:rPr/>
      </w:pPr>
      <w:r>
        <w:t xml:space="preserve">Table </w:t>
      </w:r>
      <w:r>
        <w:rPr/>
        <w:fldChar w:fldCharType="begin"/>
      </w:r>
      <w:r>
        <w:instrText xml:space="preserve"> SEQ Table \* ARABIC </w:instrText>
      </w:r>
      <w:r>
        <w:rPr/>
        <w:fldChar w:fldCharType="separate"/>
      </w:r>
      <w:r>
        <w:rPr>
          <w:noProof/>
        </w:rPr>
        <w:t>13</w:t>
      </w:r>
      <w:r>
        <w:rPr>
          <w:noProof/>
        </w:rPr>
        <w:fldChar w:fldCharType="end"/>
      </w:r>
      <w:r>
        <w:t xml:space="preserve">: </w:t>
      </w:r>
      <w:r>
        <w:t xml:space="preserve">Toyota Motors' </w:t>
      </w:r>
      <w:r>
        <w:t>CCC</w:t>
      </w:r>
      <w:r>
        <w:t xml:space="preserve"> (Toyota Motors, 2024)</w:t>
      </w:r>
      <w:bookmarkEnd w:id="42"/>
    </w:p>
    <w:p>
      <w:pPr>
        <w:pStyle w:val="style0"/>
        <w:rPr/>
      </w:pPr>
      <w:r>
        <w:t>In 2021, the CCC fell considerably because of COVID-19 disruptions that led to delays in production and inefficient supply chains. The inventory days were raised due to the stalled production and delayed sales and also the receivable days were raised due to the reduction in customer payment. Nevertheless, since 2022, Toyota has enhanced its working capital efficiency to lower CCC to 21 days in 2024. This can be seen as an improved inventory management and accelerated cash recovery (Toyota Motors, 2024).</w:t>
      </w:r>
    </w:p>
    <w:p>
      <w:pPr>
        <w:pStyle w:val="style0"/>
        <w:rPr/>
      </w:pPr>
      <w:r>
        <w:t>The JIT system of Toyota contributes significantly to minimizing the number of inventory days as it manufactures vehicles as required. Nevertheless, the shortage of semiconductors in 2021-2022 revealed a major vulnerability of this system (Shcherbakov, 2022). Toyota was dependent on a small number of inventories, thereby exposing it to a risk of supply shortage. Thus, JIT is more efficient in stable conditions, but it is riskier in operations during crisis situations throughout the world.</w:t>
      </w:r>
    </w:p>
    <w:bookmarkStart w:id="43" w:name="_Toc226239092"/>
    <w:p>
      <w:pPr>
        <w:pStyle w:val="style2"/>
        <w:rPr/>
      </w:pPr>
      <w:r>
        <w:t>Liquidity Improvement Strategies</w:t>
      </w:r>
      <w:bookmarkEnd w:id="43"/>
    </w:p>
    <w:p>
      <w:pPr>
        <w:pStyle w:val="style0"/>
        <w:rPr/>
      </w:pPr>
      <w:r>
        <w:t>To enhance its liquidity, Toyota needs to better manage its working capital, particularly as it is currently investing heavily in the development of electric vehicles (EVs) and international growth.</w:t>
      </w:r>
    </w:p>
    <w:p>
      <w:pPr>
        <w:pStyle w:val="style0"/>
        <w:rPr/>
      </w:pPr>
      <w:r>
        <w:t xml:space="preserve">Firstly, Toyota would have to diversify its suppliers. Dependence on few suppliers was also an issue as the semiconductor shortage greatly affected production. Toyota can </w:t>
      </w:r>
      <w:r>
        <w:t>minimise supply risks and continuity by increasing network suppliers in various regions (McKinsey &amp; Company, 2022).</w:t>
      </w:r>
    </w:p>
    <w:p>
      <w:pPr>
        <w:pStyle w:val="style0"/>
        <w:rPr/>
      </w:pPr>
      <w:r>
        <w:t>Secondly, Toyota ought to invest in online supply chain. Artificial intelligence and real-time data analytics technologies can enhance demand prediction and inventory control. This would enable Toyota to react swiftly to the demand change and minimize inefficiencies (Narne, 2021).</w:t>
      </w:r>
    </w:p>
    <w:p>
      <w:pPr>
        <w:pStyle w:val="style0"/>
        <w:rPr/>
      </w:pPr>
      <w:r>
        <w:t>Thirdly, Toyota needs to maintain strategic inventory stocks on vital parts like semiconductors. Although JIT saves money, the minimum safety stock level will ensure that there is no disruption to production when disruptions occur (Nweje &amp; Taiwo, 2025).</w:t>
      </w:r>
    </w:p>
    <w:p>
      <w:pPr>
        <w:pStyle w:val="style0"/>
        <w:rPr/>
      </w:pPr>
      <w:r>
        <w:t>Also, Toyota should enhance the management of the receivables by having more stringent credit control laws and employing more rapid collection mechanisms. This would cut down the number of days outstanding and enhance cash flows (Nweje &amp; Taiwo, 2025).</w:t>
      </w:r>
    </w:p>
    <w:p>
      <w:pPr>
        <w:pStyle w:val="style0"/>
        <w:rPr/>
      </w:pPr>
      <w:r>
        <w:t>These measures comply with the current working capital management methods, which combine effectiveness and risk control. These reforms will help Toyota to improve liquidity, minimize operational disruption, as well as facilitate long-term strategic investment.</w:t>
      </w:r>
    </w:p>
    <w:bookmarkStart w:id="44" w:name="_Toc226239093"/>
    <w:p>
      <w:pPr>
        <w:pStyle w:val="style2"/>
        <w:rPr/>
      </w:pPr>
      <w:r>
        <w:t>Financing Options</w:t>
      </w:r>
      <w:bookmarkEnd w:id="44"/>
    </w:p>
    <w:p>
      <w:pPr>
        <w:pStyle w:val="style0"/>
        <w:rPr/>
      </w:pPr>
      <w:r>
        <w:t>Financing decisions are important in management of working capital and assist in investment activities. Toyota has the option of either short-term or long-term financing depending on its financial requirements(Setiany, 2021).</w:t>
      </w:r>
    </w:p>
    <w:p>
      <w:pPr>
        <w:pStyle w:val="style0"/>
        <w:rPr/>
      </w:pPr>
      <w:r>
        <w:t>Short-term funding consists of trade credit and overdrafts. Overdrafts offer liquidity flexibility in case of a temporary cash crunch and trade credit enables Toyota to postpone payments to its suppliers. These are good alternatives that can be used to deal with daily operations and short-term working capital. Nonetheless, too much dependence on short-term financing may add financial risk and interest expenses (Abaku et al., 2024).</w:t>
      </w:r>
    </w:p>
    <w:p>
      <w:pPr>
        <w:pStyle w:val="style0"/>
        <w:rPr/>
      </w:pPr>
      <w:r>
        <w:t>The long-term financing involves bonds and equity. Toyota issues relatively cheap corporate bonds regularly because of its high credit rating. Equity financing gives the company permanent capital but leads to dilution of shareholding (Wen et al., 2023).</w:t>
      </w:r>
    </w:p>
    <w:p>
      <w:pPr>
        <w:pStyle w:val="style0"/>
        <w:rPr/>
      </w:pPr>
      <w:r>
        <w:t>For Toyota, EV investments, research and development, and expansion projects are better financed using long-term financing. These projects are capital intensive and take long to break even and short-term funding is not suitable to fund them (Tolegen, 2022).</w:t>
      </w:r>
    </w:p>
    <w:p>
      <w:pPr>
        <w:pStyle w:val="style0"/>
        <w:rPr/>
      </w:pPr>
      <w:r>
        <w:t>According to the matching principle (hedging approach), long-term assets should be financed using long-term funds, while short-term assets should be financed with short-term funds. Toyota adheres to the practice by stabilizing its strategic investments with the help of stable financing and operating the working capital with the help of short-term sources (Shinde et al., 2022).</w:t>
      </w:r>
    </w:p>
    <w:bookmarkStart w:id="45" w:name="_Toc226239094"/>
    <w:p>
      <w:pPr>
        <w:pStyle w:val="style1"/>
        <w:rPr/>
      </w:pPr>
      <w:r>
        <w:t>Strategic Financial Restructuring Plan</w:t>
      </w:r>
      <w:bookmarkEnd w:id="45"/>
    </w:p>
    <w:bookmarkStart w:id="46" w:name="_Toc226239095"/>
    <w:p>
      <w:pPr>
        <w:pStyle w:val="style2"/>
        <w:rPr/>
      </w:pPr>
      <w:r>
        <w:t>Identification of Key Financial Problems</w:t>
      </w:r>
      <w:bookmarkEnd w:id="46"/>
    </w:p>
    <w:p>
      <w:pPr>
        <w:pStyle w:val="style0"/>
        <w:rPr/>
      </w:pPr>
      <w:r>
        <w:t>The 2020-2024 financial analysis of Toyota Motor shows that it has several structural problems that need to be restructured strategically on a financial basis. Margin volatility is one of the key issues. In 2023, the operating margin of Toyota decreased to 7.3% and then soared to 11.9% in 2024 (Toyota Motors, 2024). This variation indicates that profitability is very sensitive to the externalities like inflation, prices of raw materials, and exchange rates. This causes confusion in financial planning over the long-term and performance stability.</w:t>
      </w:r>
    </w:p>
    <w:p>
      <w:pPr>
        <w:pStyle w:val="style0"/>
        <w:rPr/>
      </w:pPr>
      <w:r>
        <w:t>Supply chain risk is another major problem. In the 2021-2022 period, Toyota was highly disrupted by the global shortage of semiconductors that multiplied inventory days and diminished operational efficiency. The company was dependent on the Just-in-Time (JIT) system, which proved to be effective in the stable environment, but revealed the vulnerabilities during the global crisis (Soliman, 2023).</w:t>
      </w:r>
    </w:p>
    <w:p>
      <w:pPr>
        <w:pStyle w:val="style0"/>
        <w:rPr/>
      </w:pPr>
      <w:r>
        <w:t xml:space="preserve">Increasing costs are also an issue. Profitability has been affected by increased prices of raw material, logistics, and labour. Even though Toyota has shown impressive growth in </w:t>
      </w:r>
      <w:r>
        <w:t>2024, to some extent, this growth was also because of the drop of the Japanese yen as opposed to its internal efficiency (Bhattacheryay, 2023).</w:t>
      </w:r>
    </w:p>
    <w:p>
      <w:pPr>
        <w:pStyle w:val="style0"/>
        <w:rPr/>
      </w:pPr>
      <w:r>
        <w:rPr>
          <w:noProof/>
        </w:rPr>
        <w:drawing>
          <wp:inline distL="0" distT="0" distB="0" distR="0">
            <wp:extent cx="5429529" cy="1606633"/>
            <wp:effectExtent l="0" t="0" r="0" b="0"/>
            <wp:docPr id="1060"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 name="Picture 1"/>
                    <pic:cNvPicPr/>
                  </pic:nvPicPr>
                  <pic:blipFill>
                    <a:blip r:embed="rId36" cstate="print"/>
                    <a:srcRect l="0" t="0" r="0" b="0"/>
                    <a:stretch/>
                  </pic:blipFill>
                  <pic:spPr>
                    <a:xfrm rot="0">
                      <a:off x="0" y="0"/>
                      <a:ext cx="5429529" cy="1606633"/>
                    </a:xfrm>
                    <a:prstGeom prst="rect"/>
                  </pic:spPr>
                </pic:pic>
              </a:graphicData>
            </a:graphic>
          </wp:inline>
        </w:drawing>
      </w:r>
    </w:p>
    <w:bookmarkStart w:id="47" w:name="_Toc226239058"/>
    <w:p>
      <w:pPr>
        <w:pStyle w:val="style34"/>
        <w:rPr/>
      </w:pPr>
      <w:r>
        <w:t xml:space="preserve">Table </w:t>
      </w:r>
      <w:r>
        <w:rPr/>
        <w:fldChar w:fldCharType="begin"/>
      </w:r>
      <w:r>
        <w:instrText xml:space="preserve"> SEQ Table \* ARABIC </w:instrText>
      </w:r>
      <w:r>
        <w:rPr/>
        <w:fldChar w:fldCharType="separate"/>
      </w:r>
      <w:r>
        <w:rPr>
          <w:noProof/>
        </w:rPr>
        <w:t>14</w:t>
      </w:r>
      <w:r>
        <w:rPr>
          <w:noProof/>
        </w:rPr>
        <w:fldChar w:fldCharType="end"/>
      </w:r>
      <w:r>
        <w:t xml:space="preserve">: Issues Identified with Toyota Long-term Growth </w:t>
      </w:r>
      <w:r>
        <w:t>(Toyota Motors, 2024)</w:t>
      </w:r>
      <w:bookmarkEnd w:id="47"/>
    </w:p>
    <w:p>
      <w:pPr>
        <w:pStyle w:val="style0"/>
        <w:rPr/>
      </w:pPr>
      <w:r>
        <w:t>Moreover, the asset base of Toyota grew dramatically by 2024, rising by ¥90.1 trillion, compared to ¥52.7 trillion in 2020 (Toyota Motors, 2024). Although this is an indicator of growth, it also translates to higher capital intensity and financial risk in case returns do not continue.</w:t>
      </w:r>
    </w:p>
    <w:bookmarkStart w:id="48" w:name="_Toc226239096"/>
    <w:p>
      <w:pPr>
        <w:pStyle w:val="style2"/>
        <w:rPr/>
      </w:pPr>
      <w:r>
        <w:t>Financial Restructuring Options</w:t>
      </w:r>
      <w:bookmarkEnd w:id="48"/>
    </w:p>
    <w:p>
      <w:pPr>
        <w:pStyle w:val="style0"/>
        <w:rPr/>
      </w:pPr>
      <w:r>
        <w:t>To meet these challenges, Toyota ought to pursue an extensive restructuring plan informed by the corporate restructuring theory that emphasizes on efficiency, resource redistribution, and increased value over the long-run (Umar, 2023).</w:t>
      </w:r>
    </w:p>
    <w:p>
      <w:pPr>
        <w:pStyle w:val="style0"/>
        <w:rPr/>
      </w:pPr>
      <w:r>
        <w:t>Firstly, Toyota needs to reorganize its investment plan in EV. Even though Toyota has recorded revenues of ¥45.1 trillion in 2024, it has been slower in switching to electric vehicles than its competitors (Toyota Motors, 2024). The company ought to invest capital, which they used to produce internal combustion engines (ICE), into EV and battery technology. This will match investments to the future demand and enhance the long-term competitiveness.</w:t>
      </w:r>
    </w:p>
    <w:p>
      <w:pPr>
        <w:pStyle w:val="style0"/>
        <w:rPr/>
      </w:pPr>
      <w:r>
        <w:t xml:space="preserve">Secondly, it is necessary to reorganize costs. Toyota needs to cut down on the operational expenses by intensifying automation and digitalisation in its production processes. The use of AI-based forecasting systems can enhance the planning of </w:t>
      </w:r>
      <w:r>
        <w:t>demand and minimize inefficiencies. This will stabilise the operating margins and decrease the reliance on external economic factors (Ogunyankinnu et al., 2024).</w:t>
      </w:r>
    </w:p>
    <w:p>
      <w:pPr>
        <w:pStyle w:val="style0"/>
        <w:rPr/>
      </w:pPr>
      <w:r>
        <w:t>Thirdly, geographic diversification is to be enhanced. Toyota ought to increase its suppliers in different regions to limit dependence on particular countries. The semiconductor shortage indicated that concentration risk can be a major disrupter. Diversification will enhance resilience and minimise supply chain risks.</w:t>
      </w:r>
    </w:p>
    <w:p>
      <w:pPr>
        <w:pStyle w:val="style0"/>
        <w:rPr/>
      </w:pPr>
      <w:r>
        <w:t>Fourth, Toyota must explore the idea of divesting non-core and less profitable segments. Although, the financial services division is a source of revenue, it also raises the levels of debt. Such segments can be optimally restructured or partially divested to enhance core automotive and EV activities (Park et al., 2022).</w:t>
      </w:r>
    </w:p>
    <w:p>
      <w:pPr>
        <w:pStyle w:val="style0"/>
        <w:rPr/>
      </w:pPr>
      <w:r>
        <w:t>Lastly, Toyota must consider strategic alliances and equity-based ventures. This can be achieved by collaboration with battery manufacturers and technology companies to decrease the financial load and increase innovations. This strategy enables Toyota to distribute risks and enhance technological strengths (Setiany, 2021).</w:t>
      </w:r>
    </w:p>
    <w:p>
      <w:pPr>
        <w:pStyle w:val="style0"/>
        <w:rPr/>
      </w:pPr>
      <w:r>
        <w:rPr>
          <w:noProof/>
        </w:rPr>
        <w:drawing>
          <wp:inline distL="0" distT="0" distB="0" distR="0">
            <wp:extent cx="5001065" cy="1857206"/>
            <wp:effectExtent l="0" t="0" r="0" b="0"/>
            <wp:docPr id="1061"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 name="Picture 1"/>
                    <pic:cNvPicPr/>
                  </pic:nvPicPr>
                  <pic:blipFill>
                    <a:blip r:embed="rId37" cstate="print"/>
                    <a:srcRect l="0" t="0" r="0" b="0"/>
                    <a:stretch/>
                  </pic:blipFill>
                  <pic:spPr>
                    <a:xfrm rot="0">
                      <a:off x="0" y="0"/>
                      <a:ext cx="5001065" cy="1857206"/>
                    </a:xfrm>
                    <a:prstGeom prst="rect"/>
                  </pic:spPr>
                </pic:pic>
              </a:graphicData>
            </a:graphic>
          </wp:inline>
        </w:drawing>
      </w:r>
    </w:p>
    <w:bookmarkStart w:id="49" w:name="_Toc226239059"/>
    <w:p>
      <w:pPr>
        <w:pStyle w:val="style34"/>
        <w:rPr/>
      </w:pPr>
      <w:r>
        <w:t xml:space="preserve">Table </w:t>
      </w:r>
      <w:r>
        <w:rPr/>
        <w:fldChar w:fldCharType="begin"/>
      </w:r>
      <w:r>
        <w:instrText xml:space="preserve"> SEQ Table \* ARABIC </w:instrText>
      </w:r>
      <w:r>
        <w:rPr/>
        <w:fldChar w:fldCharType="separate"/>
      </w:r>
      <w:r>
        <w:rPr>
          <w:noProof/>
        </w:rPr>
        <w:t>15</w:t>
      </w:r>
      <w:r>
        <w:rPr>
          <w:noProof/>
        </w:rPr>
        <w:fldChar w:fldCharType="end"/>
      </w:r>
      <w:r>
        <w:t>: Strategic Restructuring Options for Toyota (Author)</w:t>
      </w:r>
      <w:bookmarkEnd w:id="49"/>
    </w:p>
    <w:bookmarkStart w:id="50" w:name="_Toc226239097"/>
    <w:p>
      <w:pPr>
        <w:pStyle w:val="style2"/>
        <w:rPr/>
      </w:pPr>
      <w:r>
        <w:t>Impact Analysis of Restructuring</w:t>
      </w:r>
      <w:bookmarkEnd w:id="50"/>
    </w:p>
    <w:p>
      <w:pPr>
        <w:pStyle w:val="style0"/>
        <w:rPr/>
      </w:pPr>
      <w:r>
        <w:t>The suggested reorganization plans will have a considerable positive impact on the financial performance and the value to the shareholders of Toyota.</w:t>
      </w:r>
    </w:p>
    <w:p>
      <w:pPr>
        <w:pStyle w:val="style0"/>
        <w:rPr/>
      </w:pPr>
      <w:r>
        <w:t xml:space="preserve">Firstly, the shareholder value will tend to increase. In 2024 Toyota had a ROE of 15.8% which is a good ROE. Toyota can sustain or increase profitability by reallocating </w:t>
      </w:r>
      <w:r>
        <w:t>investments to EVs and raising cost efficiency (Toyota Motors, 2024). The shareholder value model states that an efficient allocation of the capital and the increased profitability directly enhance the shareholder wealth (Soliman, 2023).</w:t>
      </w:r>
    </w:p>
    <w:p>
      <w:pPr>
        <w:pStyle w:val="style0"/>
        <w:rPr/>
      </w:pPr>
      <w:r>
        <w:t>Secondly, the restructuring will have a debt structure impact on Toyota. Toyota now has a moderate leverage, and its debt-to-equity ratio is decreasing. The company can minimize its debt financing by selling off non-core assets and enhancing operational efficiency. Nevertheless, there will still be some degree of borrowing that will be needed to finance large scale EV investments. A balanced capital structure will reduce financial risk and help in growth (Susilawati et al., 2022).</w:t>
      </w:r>
    </w:p>
    <w:p>
      <w:pPr>
        <w:pStyle w:val="style0"/>
        <w:rPr/>
      </w:pPr>
      <w:r>
        <w:t>Thirdly, the restructuring will enhance the overall risk profile of Toyota. The supply chain risks will be minimized through diversification of suppliers and geographical business operations and the exposure to inflation and price fluctuations will be minimized through cost restructuring. Moreover, by concentrating on EV development, Toyota will position itself to respond to the global environmental trends, which will lower the long-term strategic risk (Umar, 2023).</w:t>
      </w:r>
    </w:p>
    <w:p>
      <w:pPr>
        <w:pStyle w:val="style0"/>
        <w:rPr/>
      </w:pPr>
      <w:r>
        <w:rPr>
          <w:noProof/>
        </w:rPr>
        <w:drawing>
          <wp:inline distL="0" distT="0" distB="0" distR="0">
            <wp:extent cx="5435879" cy="1282766"/>
            <wp:effectExtent l="0" t="0" r="0" b="0"/>
            <wp:docPr id="1062"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 name="Picture 1"/>
                    <pic:cNvPicPr/>
                  </pic:nvPicPr>
                  <pic:blipFill>
                    <a:blip r:embed="rId38" cstate="print"/>
                    <a:srcRect l="0" t="0" r="0" b="0"/>
                    <a:stretch/>
                  </pic:blipFill>
                  <pic:spPr>
                    <a:xfrm rot="0">
                      <a:off x="0" y="0"/>
                      <a:ext cx="5435879" cy="1282766"/>
                    </a:xfrm>
                    <a:prstGeom prst="rect"/>
                  </pic:spPr>
                </pic:pic>
              </a:graphicData>
            </a:graphic>
          </wp:inline>
        </w:drawing>
      </w:r>
    </w:p>
    <w:bookmarkStart w:id="51" w:name="_Toc226239060"/>
    <w:p>
      <w:pPr>
        <w:pStyle w:val="style34"/>
        <w:rPr/>
      </w:pPr>
      <w:r>
        <w:t xml:space="preserve">Table </w:t>
      </w:r>
      <w:r>
        <w:rPr/>
        <w:fldChar w:fldCharType="begin"/>
      </w:r>
      <w:r>
        <w:instrText xml:space="preserve"> SEQ Table \* ARABIC </w:instrText>
      </w:r>
      <w:r>
        <w:rPr/>
        <w:fldChar w:fldCharType="separate"/>
      </w:r>
      <w:r>
        <w:rPr>
          <w:noProof/>
        </w:rPr>
        <w:t>16</w:t>
      </w:r>
      <w:r>
        <w:rPr>
          <w:noProof/>
        </w:rPr>
        <w:fldChar w:fldCharType="end"/>
      </w:r>
      <w:r>
        <w:t>: Restructuring Plan for Toyota (Author)</w:t>
      </w:r>
      <w:bookmarkEnd w:id="51"/>
    </w:p>
    <w:bookmarkStart w:id="52" w:name="_Toc226239098"/>
    <w:p>
      <w:pPr>
        <w:pStyle w:val="style2"/>
        <w:rPr/>
      </w:pPr>
      <w:r>
        <w:t>International and Ethical Considerations</w:t>
      </w:r>
      <w:bookmarkEnd w:id="52"/>
    </w:p>
    <w:p>
      <w:pPr>
        <w:pStyle w:val="style0"/>
        <w:rPr/>
      </w:pPr>
      <w:r>
        <w:t>The restructuring of Toyota should consider international and ethical considerations because of its operation across the globe.</w:t>
      </w:r>
    </w:p>
    <w:p>
      <w:pPr>
        <w:pStyle w:val="style0"/>
        <w:rPr/>
      </w:pPr>
      <w:r>
        <w:t xml:space="preserve">One of the greatest problems is currency risk. The weakening of the Japanese yen also played a significant role in the increase in profits at Toyota in 2024 (Zhang et al., 2025). The dependency on favourable exchange rate is however dangerous. Hedging </w:t>
      </w:r>
      <w:r>
        <w:t>strategies that Toyota needs to implement include forward contracts to handle the changes in currency and guarantee that they get stable earnings.</w:t>
      </w:r>
    </w:p>
    <w:p>
      <w:pPr>
        <w:pStyle w:val="style0"/>
        <w:rPr/>
      </w:pPr>
      <w:r>
        <w:t>Inflation is another important factor. Inflation across the world raises the cost of production and profitability. Toyota will have to deal with this by ensuring its efficiency and using cost control measures without compromising its competitive pricing strategy (Ogunyankinnu et al., 2024).</w:t>
      </w:r>
    </w:p>
    <w:p>
      <w:pPr>
        <w:pStyle w:val="style0"/>
        <w:rPr/>
      </w:pPr>
      <w:r>
        <w:t>Corporate social responsibility (CSR) is also imperative. Toyota has had a vision of becoming carbon neutral and sustainable in terms of mobility. Its hybrid and electric car investments are environmentally friendly. Nevertheless, lithium and cobalt are some of the raw materials that need to be ethically sourced to prevent reputational risks (Ogunyankinnu et al., 2024).</w:t>
      </w:r>
    </w:p>
    <w:p>
      <w:pPr>
        <w:pStyle w:val="style0"/>
        <w:rPr/>
      </w:pPr>
      <w:r>
        <w:t>From an ESG perspective, the restructuring of Toyota needs to be based on environmental sustainability, social responsibility, and good governance practices. Ethical finance entails the financial decision-making being based on long term sustainability and profitability (Nweje &amp; Taiwo, 2025).</w:t>
      </w:r>
    </w:p>
    <w:p>
      <w:pPr>
        <w:pStyle w:val="style0"/>
        <w:rPr/>
      </w:pPr>
      <w:r>
        <w:t>Also, international taxation should be considered. Toyota has its operations in various countries and restructuring decisions should be in line with international taxation laws. Tax planning must be efficient and transparent to ensure that stakeholders trust the company (Nweje &amp; Taiwo, 2025).</w:t>
      </w:r>
    </w:p>
    <w:bookmarkStart w:id="53" w:name="_Toc226239099"/>
    <w:p>
      <w:pPr>
        <w:pStyle w:val="style1"/>
        <w:rPr/>
      </w:pPr>
      <w:r>
        <w:t>Investment Appraisal and Capital Budgeting</w:t>
      </w:r>
      <w:bookmarkEnd w:id="53"/>
    </w:p>
    <w:bookmarkStart w:id="54" w:name="_Toc226239100"/>
    <w:p>
      <w:pPr>
        <w:pStyle w:val="style2"/>
        <w:rPr/>
      </w:pPr>
      <w:r>
        <w:t>Methodology</w:t>
      </w:r>
      <w:bookmarkEnd w:id="54"/>
    </w:p>
    <w:p>
      <w:pPr>
        <w:pStyle w:val="style0"/>
        <w:rPr/>
      </w:pPr>
      <w:r>
        <w:t xml:space="preserve">Investment appraisal methods are tools that are necessary in determining the financial viability of projects and facilitating strategic decision-making. For Toyota Motors, it is especially significant since the company possesses solid financial resources, and operating cash flow currently stands at ¥4.21 trillion in 2024, and it is presently engaged in long-term electric vehicle (EV) transformation (Toyota Motors, 2024). In this regard, it </w:t>
      </w:r>
      <w:r>
        <w:t>is important to choose the appropriate projects to achieve effective allocation of capital and long-term shareholder value.</w:t>
      </w:r>
    </w:p>
    <w:p>
      <w:pPr>
        <w:pStyle w:val="style0"/>
        <w:rPr/>
      </w:pPr>
      <w:r>
        <w:t>This analysis applies five key methods. PBP concentrates on risk and liquidity as it is measured by the speed at which investment is recouped. ARR measures accounting profitability (Soliman, 2023). NPV, IRR, and PI are time-based and more appropriate in strategic decisions that have a long-term basis. The combination of all five approaches guarantees a thorough analysis of the situation, balancing between liquidity, profitability, and value creation, which is crucial to the large-scale investment decisions of Toyota.</w:t>
      </w:r>
    </w:p>
    <w:bookmarkStart w:id="55" w:name="_Toc226239101"/>
    <w:p>
      <w:pPr>
        <w:pStyle w:val="style2"/>
        <w:rPr/>
      </w:pPr>
      <w:r>
        <w:t>Calculations</w:t>
      </w:r>
      <w:bookmarkEnd w:id="55"/>
    </w:p>
    <w:bookmarkStart w:id="56" w:name="_Toc226239102"/>
    <w:p>
      <w:pPr>
        <w:pStyle w:val="style3"/>
        <w:rPr/>
      </w:pPr>
      <w:r>
        <w:t>Payback Period (PBP)</w:t>
      </w:r>
      <w:bookmarkEnd w:id="56"/>
    </w:p>
    <w:p>
      <w:pPr>
        <w:pStyle w:val="style0"/>
        <w:rPr/>
      </w:pPr>
      <w:r>
        <w:t>The payback period is used to determine how much time it will take to recuperate initial investment using cash inflows (Singh et al., 2024). For Toyota, this is significant since the quicker the recovery, the better the liquidity, and less financial risk, particularly in investing in EV-capital intensive projects.</w:t>
      </w:r>
    </w:p>
    <w:p>
      <w:pPr>
        <w:pStyle w:val="style0"/>
        <w:rPr/>
      </w:pPr>
      <w:r>
        <w:rPr>
          <w:b/>
          <w:bCs/>
          <w:i/>
          <w:iCs/>
        </w:rPr>
        <w:t>Formula:</w:t>
      </w:r>
    </w:p>
    <w:p>
      <w:pPr>
        <w:pStyle w:val="style0"/>
        <w:rPr>
          <w:rFonts w:eastAsia="宋体"/>
        </w:rPr>
      </w:pPr>
      <m:oMathPara>
        <m:oMath>
          <m:r>
            <w:rPr>
              <w:rFonts w:ascii="Cambria Math" w:hAnsi="Cambria Math"/>
            </w:rPr>
            <m:t>Payback Period = Time when cumulative cash inflows = Initial investment</m:t>
          </m:r>
        </m:oMath>
      </m:oMathPara>
    </w:p>
    <w:p>
      <w:pPr>
        <w:pStyle w:val="style0"/>
        <w:rPr>
          <w:rFonts w:eastAsia="宋体"/>
        </w:rPr>
      </w:pPr>
      <w:r>
        <w:rPr>
          <w:rFonts w:eastAsia="宋体"/>
          <w:noProof/>
        </w:rPr>
        <w:drawing>
          <wp:inline distL="0" distT="0" distB="0" distR="0">
            <wp:extent cx="5416828" cy="2044804"/>
            <wp:effectExtent l="0" t="0" r="0" b="0"/>
            <wp:docPr id="1063"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 name="Picture 1"/>
                    <pic:cNvPicPr/>
                  </pic:nvPicPr>
                  <pic:blipFill>
                    <a:blip r:embed="rId39" cstate="print"/>
                    <a:srcRect l="0" t="0" r="0" b="0"/>
                    <a:stretch/>
                  </pic:blipFill>
                  <pic:spPr>
                    <a:xfrm rot="0">
                      <a:off x="0" y="0"/>
                      <a:ext cx="5416828" cy="2044804"/>
                    </a:xfrm>
                    <a:prstGeom prst="rect"/>
                  </pic:spPr>
                </pic:pic>
              </a:graphicData>
            </a:graphic>
          </wp:inline>
        </w:drawing>
      </w:r>
    </w:p>
    <w:bookmarkStart w:id="57" w:name="_Toc226239061"/>
    <w:p>
      <w:pPr>
        <w:pStyle w:val="style34"/>
        <w:rPr/>
      </w:pPr>
      <w:r>
        <w:t xml:space="preserve">Table </w:t>
      </w:r>
      <w:r>
        <w:rPr/>
        <w:fldChar w:fldCharType="begin"/>
      </w:r>
      <w:r>
        <w:instrText xml:space="preserve"> SEQ Table \* ARABIC </w:instrText>
      </w:r>
      <w:r>
        <w:rPr/>
        <w:fldChar w:fldCharType="separate"/>
      </w:r>
      <w:r>
        <w:rPr>
          <w:noProof/>
        </w:rPr>
        <w:t>17</w:t>
      </w:r>
      <w:r>
        <w:rPr>
          <w:noProof/>
        </w:rPr>
        <w:fldChar w:fldCharType="end"/>
      </w:r>
      <w:r>
        <w:t>: Projects Payback period (Author)</w:t>
      </w:r>
      <w:bookmarkEnd w:id="57"/>
    </w:p>
    <w:p>
      <w:pPr>
        <w:pStyle w:val="style0"/>
        <w:rPr>
          <w:b/>
          <w:bCs/>
          <w:i/>
          <w:iCs/>
        </w:rPr>
      </w:pPr>
      <w:r>
        <w:rPr>
          <w:b/>
          <w:bCs/>
          <w:i/>
          <w:iCs/>
        </w:rPr>
        <w:t>Result</w:t>
      </w:r>
    </w:p>
    <w:p>
      <w:pPr>
        <w:pStyle w:val="style179"/>
        <w:numPr>
          <w:ilvl w:val="0"/>
          <w:numId w:val="1"/>
        </w:numPr>
        <w:rPr/>
      </w:pPr>
      <w:r>
        <w:rPr>
          <w:b/>
          <w:bCs/>
        </w:rPr>
        <w:t>A =</w:t>
      </w:r>
      <w:r>
        <w:t xml:space="preserve"> 4.5 years</w:t>
      </w:r>
    </w:p>
    <w:p>
      <w:pPr>
        <w:pStyle w:val="style179"/>
        <w:numPr>
          <w:ilvl w:val="0"/>
          <w:numId w:val="1"/>
        </w:numPr>
        <w:rPr/>
      </w:pPr>
      <w:r>
        <w:rPr>
          <w:b/>
          <w:bCs/>
        </w:rPr>
        <w:t>B =</w:t>
      </w:r>
      <w:r>
        <w:t xml:space="preserve"> 4.55 years</w:t>
      </w:r>
    </w:p>
    <w:p>
      <w:pPr>
        <w:pStyle w:val="style179"/>
        <w:numPr>
          <w:ilvl w:val="0"/>
          <w:numId w:val="1"/>
        </w:numPr>
        <w:rPr/>
      </w:pPr>
      <w:r>
        <w:rPr>
          <w:b/>
          <w:bCs/>
        </w:rPr>
        <w:t>C =</w:t>
      </w:r>
      <w:r>
        <w:t xml:space="preserve"> 3.5 years</w:t>
      </w:r>
    </w:p>
    <w:p>
      <w:pPr>
        <w:pStyle w:val="style0"/>
        <w:rPr/>
      </w:pPr>
      <w:r>
        <w:t>Project C is the one with the lowest payback period, which implies that Toyota will be able to recoup its investment faster. This helps in managing liquidity and minimizing risk to uncertainty. However, this approach does not consider the time value of money and cash flows after the payback period. For Toyota with long-term investments in EVs, the application of PBP can incorrectly make decisions, since the projects that have high long-term returns are possible to be rejected.</w:t>
      </w:r>
    </w:p>
    <w:bookmarkStart w:id="58" w:name="_Toc226239103"/>
    <w:p>
      <w:pPr>
        <w:pStyle w:val="style3"/>
        <w:rPr/>
      </w:pPr>
      <w:r>
        <w:t>Accounting Rate of Return (ARR)</w:t>
      </w:r>
      <w:bookmarkEnd w:id="58"/>
    </w:p>
    <w:p>
      <w:pPr>
        <w:pStyle w:val="style0"/>
        <w:rPr/>
      </w:pPr>
      <w:r>
        <w:t>ARR evaluates the accounting profit on average as a percentage of the initial investment (Umar, 2023). This ratio can be used by Toyota in assessing profitability on an accounting basis, especially on internal performance analysis.</w:t>
      </w:r>
    </w:p>
    <w:p>
      <w:pPr>
        <w:pStyle w:val="style0"/>
        <w:rPr>
          <w:rFonts w:eastAsia="宋体"/>
        </w:rPr>
      </w:pPr>
      <m:oMathPara>
        <m:oMath>
          <m:r>
            <w:rPr>
              <w:rFonts w:ascii="Cambria Math" w:hAnsi="Cambria Math"/>
            </w:rPr>
            <m:t>ARR =</m:t>
          </m:r>
          <m:f>
            <m:fPr>
              <m:ctrlPr>
                <w:rPr>
                  <w:rFonts w:ascii="Cambria Math" w:hAnsi="Cambria Math"/>
                  <w:i/>
                </w:rPr>
              </m:ctrlPr>
            </m:fPr>
            <m:num>
              <m:r>
                <w:rPr>
                  <w:rFonts w:ascii="Cambria Math" w:hAnsi="Cambria Math"/>
                </w:rPr>
                <m:t xml:space="preserve">Average Profit </m:t>
              </m:r>
            </m:num>
            <m:den>
              <m:r>
                <w:rPr>
                  <w:rFonts w:ascii="Cambria Math" w:hAnsi="Cambria Math"/>
                </w:rPr>
                <m:t>Initial Investment</m:t>
              </m:r>
            </m:den>
          </m:f>
        </m:oMath>
      </m:oMathPara>
    </w:p>
    <w:p>
      <w:pPr>
        <w:pStyle w:val="style0"/>
        <w:rPr>
          <w:rFonts w:eastAsia="宋体"/>
        </w:rPr>
      </w:pPr>
      <w:r>
        <w:rPr>
          <w:rFonts w:eastAsia="宋体"/>
          <w:noProof/>
        </w:rPr>
        <w:drawing>
          <wp:inline distL="0" distT="0" distB="0" distR="0">
            <wp:extent cx="5429529" cy="1301817"/>
            <wp:effectExtent l="0" t="0" r="0" b="0"/>
            <wp:docPr id="1064"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 name="Picture 1"/>
                    <pic:cNvPicPr/>
                  </pic:nvPicPr>
                  <pic:blipFill>
                    <a:blip r:embed="rId40" cstate="print"/>
                    <a:srcRect l="0" t="0" r="0" b="0"/>
                    <a:stretch/>
                  </pic:blipFill>
                  <pic:spPr>
                    <a:xfrm rot="0">
                      <a:off x="0" y="0"/>
                      <a:ext cx="5429529" cy="1301817"/>
                    </a:xfrm>
                    <a:prstGeom prst="rect"/>
                  </pic:spPr>
                </pic:pic>
              </a:graphicData>
            </a:graphic>
          </wp:inline>
        </w:drawing>
      </w:r>
    </w:p>
    <w:bookmarkStart w:id="59" w:name="_Toc226239062"/>
    <w:p>
      <w:pPr>
        <w:pStyle w:val="style34"/>
        <w:rPr/>
      </w:pPr>
      <w:r>
        <w:t xml:space="preserve">Table </w:t>
      </w:r>
      <w:r>
        <w:rPr/>
        <w:fldChar w:fldCharType="begin"/>
      </w:r>
      <w:r>
        <w:instrText xml:space="preserve"> SEQ Table \* ARABIC </w:instrText>
      </w:r>
      <w:r>
        <w:rPr/>
        <w:fldChar w:fldCharType="separate"/>
      </w:r>
      <w:r>
        <w:rPr>
          <w:noProof/>
        </w:rPr>
        <w:t>18</w:t>
      </w:r>
      <w:r>
        <w:rPr>
          <w:noProof/>
        </w:rPr>
        <w:fldChar w:fldCharType="end"/>
      </w:r>
      <w:r>
        <w:t>: ARR for Projects (Author)</w:t>
      </w:r>
      <w:bookmarkEnd w:id="59"/>
    </w:p>
    <w:p>
      <w:pPr>
        <w:pStyle w:val="style0"/>
        <w:rPr/>
      </w:pPr>
      <w:r>
        <w:t>Project C has the best ARR which implies that it is more profitable than Projects A and B. This implies that Project C has higher accounting returns. Nevertheless, ARR does not consider the timing of cash flows and the time value of money; therefore, it is not as reliable in making long-term strategic decisions. ARR must be applied carefully to Toyota where the payback period of its projects is long, like EV development.</w:t>
      </w:r>
    </w:p>
    <w:bookmarkStart w:id="60" w:name="_Toc226239104"/>
    <w:p>
      <w:pPr>
        <w:pStyle w:val="style3"/>
        <w:rPr/>
      </w:pPr>
      <w:r>
        <w:t>Net Present Value (NPV)</w:t>
      </w:r>
      <w:bookmarkEnd w:id="60"/>
    </w:p>
    <w:p>
      <w:pPr>
        <w:pStyle w:val="style0"/>
        <w:rPr/>
      </w:pPr>
      <w:r>
        <w:t>NPV is a calculation of the difference between cash inflows and the initial investment when assessing the cash inflows in present value (Tolegen, 2022). NPV is the most significant approach to use by Toyota since it quantifies directly the value creation and is consistent with the shareholder wealth maximisation.</w:t>
      </w:r>
    </w:p>
    <w:p>
      <w:pPr>
        <w:pStyle w:val="style0"/>
        <w:rPr>
          <w:rFonts w:eastAsia="宋体"/>
        </w:rPr>
      </w:pPr>
      <m:oMathPara>
        <m:oMath>
          <m:r>
            <w:rPr>
              <w:rFonts w:ascii="Cambria Math" w:hAnsi="Cambria Math"/>
            </w:rPr>
            <m:t>NPV=</m:t>
          </m:r>
          <m:nary>
            <m:naryPr>
              <m:supHide m:val="1"/>
              <m:subHide m:val="1"/>
              <m:chr m:val="∑"/>
              <m:limLoc m:val="undOvr"/>
              <m:ctrlPr>
                <w:rPr>
                  <w:rFonts w:ascii="Cambria Math" w:hAnsi="Cambria Math"/>
                  <w:i/>
                </w:rPr>
              </m:ctrlPr>
            </m:naryPr>
            <m:sub/>
            <m:sup/>
            <m:e>
              <m:d>
                <m:dPr>
                  <m:endChr m:val=")"/>
                  <m:ctrlPr>
                    <w:rPr>
                      <w:rFonts w:ascii="Cambria Math" w:hAnsi="Cambria Math"/>
                      <w:i/>
                    </w:rPr>
                  </m:ctrlPr>
                </m:dPr>
                <m:e>
                  <m:f>
                    <m:fPr>
                      <m:ctrlPr>
                        <w:rPr>
                          <w:rFonts w:ascii="Cambria Math" w:hAnsi="Cambria Math"/>
                          <w:i/>
                        </w:rPr>
                      </m:ctrlPr>
                    </m:fPr>
                    <m:num>
                      <m:r>
                        <w:rPr>
                          <w:rFonts w:ascii="Cambria Math" w:hAnsi="Cambria Math"/>
                        </w:rPr>
                        <m:t>Cash Flow</m:t>
                      </m:r>
                    </m:num>
                    <m:den>
                      <m:sSup>
                        <m:sSupPr>
                          <m:ctrlPr>
                            <w:rPr>
                              <w:rFonts w:ascii="Cambria Math" w:hAnsi="Cambria Math"/>
                              <w:i/>
                            </w:rPr>
                          </m:ctrlPr>
                        </m:sSupPr>
                        <m:e>
                          <m:r>
                            <w:rPr>
                              <w:rFonts w:ascii="Cambria Math" w:hAnsi="Cambria Math"/>
                            </w:rPr>
                            <m:t>(1+0.10)</m:t>
                          </m:r>
                        </m:e>
                        <m:sup>
                          <m:r>
                            <w:rPr>
                              <w:rFonts w:ascii="Cambria Math" w:hAnsi="Cambria Math"/>
                            </w:rPr>
                            <m:t>t</m:t>
                          </m:r>
                        </m:sup>
                      </m:sSup>
                    </m:den>
                  </m:f>
                </m:e>
              </m:d>
            </m:e>
          </m:nary>
          <m:r>
            <w:rPr>
              <w:rFonts w:ascii="Cambria Math" w:hAnsi="Cambria Math"/>
            </w:rPr>
            <m:t>-Initial Investment</m:t>
          </m:r>
        </m:oMath>
      </m:oMathPara>
    </w:p>
    <w:p>
      <w:pPr>
        <w:pStyle w:val="style0"/>
        <w:rPr>
          <w:rFonts w:eastAsia="宋体"/>
        </w:rPr>
      </w:pPr>
      <w:r>
        <w:rPr>
          <w:rFonts w:eastAsia="宋体"/>
          <w:b/>
          <w:bCs/>
          <w:i/>
          <w:iCs/>
        </w:rPr>
        <w:t>Discount Factors</w:t>
      </w:r>
    </w:p>
    <w:p>
      <w:pPr>
        <w:pStyle w:val="style0"/>
        <w:rPr/>
      </w:pPr>
      <w:r>
        <w:rPr>
          <w:noProof/>
        </w:rPr>
        <w:drawing>
          <wp:inline distL="0" distT="0" distB="0" distR="0">
            <wp:extent cx="5429529" cy="1866996"/>
            <wp:effectExtent l="0" t="0" r="0" b="0"/>
            <wp:docPr id="1065"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 name="Picture 1"/>
                    <pic:cNvPicPr/>
                  </pic:nvPicPr>
                  <pic:blipFill>
                    <a:blip r:embed="rId41" cstate="print"/>
                    <a:srcRect l="0" t="0" r="0" b="0"/>
                    <a:stretch/>
                  </pic:blipFill>
                  <pic:spPr>
                    <a:xfrm rot="0">
                      <a:off x="0" y="0"/>
                      <a:ext cx="5429529" cy="1866996"/>
                    </a:xfrm>
                    <a:prstGeom prst="rect"/>
                  </pic:spPr>
                </pic:pic>
              </a:graphicData>
            </a:graphic>
          </wp:inline>
        </w:drawing>
      </w:r>
    </w:p>
    <w:bookmarkStart w:id="61" w:name="_Toc226239063"/>
    <w:p>
      <w:pPr>
        <w:pStyle w:val="style34"/>
        <w:rPr/>
      </w:pPr>
      <w:r>
        <w:t xml:space="preserve">Table </w:t>
      </w:r>
      <w:r>
        <w:rPr/>
        <w:fldChar w:fldCharType="begin"/>
      </w:r>
      <w:r>
        <w:instrText xml:space="preserve"> SEQ Table \* ARABIC </w:instrText>
      </w:r>
      <w:r>
        <w:rPr/>
        <w:fldChar w:fldCharType="separate"/>
      </w:r>
      <w:r>
        <w:rPr>
          <w:noProof/>
        </w:rPr>
        <w:t>19</w:t>
      </w:r>
      <w:r>
        <w:rPr>
          <w:noProof/>
        </w:rPr>
        <w:fldChar w:fldCharType="end"/>
      </w:r>
      <w:r>
        <w:t>: Discount Factors Over Years (Author)</w:t>
      </w:r>
      <w:bookmarkEnd w:id="61"/>
    </w:p>
    <w:p>
      <w:pPr>
        <w:pStyle w:val="style0"/>
        <w:rPr/>
      </w:pPr>
      <w:r>
        <w:rPr>
          <w:noProof/>
        </w:rPr>
        <w:drawing>
          <wp:inline distL="0" distT="0" distB="0" distR="0">
            <wp:extent cx="5416828" cy="1301817"/>
            <wp:effectExtent l="0" t="0" r="0" b="0"/>
            <wp:docPr id="106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 name="Picture 1"/>
                    <pic:cNvPicPr/>
                  </pic:nvPicPr>
                  <pic:blipFill>
                    <a:blip r:embed="rId42" cstate="print"/>
                    <a:srcRect l="0" t="0" r="0" b="0"/>
                    <a:stretch/>
                  </pic:blipFill>
                  <pic:spPr>
                    <a:xfrm rot="0">
                      <a:off x="0" y="0"/>
                      <a:ext cx="5416828" cy="1301817"/>
                    </a:xfrm>
                    <a:prstGeom prst="rect"/>
                  </pic:spPr>
                </pic:pic>
              </a:graphicData>
            </a:graphic>
          </wp:inline>
        </w:drawing>
      </w:r>
    </w:p>
    <w:bookmarkStart w:id="62" w:name="_Toc226239064"/>
    <w:p>
      <w:pPr>
        <w:pStyle w:val="style34"/>
        <w:rPr/>
      </w:pPr>
      <w:r>
        <w:t xml:space="preserve">Table </w:t>
      </w:r>
      <w:r>
        <w:rPr/>
        <w:fldChar w:fldCharType="begin"/>
      </w:r>
      <w:r>
        <w:instrText xml:space="preserve"> SEQ Table \* ARABIC </w:instrText>
      </w:r>
      <w:r>
        <w:rPr/>
        <w:fldChar w:fldCharType="separate"/>
      </w:r>
      <w:r>
        <w:rPr>
          <w:noProof/>
        </w:rPr>
        <w:t>20</w:t>
      </w:r>
      <w:r>
        <w:rPr>
          <w:noProof/>
        </w:rPr>
        <w:fldChar w:fldCharType="end"/>
      </w:r>
      <w:r>
        <w:t>: NPV for Projects (Author)</w:t>
      </w:r>
      <w:bookmarkEnd w:id="62"/>
    </w:p>
    <w:p>
      <w:pPr>
        <w:pStyle w:val="style0"/>
        <w:rPr/>
      </w:pPr>
      <w:r>
        <w:t>The negative NPVs indicate that all the projects fail to satisfy the required rate of return of 10% by Toyota. This implies that financially, the value of the shareholders would be decreased by such projects. But Project A will have the least negative NPV and so it is the relatively better choice.</w:t>
      </w:r>
    </w:p>
    <w:bookmarkStart w:id="63" w:name="_Toc226239105"/>
    <w:p>
      <w:pPr>
        <w:pStyle w:val="style3"/>
        <w:rPr/>
      </w:pPr>
      <w:r>
        <w:t>Internal Rate of Return (IRR).</w:t>
      </w:r>
      <w:bookmarkEnd w:id="63"/>
    </w:p>
    <w:p>
      <w:pPr>
        <w:pStyle w:val="style0"/>
        <w:rPr/>
      </w:pPr>
      <w:r>
        <w:t>IRR is the discount rate where NPV is equal to 0 (Susilawati et al., 2022). It assists Toyota to compare the returns of the project with the cost of capital, and to determine the attractiveness of the investment.</w:t>
      </w:r>
    </w:p>
    <w:p>
      <w:pPr>
        <w:pStyle w:val="style0"/>
        <w:rPr/>
      </w:pPr>
      <w:r>
        <w:rPr>
          <w:noProof/>
        </w:rPr>
        <w:drawing>
          <wp:inline distL="0" distT="0" distB="0" distR="0">
            <wp:extent cx="5454930" cy="1314518"/>
            <wp:effectExtent l="0" t="0" r="0" b="0"/>
            <wp:docPr id="106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5" name="Picture 1"/>
                    <pic:cNvPicPr/>
                  </pic:nvPicPr>
                  <pic:blipFill>
                    <a:blip r:embed="rId43" cstate="print"/>
                    <a:srcRect l="0" t="0" r="0" b="0"/>
                    <a:stretch/>
                  </pic:blipFill>
                  <pic:spPr>
                    <a:xfrm rot="0">
                      <a:off x="0" y="0"/>
                      <a:ext cx="5454930" cy="1314518"/>
                    </a:xfrm>
                    <a:prstGeom prst="rect"/>
                  </pic:spPr>
                </pic:pic>
              </a:graphicData>
            </a:graphic>
          </wp:inline>
        </w:drawing>
      </w:r>
    </w:p>
    <w:bookmarkStart w:id="64" w:name="_Toc226239065"/>
    <w:p>
      <w:pPr>
        <w:pStyle w:val="style34"/>
        <w:rPr/>
      </w:pPr>
      <w:r>
        <w:t xml:space="preserve">Table </w:t>
      </w:r>
      <w:r>
        <w:rPr/>
        <w:fldChar w:fldCharType="begin"/>
      </w:r>
      <w:r>
        <w:instrText xml:space="preserve"> SEQ Table \* ARABIC </w:instrText>
      </w:r>
      <w:r>
        <w:rPr/>
        <w:fldChar w:fldCharType="separate"/>
      </w:r>
      <w:r>
        <w:rPr>
          <w:noProof/>
        </w:rPr>
        <w:t>21</w:t>
      </w:r>
      <w:r>
        <w:rPr>
          <w:noProof/>
        </w:rPr>
        <w:fldChar w:fldCharType="end"/>
      </w:r>
      <w:r>
        <w:t>: IRR For Projects (Author)</w:t>
      </w:r>
      <w:bookmarkEnd w:id="64"/>
    </w:p>
    <w:p>
      <w:pPr>
        <w:pStyle w:val="style0"/>
        <w:rPr/>
      </w:pPr>
      <w:r>
        <w:t>The IRRs of all these projects are lower than the required rate of 10%, which proves that these projects are not financially viable. Project A has the largest IRR though it remains inadequate. This shows that Toyota needs to be very careful and think about whether strategic benefits are worth accepting lower returns.</w:t>
      </w:r>
    </w:p>
    <w:bookmarkStart w:id="65" w:name="_Toc226239106"/>
    <w:p>
      <w:pPr>
        <w:pStyle w:val="style3"/>
        <w:rPr/>
      </w:pPr>
      <w:r>
        <w:t>Profitability Index (PI)</w:t>
      </w:r>
      <w:bookmarkEnd w:id="65"/>
    </w:p>
    <w:p>
      <w:pPr>
        <w:pStyle w:val="style0"/>
        <w:rPr/>
      </w:pPr>
      <w:r>
        <w:t>PI gauges the value that is generated per unit of investment (Wen et al., 2023). It proves beneficial to Toyota in cases of limited capital and assists in prioritising projects.</w:t>
      </w:r>
    </w:p>
    <w:p>
      <w:pPr>
        <w:pStyle w:val="style0"/>
        <w:rPr>
          <w:rFonts w:eastAsia="宋体"/>
        </w:rPr>
      </w:pPr>
      <m:oMathPara>
        <m:oMath>
          <m:r>
            <w:rPr>
              <w:rFonts w:ascii="Cambria Math" w:hAnsi="Cambria Math"/>
            </w:rPr>
            <m:t xml:space="preserve">PI = </m:t>
          </m:r>
          <m:f>
            <m:fPr>
              <m:ctrlPr>
                <w:rPr>
                  <w:rFonts w:ascii="Cambria Math" w:hAnsi="Cambria Math"/>
                  <w:i/>
                </w:rPr>
              </m:ctrlPr>
            </m:fPr>
            <m:num>
              <m:r>
                <w:rPr>
                  <w:rFonts w:ascii="Cambria Math" w:hAnsi="Cambria Math"/>
                </w:rPr>
                <m:t>PV of Inflows</m:t>
              </m:r>
            </m:num>
            <m:den>
              <m:r>
                <w:rPr>
                  <w:rFonts w:ascii="Cambria Math" w:hAnsi="Cambria Math"/>
                </w:rPr>
                <m:t>Initial Investment</m:t>
              </m:r>
            </m:den>
          </m:f>
        </m:oMath>
      </m:oMathPara>
    </w:p>
    <w:p>
      <w:pPr>
        <w:pStyle w:val="style0"/>
        <w:rPr>
          <w:rFonts w:eastAsia="宋体"/>
        </w:rPr>
      </w:pPr>
      <w:r>
        <w:rPr>
          <w:rFonts w:eastAsia="宋体"/>
          <w:noProof/>
        </w:rPr>
        <w:drawing>
          <wp:inline distL="0" distT="0" distB="0" distR="0">
            <wp:extent cx="5448580" cy="1282766"/>
            <wp:effectExtent l="0" t="0" r="0" b="0"/>
            <wp:docPr id="1068"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6" name="Picture 1"/>
                    <pic:cNvPicPr/>
                  </pic:nvPicPr>
                  <pic:blipFill>
                    <a:blip r:embed="rId44" cstate="print"/>
                    <a:srcRect l="0" t="0" r="0" b="0"/>
                    <a:stretch/>
                  </pic:blipFill>
                  <pic:spPr>
                    <a:xfrm rot="0">
                      <a:off x="0" y="0"/>
                      <a:ext cx="5448580" cy="1282766"/>
                    </a:xfrm>
                    <a:prstGeom prst="rect"/>
                  </pic:spPr>
                </pic:pic>
              </a:graphicData>
            </a:graphic>
          </wp:inline>
        </w:drawing>
      </w:r>
    </w:p>
    <w:bookmarkStart w:id="66" w:name="_Toc226239066"/>
    <w:p>
      <w:pPr>
        <w:pStyle w:val="style34"/>
        <w:rPr/>
      </w:pPr>
      <w:r>
        <w:t xml:space="preserve">Table </w:t>
      </w:r>
      <w:r>
        <w:rPr/>
        <w:fldChar w:fldCharType="begin"/>
      </w:r>
      <w:r>
        <w:instrText xml:space="preserve"> SEQ Table \* ARABIC </w:instrText>
      </w:r>
      <w:r>
        <w:rPr/>
        <w:fldChar w:fldCharType="separate"/>
      </w:r>
      <w:r>
        <w:rPr>
          <w:noProof/>
        </w:rPr>
        <w:t>22</w:t>
      </w:r>
      <w:r>
        <w:rPr>
          <w:noProof/>
        </w:rPr>
        <w:fldChar w:fldCharType="end"/>
      </w:r>
      <w:r>
        <w:t>: PI for Projects (Author)</w:t>
      </w:r>
      <w:bookmarkEnd w:id="66"/>
    </w:p>
    <w:p>
      <w:pPr>
        <w:pStyle w:val="style0"/>
        <w:rPr/>
      </w:pPr>
      <w:r>
        <w:t>PI values are negative, meaning that the projects are value destroying. However, Project A is comparatively better again.</w:t>
      </w:r>
    </w:p>
    <w:p>
      <w:pPr>
        <w:pStyle w:val="style0"/>
        <w:rPr/>
      </w:pPr>
      <w:r>
        <w:t>O</w:t>
      </w:r>
      <w:r>
        <w:t>verall</w:t>
      </w:r>
      <w:r>
        <w:t>, the</w:t>
      </w:r>
      <w:r>
        <w:t xml:space="preserve"> finding</w:t>
      </w:r>
      <w:r>
        <w:t>s</w:t>
      </w:r>
      <w:r>
        <w:t xml:space="preserve"> across the methods supports the conclusion that Project A is the least risky alternative albeit not the best.</w:t>
      </w:r>
    </w:p>
    <w:bookmarkStart w:id="67" w:name="_Toc226239107"/>
    <w:p>
      <w:pPr>
        <w:pStyle w:val="style2"/>
        <w:rPr/>
      </w:pPr>
      <w:r>
        <w:t>Comparison of Projects</w:t>
      </w:r>
      <w:bookmarkEnd w:id="67"/>
    </w:p>
    <w:p>
      <w:pPr>
        <w:pStyle w:val="style0"/>
        <w:rPr/>
      </w:pPr>
      <w:r>
        <w:rPr/>
        <w:drawing>
          <wp:inline distL="0" distT="0" distB="0" distR="0">
            <wp:extent cx="5943600" cy="2087880"/>
            <wp:effectExtent l="0" t="0" r="0" b="7620"/>
            <wp:docPr id="1069"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7" name="Picture 1"/>
                    <pic:cNvPicPr/>
                  </pic:nvPicPr>
                  <pic:blipFill>
                    <a:blip r:embed="rId45" cstate="print"/>
                    <a:srcRect l="0" t="0" r="0" b="0"/>
                    <a:stretch/>
                  </pic:blipFill>
                  <pic:spPr>
                    <a:xfrm rot="0">
                      <a:off x="0" y="0"/>
                      <a:ext cx="5943600" cy="2087880"/>
                    </a:xfrm>
                    <a:prstGeom prst="rect"/>
                  </pic:spPr>
                </pic:pic>
              </a:graphicData>
            </a:graphic>
          </wp:inline>
        </w:drawing>
      </w:r>
    </w:p>
    <w:bookmarkStart w:id="68" w:name="_Toc226239067"/>
    <w:p>
      <w:pPr>
        <w:pStyle w:val="style34"/>
        <w:rPr/>
      </w:pPr>
      <w:r>
        <w:t xml:space="preserve">Table </w:t>
      </w:r>
      <w:r>
        <w:rPr/>
        <w:fldChar w:fldCharType="begin"/>
      </w:r>
      <w:r>
        <w:instrText xml:space="preserve"> SEQ Table \* ARABIC </w:instrText>
      </w:r>
      <w:r>
        <w:rPr/>
        <w:fldChar w:fldCharType="separate"/>
      </w:r>
      <w:r>
        <w:rPr>
          <w:noProof/>
        </w:rPr>
        <w:t>23</w:t>
      </w:r>
      <w:r>
        <w:rPr/>
        <w:fldChar w:fldCharType="end"/>
      </w:r>
      <w:r>
        <w:t>: Project Comparison (Author)</w:t>
      </w:r>
      <w:bookmarkEnd w:id="68"/>
    </w:p>
    <w:bookmarkStart w:id="69" w:name="_Toc226239108"/>
    <w:p>
      <w:pPr>
        <w:pStyle w:val="style3"/>
        <w:rPr/>
      </w:pPr>
      <w:r>
        <w:t>Project A (Balanced Option)</w:t>
      </w:r>
      <w:bookmarkEnd w:id="69"/>
    </w:p>
    <w:p>
      <w:pPr>
        <w:pStyle w:val="style0"/>
        <w:rPr/>
      </w:pPr>
      <w:r>
        <w:t>Project A provides relatively stable and balanced cash flows across five years. Its NPV (-£4.56m) is the lowest and PI (0.91) is the highest, meaning that it is the most financially unappealing alternative. For Toyota, where its main focus is on the stable growth and cost-effectiveness (Abaku et al., 2024), this project corresponds to its business stability and the ability to control risks.</w:t>
      </w:r>
    </w:p>
    <w:bookmarkStart w:id="70" w:name="_Toc226239109"/>
    <w:p>
      <w:pPr>
        <w:pStyle w:val="style3"/>
        <w:rPr/>
      </w:pPr>
      <w:r>
        <w:t>Project B (Stable but Low Return)</w:t>
      </w:r>
      <w:bookmarkEnd w:id="70"/>
    </w:p>
    <w:p>
      <w:pPr>
        <w:pStyle w:val="style0"/>
        <w:rPr/>
      </w:pPr>
      <w:r>
        <w:t>Project B is predictable in terms of cash inflows (£11m every year), which makes it less risky. But it has the lowest IRR (~5%) and the highest NPV is most negative (-£8.31m), which means that it has poor profitability. For Toyota, although liquidity is high, this project does not contribute to value creation or strategic development.</w:t>
      </w:r>
    </w:p>
    <w:bookmarkStart w:id="71" w:name="_Toc226239110"/>
    <w:p>
      <w:pPr>
        <w:pStyle w:val="style3"/>
        <w:rPr/>
      </w:pPr>
      <w:r>
        <w:t>Project C (High Risk–High Return)</w:t>
      </w:r>
      <w:bookmarkEnd w:id="71"/>
    </w:p>
    <w:p>
      <w:pPr>
        <w:pStyle w:val="style0"/>
        <w:rPr/>
      </w:pPr>
      <w:r>
        <w:t xml:space="preserve">Project C yields greater returns in later years as shown in the greatest ARR (6%) and least payback period (3.5 years). Nevertheless, it has volatile cash flows, which </w:t>
      </w:r>
      <w:r>
        <w:t>heightens risk. For Toyota, the project could be part of long-term investments in EVs, however, since the returns are delayed and the NPV is negative, there is increased uncertainty.</w:t>
      </w:r>
    </w:p>
    <w:bookmarkStart w:id="72" w:name="_Toc226239111"/>
    <w:p>
      <w:pPr>
        <w:pStyle w:val="style2"/>
        <w:rPr/>
      </w:pPr>
      <w:r>
        <w:t>Recommendations</w:t>
      </w:r>
      <w:bookmarkEnd w:id="72"/>
    </w:p>
    <w:p>
      <w:pPr>
        <w:pStyle w:val="style0"/>
        <w:rPr/>
      </w:pPr>
      <w:r>
        <w:t>The decision to invest in the Toyota Motor must be founded not only on financial performance, but also on its excellent financial background and strategic goals in the long-term. Toyota is financially strong and thus it makes decisions malleable although all the three projects have negative NPVs with a discount rate of 10%. According to the 2024 financial report, Toyota has a strong liquidity position and can withstand short-term value declines as it has reported operating cash flow of around ¥4.21 trillion and net income of ¥5.07 trillion (Toyota Motors, 2024).</w:t>
      </w:r>
    </w:p>
    <w:p>
      <w:pPr>
        <w:pStyle w:val="style0"/>
        <w:rPr/>
      </w:pPr>
      <w:r>
        <w:t>Project A should be chosen as the key investment opportunity. It has the lowest negative NPV (-£4.56m), highest profitability index (0.91), and fairly stable cash inflows. This aligns with the strategy of Toyota of remaining financially stable as it invests in future expansion. Project A is balanced; hence, it makes risk lower and returns consistent, which is critical considering Toyota is prone to cost fluctuations and supply chain risks.</w:t>
      </w:r>
    </w:p>
    <w:p>
      <w:pPr>
        <w:pStyle w:val="style0"/>
        <w:rPr/>
      </w:pPr>
      <w:r>
        <w:t>Nevertheless, Project C is also to be put strategically. Although it has a negative NPV (-£6.50m), it is better in subsequent years and it has the least payback period (3.5 years). This arrangement is comparable to long-term investment of EVs where low returns are incurred at the beginning but high returns in the future. Project C aligns with long-term strategic change since Toyota is a company that prioritizes electric mobility and innovation.</w:t>
      </w:r>
    </w:p>
    <w:bookmarkStart w:id="73" w:name="_Toc226239112"/>
    <w:p>
      <w:pPr>
        <w:pStyle w:val="style2"/>
        <w:rPr/>
      </w:pPr>
      <w:r>
        <w:t>Capital Rationing Decision</w:t>
      </w:r>
      <w:bookmarkEnd w:id="73"/>
    </w:p>
    <w:p>
      <w:pPr>
        <w:pStyle w:val="style0"/>
        <w:rPr/>
      </w:pPr>
      <w:r>
        <w:t>Capital rationing is a situation where the firm has limited finances and it is required to select the most appropriate mix of projects to generate maximum value (Susilawati et al., 2022). In this analysis, Toyota Motor has a budget limit of £100 million which enables it to pick not more than two projects.</w:t>
      </w:r>
    </w:p>
    <w:bookmarkStart w:id="74" w:name="_Toc226239113"/>
    <w:p>
      <w:pPr>
        <w:pStyle w:val="style3"/>
        <w:rPr/>
      </w:pPr>
      <w:r>
        <w:t>NPV Ranking and Combinations</w:t>
      </w:r>
      <w:bookmarkEnd w:id="74"/>
    </w:p>
    <w:p>
      <w:pPr>
        <w:pStyle w:val="style0"/>
        <w:rPr/>
      </w:pPr>
      <w:r>
        <w:rPr/>
        <w:drawing>
          <wp:inline distL="0" distT="0" distB="0" distR="0">
            <wp:extent cx="5719205" cy="3155950"/>
            <wp:effectExtent l="0" t="0" r="0" b="6350"/>
            <wp:docPr id="1070"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8" name="Picture 1"/>
                    <pic:cNvPicPr/>
                  </pic:nvPicPr>
                  <pic:blipFill>
                    <a:blip r:embed="rId46" cstate="print"/>
                    <a:srcRect l="0" t="0" r="0" b="0"/>
                    <a:stretch/>
                  </pic:blipFill>
                  <pic:spPr>
                    <a:xfrm rot="0">
                      <a:off x="0" y="0"/>
                      <a:ext cx="5719205" cy="3155950"/>
                    </a:xfrm>
                    <a:prstGeom prst="rect"/>
                  </pic:spPr>
                </pic:pic>
              </a:graphicData>
            </a:graphic>
          </wp:inline>
        </w:drawing>
      </w:r>
    </w:p>
    <w:bookmarkStart w:id="75" w:name="_Toc226239068"/>
    <w:p>
      <w:pPr>
        <w:pStyle w:val="style34"/>
        <w:rPr/>
      </w:pPr>
      <w:r>
        <w:t xml:space="preserve">Table </w:t>
      </w:r>
      <w:r>
        <w:rPr/>
        <w:fldChar w:fldCharType="begin"/>
      </w:r>
      <w:r>
        <w:instrText xml:space="preserve"> SEQ Table \* ARABIC </w:instrText>
      </w:r>
      <w:r>
        <w:rPr/>
        <w:fldChar w:fldCharType="separate"/>
      </w:r>
      <w:r>
        <w:rPr>
          <w:noProof/>
        </w:rPr>
        <w:t>24</w:t>
      </w:r>
      <w:r>
        <w:rPr/>
        <w:fldChar w:fldCharType="end"/>
      </w:r>
      <w:r>
        <w:t>: Project Combinations (Author)</w:t>
      </w:r>
      <w:bookmarkEnd w:id="75"/>
    </w:p>
    <w:p>
      <w:pPr>
        <w:pStyle w:val="style0"/>
        <w:rPr/>
      </w:pPr>
      <w:r>
        <w:t>According to NPV ranking, Project A and Project C combination is the most favourable because it will lead to the least negative total NPV (-£11.06m). Even though all combinations will decrease value financially, A + C will have the most favorable relative result.</w:t>
      </w:r>
    </w:p>
    <w:p>
      <w:pPr>
        <w:pStyle w:val="style0"/>
        <w:rPr/>
      </w:pPr>
      <w:r>
        <w:t>From Toyota’s perspective, financial strength and its strategic priorities should also be factored in this decision. Toyota is not necessarily a victim of short-term financial returns as it has operating cash flow of ¥4.21 trillion and high liquidity. Project A is more stable and has regular cash flows and Project C is more profitable in the long-term with EV innovation.</w:t>
      </w:r>
    </w:p>
    <w:p>
      <w:pPr>
        <w:pStyle w:val="style0"/>
        <w:rPr/>
      </w:pPr>
      <w:r>
        <w:t>More importantly, using NPV alone would indicate that all projects should be rejected. Nevertheless, Toyota is located in a dynamic and competitive industry, and there is a need to use long-term strategic investments. Thus, the choice between A + C will provide the balance between financial discipline and strategic growth, which will facilitate both operational stability and competitiveness in the future.</w:t>
      </w:r>
    </w:p>
    <w:bookmarkStart w:id="76" w:name="_Toc226239114"/>
    <w:p>
      <w:pPr>
        <w:pStyle w:val="style1"/>
        <w:rPr/>
      </w:pPr>
      <w:r>
        <w:t>Conclusion</w:t>
      </w:r>
      <w:bookmarkEnd w:id="76"/>
    </w:p>
    <w:p>
      <w:pPr>
        <w:pStyle w:val="style0"/>
        <w:rPr/>
      </w:pPr>
      <w:r>
        <w:t>In this report, it is shown that Toyota Motor Corporation has a good financial performance as evidenced by the growth in revenues, high operating cash flow, and better profitability in 2024. The company demonstrates its strength and good financial management despite obstacles like fluctuation of margins, supply chain interruptions, and increased expenses. Liquidity and moderate leverage are some of the strengths that are pointed out in the analysis. As a strategic step, Toyota needs to invest in EVs, cost-effectiveness, and diversification of the supply chain. The results of the investment appraisal indicate that emphasis should be put on balanced and strategically oriented projects.</w:t>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bookmarkStart w:id="77" w:name="_Toc226239115"/>
    <w:p>
      <w:pPr>
        <w:pStyle w:val="style1"/>
        <w:rPr/>
      </w:pPr>
      <w:r>
        <w:t>References</w:t>
      </w:r>
      <w:bookmarkEnd w:id="77"/>
    </w:p>
    <w:p>
      <w:pPr>
        <w:pStyle w:val="style0"/>
        <w:rPr/>
      </w:pPr>
      <w:r>
        <w:t xml:space="preserve">Abaku, E.A., Edunjobi, T.E. and Odimarha, A.C. (2024). Theoretical Approaches to AI in Supply Chain optimization: Pathways to Efficiency and Resilience. </w:t>
      </w:r>
      <w:r>
        <w:rPr>
          <w:i/>
          <w:iCs/>
        </w:rPr>
        <w:t>International Journal of Science and Technology Research Archive</w:t>
      </w:r>
      <w:r>
        <w:t xml:space="preserve">, 6(1), pp.092-107. </w:t>
      </w:r>
      <w:r>
        <w:t xml:space="preserve">doi: </w:t>
      </w:r>
      <w:r>
        <w:rPr/>
        <w:fldChar w:fldCharType="begin"/>
      </w:r>
      <w:r>
        <w:instrText xml:space="preserve"> HYPERLINK "https://doi.org/10.53771/ijstra.2024.6.1.0033" </w:instrText>
      </w:r>
      <w:r>
        <w:rPr/>
        <w:fldChar w:fldCharType="separate"/>
      </w:r>
      <w:r>
        <w:rPr>
          <w:rStyle w:val="style85"/>
        </w:rPr>
        <w:t>https://doi.org/10.53771/ijstra.2024.6.1.0033</w:t>
      </w:r>
      <w:r>
        <w:rPr/>
        <w:fldChar w:fldCharType="end"/>
      </w:r>
    </w:p>
    <w:p>
      <w:pPr>
        <w:pStyle w:val="style0"/>
        <w:rPr/>
      </w:pPr>
      <w:r>
        <w:t xml:space="preserve">Anggraeni, V. and Daito, A. (2022). Subjective Norms, Financial Conditions, and Online Tax Applications Influence on Taxpayer Compliance Moderated Providing Study Area Tax Incentives at Tangerang City Hotels and Restaurants. </w:t>
      </w:r>
      <w:r>
        <w:rPr>
          <w:i/>
          <w:iCs/>
        </w:rPr>
        <w:t>ResearchGate</w:t>
      </w:r>
      <w:r>
        <w:t xml:space="preserve">. </w:t>
      </w:r>
      <w:r>
        <w:t xml:space="preserve">doi: </w:t>
      </w:r>
      <w:r>
        <w:rPr/>
        <w:fldChar w:fldCharType="begin"/>
      </w:r>
      <w:r>
        <w:instrText xml:space="preserve"> HYPERLINK "https://doi.org/10.38035/dijefa.v3i1" </w:instrText>
      </w:r>
      <w:r>
        <w:rPr/>
        <w:fldChar w:fldCharType="separate"/>
      </w:r>
      <w:r>
        <w:rPr>
          <w:rStyle w:val="style85"/>
        </w:rPr>
        <w:t>https://doi.org/10.38035/dijefa.v3i1</w:t>
      </w:r>
      <w:r>
        <w:rPr/>
        <w:fldChar w:fldCharType="end"/>
      </w:r>
    </w:p>
    <w:p>
      <w:pPr>
        <w:pStyle w:val="style0"/>
        <w:rPr/>
      </w:pPr>
      <w:r>
        <w:t xml:space="preserve">Bhattacheryay, S. (2023). Multinational Working Capital Management a Study on Toyota Motor Corporation. </w:t>
      </w:r>
      <w:r>
        <w:rPr>
          <w:i/>
          <w:iCs/>
        </w:rPr>
        <w:t>International Journal of Finance &amp; Economics</w:t>
      </w:r>
      <w:r>
        <w:t>, 28(1).</w:t>
      </w:r>
    </w:p>
    <w:p>
      <w:pPr>
        <w:pStyle w:val="style0"/>
        <w:rPr/>
      </w:pPr>
      <w:r>
        <w:t xml:space="preserve">Blessing, H. and Sakouvogui, G. (2023). Impact of Liquidity and Solvency Ratios on Financial Performance: a Comprehensive Analysis. </w:t>
      </w:r>
      <w:r>
        <w:rPr>
          <w:i/>
          <w:iCs/>
        </w:rPr>
        <w:t>Indonesia Auditing Research Journal</w:t>
      </w:r>
      <w:r>
        <w:t>, 12(3), pp.102–115.</w:t>
      </w:r>
    </w:p>
    <w:p>
      <w:pPr>
        <w:pStyle w:val="style0"/>
        <w:rPr/>
      </w:pPr>
      <w:r>
        <w:t xml:space="preserve">Boisjoly, R.P., Conine, T.E. and McDonald, M.B. (2020). Working capital management: Financial and valuation impacts. </w:t>
      </w:r>
      <w:r>
        <w:rPr>
          <w:i/>
          <w:iCs/>
        </w:rPr>
        <w:t>Journal of Business Research</w:t>
      </w:r>
      <w:r>
        <w:t xml:space="preserve">, 108(1), pp.1–8. </w:t>
      </w:r>
      <w:r>
        <w:t xml:space="preserve">doi: </w:t>
      </w:r>
      <w:r>
        <w:rPr/>
        <w:fldChar w:fldCharType="begin"/>
      </w:r>
      <w:r>
        <w:instrText xml:space="preserve"> HYPERLINK "https://doi.org/10.1016/j.jbusres.2019.09.025" </w:instrText>
      </w:r>
      <w:r>
        <w:rPr/>
        <w:fldChar w:fldCharType="separate"/>
      </w:r>
      <w:r>
        <w:rPr>
          <w:rStyle w:val="style85"/>
        </w:rPr>
        <w:t>https://doi.org/10.1016/j.jbusres.2019.09.025</w:t>
      </w:r>
      <w:r>
        <w:rPr/>
        <w:fldChar w:fldCharType="end"/>
      </w:r>
    </w:p>
    <w:p>
      <w:pPr>
        <w:pStyle w:val="style0"/>
        <w:rPr/>
      </w:pPr>
      <w:r>
        <w:t xml:space="preserve">Du, Y. (2023). Business Analysis of Toyota Based on Enterprise Value Multiple and PEST Analysis. </w:t>
      </w:r>
      <w:r>
        <w:rPr>
          <w:i/>
          <w:iCs/>
        </w:rPr>
        <w:t>BCP Business &amp; Management</w:t>
      </w:r>
      <w:r>
        <w:t>, 37, pp.401–406.</w:t>
      </w:r>
    </w:p>
    <w:p>
      <w:pPr>
        <w:pStyle w:val="style0"/>
        <w:rPr/>
      </w:pPr>
      <w:r>
        <w:t xml:space="preserve">Gaffney, L.K. and Michelson, K.A. (2023). Analysis of Hospital Operating Margins and Provision of Safety Net Services. </w:t>
      </w:r>
      <w:r>
        <w:rPr>
          <w:i/>
          <w:iCs/>
        </w:rPr>
        <w:t>Jama Network Open</w:t>
      </w:r>
      <w:r>
        <w:t xml:space="preserve">, 6(4), pp.e238785–e238785. </w:t>
      </w:r>
      <w:r>
        <w:t xml:space="preserve">doi: </w:t>
      </w:r>
      <w:r>
        <w:rPr/>
        <w:fldChar w:fldCharType="begin"/>
      </w:r>
      <w:r>
        <w:instrText xml:space="preserve"> HYPERLINK "https://doi.org/10.1001/jamanetworkopen.2023.8785" </w:instrText>
      </w:r>
      <w:r>
        <w:rPr/>
        <w:fldChar w:fldCharType="separate"/>
      </w:r>
      <w:r>
        <w:rPr>
          <w:rStyle w:val="style85"/>
        </w:rPr>
        <w:t>https://doi.org/10.1001/jamanetworkopen.2023.8785</w:t>
      </w:r>
      <w:r>
        <w:rPr/>
        <w:fldChar w:fldCharType="end"/>
      </w:r>
    </w:p>
    <w:p>
      <w:pPr>
        <w:pStyle w:val="style0"/>
        <w:rPr/>
      </w:pPr>
      <w:r>
        <w:t xml:space="preserve">Kanaan, G.P., Sanggarwati, B. and Ailani, A.W. (2023). Understanding The Financial Performance Dynamics And Its Implications On Firm Value A Qualitative Study On ROA, Financial Distress, And Debt To Equity Ratio. </w:t>
      </w:r>
      <w:r>
        <w:rPr>
          <w:i/>
          <w:iCs/>
        </w:rPr>
        <w:t>MASMAN : Master Manajemen</w:t>
      </w:r>
      <w:r>
        <w:t xml:space="preserve">, 1(4), pp.220–229. </w:t>
      </w:r>
      <w:r>
        <w:t xml:space="preserve">doi: </w:t>
      </w:r>
      <w:r>
        <w:rPr/>
        <w:fldChar w:fldCharType="begin"/>
      </w:r>
      <w:r>
        <w:instrText xml:space="preserve"> HYPERLINK "https://doi.org/10.59603/masman.v1i4.368" </w:instrText>
      </w:r>
      <w:r>
        <w:rPr/>
        <w:fldChar w:fldCharType="separate"/>
      </w:r>
      <w:r>
        <w:rPr>
          <w:rStyle w:val="style85"/>
        </w:rPr>
        <w:t>https://doi.org/10.59603/masman.v1i4.368</w:t>
      </w:r>
      <w:r>
        <w:rPr/>
        <w:fldChar w:fldCharType="end"/>
      </w:r>
    </w:p>
    <w:p>
      <w:pPr>
        <w:pStyle w:val="style0"/>
        <w:rPr/>
      </w:pPr>
      <w:r>
        <w:t xml:space="preserve">Mahmoud, S., Iraqi, I., Ahmad, S. and Nobanee, H. (2022). Working Capital Management Analysis of Volkswagen, Toyota, and General Motors. </w:t>
      </w:r>
      <w:r>
        <w:rPr>
          <w:i/>
          <w:iCs/>
        </w:rPr>
        <w:t>ResearchGate</w:t>
      </w:r>
      <w:r>
        <w:t>.</w:t>
      </w:r>
    </w:p>
    <w:p>
      <w:pPr>
        <w:pStyle w:val="style0"/>
        <w:rPr/>
      </w:pPr>
      <w:r>
        <w:t xml:space="preserve">McKinsey &amp; Company (2022). </w:t>
      </w:r>
      <w:r>
        <w:rPr>
          <w:i/>
          <w:iCs/>
        </w:rPr>
        <w:t>Semiconductor shortage: How the automotive industry can succeed</w:t>
      </w:r>
      <w:r>
        <w:t xml:space="preserve">. [online] Available at: </w:t>
      </w:r>
      <w:r>
        <w:rPr/>
        <w:fldChar w:fldCharType="begin"/>
      </w:r>
      <w:r>
        <w:instrText xml:space="preserve"> HYPERLINK "https://www.mckinsey.com/~/media/mckinsey/industries/semiconductors/our%20insights/semiconductor%20shortage%20how%20the%20automotive%20industry%20can%20succeed/semiconductor-shortage-how-the-automotive-industry-can-succeed.pdf" </w:instrText>
      </w:r>
      <w:r>
        <w:rPr/>
        <w:fldChar w:fldCharType="separate"/>
      </w:r>
      <w:r>
        <w:rPr>
          <w:rStyle w:val="style85"/>
        </w:rPr>
        <w:t>https://www.mckinsey.com/~/media/mckinsey/industries/semiconductors/our%20insights/semiconductor%20shortage%20how%20the%20automotive%20industry%20can%20succeed/semiconductor-shortage-how-the-automotive-industry-can-succeed.pdf</w:t>
      </w:r>
      <w:r>
        <w:rPr/>
        <w:fldChar w:fldCharType="end"/>
      </w:r>
    </w:p>
    <w:p>
      <w:pPr>
        <w:pStyle w:val="style0"/>
        <w:rPr/>
      </w:pPr>
      <w:r>
        <w:t xml:space="preserve">Minh, N.D. (2023). Toyota’s Production Efficiency Improvement management: Best Practice for Productivity Evaluation and Operation Improvement. </w:t>
      </w:r>
      <w:r>
        <w:rPr>
          <w:i/>
          <w:iCs/>
        </w:rPr>
        <w:t>Journal of Advances in Management Research</w:t>
      </w:r>
      <w:r>
        <w:t xml:space="preserve">, 20(3), pp.385–408. </w:t>
      </w:r>
      <w:r>
        <w:t xml:space="preserve">doi: </w:t>
      </w:r>
      <w:r>
        <w:rPr/>
        <w:fldChar w:fldCharType="begin"/>
      </w:r>
      <w:r>
        <w:instrText xml:space="preserve"> HYPERLINK "https://doi.org/10.1108/jamr-02-2022-0042" </w:instrText>
      </w:r>
      <w:r>
        <w:rPr/>
        <w:fldChar w:fldCharType="separate"/>
      </w:r>
      <w:r>
        <w:rPr>
          <w:rStyle w:val="style85"/>
        </w:rPr>
        <w:t>https://doi.org/10.1108/jamr-02-2022-0042</w:t>
      </w:r>
      <w:r>
        <w:rPr/>
        <w:fldChar w:fldCharType="end"/>
      </w:r>
    </w:p>
    <w:p>
      <w:pPr>
        <w:pStyle w:val="style0"/>
        <w:rPr/>
      </w:pPr>
      <w:r>
        <w:t xml:space="preserve">Muhamad, A.N.H. and Nuraeni, Y.A. (2022). Analysis Of The Effect Of Current Ratio, Total Asset Turnover, Debt To Equity Ratio, Net Profit Margin Toward Retrun on Equity. </w:t>
      </w:r>
      <w:r>
        <w:rPr>
          <w:i/>
          <w:iCs/>
        </w:rPr>
        <w:t>International Journal Of Science Education and Technology Management (IJSETM)</w:t>
      </w:r>
      <w:r>
        <w:t>, 1(1), pp.1–15.</w:t>
      </w:r>
    </w:p>
    <w:p>
      <w:pPr>
        <w:pStyle w:val="style0"/>
        <w:rPr/>
      </w:pPr>
      <w:r>
        <w:t xml:space="preserve">Narne, H. (2021). Artificial Intelligence - Enabled Demand and Supply Planning: Revolutionizing Forecasting and Optimization in Supply Chains. </w:t>
      </w:r>
      <w:r>
        <w:rPr>
          <w:i/>
          <w:iCs/>
        </w:rPr>
        <w:t>International Journal of Science and Research (IJSR)</w:t>
      </w:r>
      <w:r>
        <w:t xml:space="preserve">, 10(7), pp.1556–1560. </w:t>
      </w:r>
      <w:r>
        <w:t xml:space="preserve">doi: </w:t>
      </w:r>
      <w:r>
        <w:rPr/>
        <w:fldChar w:fldCharType="begin"/>
      </w:r>
      <w:r>
        <w:instrText xml:space="preserve"> HYPERLINK "https://doi.org/10.21275/sr21078105302" </w:instrText>
      </w:r>
      <w:r>
        <w:rPr/>
        <w:fldChar w:fldCharType="separate"/>
      </w:r>
      <w:r>
        <w:rPr>
          <w:rStyle w:val="style85"/>
        </w:rPr>
        <w:t>https://doi.org/10.21275/sr21078105302</w:t>
      </w:r>
      <w:r>
        <w:rPr/>
        <w:fldChar w:fldCharType="end"/>
      </w:r>
    </w:p>
    <w:p>
      <w:pPr>
        <w:pStyle w:val="style0"/>
        <w:rPr/>
      </w:pPr>
      <w:r>
        <w:t xml:space="preserve">Nukala, V.B. and Rao, S.S.P. (2021). Role of debt-to-equity Ratio in Project Investment valuation, Assessing Risk and Return in Capital Markets. </w:t>
      </w:r>
      <w:r>
        <w:rPr>
          <w:i/>
          <w:iCs/>
        </w:rPr>
        <w:t>Future Business Journal</w:t>
      </w:r>
      <w:r>
        <w:t>, 7(1), pp.1–23.</w:t>
      </w:r>
    </w:p>
    <w:p>
      <w:pPr>
        <w:pStyle w:val="style0"/>
        <w:rPr/>
      </w:pPr>
      <w:r>
        <w:t xml:space="preserve">Nweje, U. and Taiwo, M. (2025). Leveraging Artificial Intelligence for Predictive Supply Chain management, Focus on How AI-driven Tools Are Revolutionizing Demand Forecasting and Inventory Optimization. </w:t>
      </w:r>
      <w:r>
        <w:rPr>
          <w:i/>
          <w:iCs/>
        </w:rPr>
        <w:t>International Journal of Science and Research Archive</w:t>
      </w:r>
      <w:r>
        <w:t xml:space="preserve">, 14(1). </w:t>
      </w:r>
      <w:r>
        <w:t xml:space="preserve">doi: </w:t>
      </w:r>
      <w:r>
        <w:rPr/>
        <w:fldChar w:fldCharType="begin"/>
      </w:r>
      <w:r>
        <w:instrText xml:space="preserve"> HYPERLINK "https://doi.org/10.30574/ijsra.2025.14.1.0027" </w:instrText>
      </w:r>
      <w:r>
        <w:rPr/>
        <w:fldChar w:fldCharType="separate"/>
      </w:r>
      <w:r>
        <w:rPr>
          <w:rStyle w:val="style85"/>
        </w:rPr>
        <w:t>https://doi.org/10.30574/ijsra.2025.14.1.0027</w:t>
      </w:r>
      <w:r>
        <w:rPr/>
        <w:fldChar w:fldCharType="end"/>
      </w:r>
    </w:p>
    <w:p>
      <w:pPr>
        <w:pStyle w:val="style0"/>
        <w:rPr/>
      </w:pPr>
      <w:r>
        <w:t xml:space="preserve">Ogunyankinnu, T., Osunkanmibi, A.A., Onotole, E.F., Ukatu, C.E., Ajayi, O.A. and Adeoye, Y. (2024). AI-Powered Demand Forecasting for Enhancing JIT Inventory Models. </w:t>
      </w:r>
      <w:r>
        <w:rPr>
          <w:i/>
          <w:iCs/>
        </w:rPr>
        <w:t>Journal of Frontiers in Multidisciplinary Research</w:t>
      </w:r>
      <w:r>
        <w:t xml:space="preserve">, 5(1), pp.184–196. </w:t>
      </w:r>
      <w:r>
        <w:t xml:space="preserve">doi: </w:t>
      </w:r>
      <w:r>
        <w:rPr/>
        <w:fldChar w:fldCharType="begin"/>
      </w:r>
      <w:r>
        <w:instrText xml:space="preserve"> HYPERLINK "https://doi.org/10.54660/.ijfmr.2024.5.1.184-196" </w:instrText>
      </w:r>
      <w:r>
        <w:rPr/>
        <w:fldChar w:fldCharType="separate"/>
      </w:r>
      <w:r>
        <w:rPr>
          <w:rStyle w:val="style85"/>
        </w:rPr>
        <w:t>https://doi.org/10.54660/.ijfmr.2024.5.1.184-196</w:t>
      </w:r>
      <w:r>
        <w:rPr/>
        <w:fldChar w:fldCharType="end"/>
      </w:r>
    </w:p>
    <w:p>
      <w:pPr>
        <w:pStyle w:val="style0"/>
        <w:rPr/>
      </w:pPr>
      <w:r>
        <w:t xml:space="preserve">Park, Y., Nakaoka, I. and Chen, Y. (2022). Competitive Positioning of R&amp;D Strategies at Productive Frontier: The Case study on Cooperative Relationship between EV and Battery Makers. </w:t>
      </w:r>
      <w:r>
        <w:rPr>
          <w:i/>
          <w:iCs/>
        </w:rPr>
        <w:t>Journal of Advances in Artificial Life Robotics</w:t>
      </w:r>
      <w:r>
        <w:t xml:space="preserve">, 2(4), pp.184–188. </w:t>
      </w:r>
      <w:r>
        <w:t xml:space="preserve">doi: </w:t>
      </w:r>
      <w:r>
        <w:rPr/>
        <w:fldChar w:fldCharType="begin"/>
      </w:r>
      <w:r>
        <w:instrText xml:space="preserve"> HYPERLINK "https://doi.org/10.57417/jaalr.2.4_184" </w:instrText>
      </w:r>
      <w:r>
        <w:rPr/>
        <w:fldChar w:fldCharType="separate"/>
      </w:r>
      <w:r>
        <w:rPr>
          <w:rStyle w:val="style85"/>
        </w:rPr>
        <w:t>https://doi.org/10.57417/jaalr.2.4_184</w:t>
      </w:r>
      <w:r>
        <w:rPr/>
        <w:fldChar w:fldCharType="end"/>
      </w:r>
    </w:p>
    <w:p>
      <w:pPr>
        <w:pStyle w:val="style0"/>
        <w:rPr/>
      </w:pPr>
      <w:r>
        <w:t xml:space="preserve">Rahman, A. and Acharya, P. (2020). A Comparative Study on Financial Performance of Tata Motors and Toyota Motor Corporation Cars. </w:t>
      </w:r>
      <w:r>
        <w:rPr>
          <w:i/>
          <w:iCs/>
        </w:rPr>
        <w:t>SSRN Electronic Journal</w:t>
      </w:r>
      <w:r>
        <w:t>.</w:t>
      </w:r>
    </w:p>
    <w:p>
      <w:pPr>
        <w:pStyle w:val="style0"/>
        <w:rPr/>
      </w:pPr>
      <w:r>
        <w:t xml:space="preserve">Setiany, E. (2021). The Effect of Investment, Free Cash Flow, Earnings Management, and Interest Coverage Ratio on Financial Distress. </w:t>
      </w:r>
      <w:r>
        <w:rPr>
          <w:i/>
          <w:iCs/>
        </w:rPr>
        <w:t>Journal of Social Science</w:t>
      </w:r>
      <w:r>
        <w:t xml:space="preserve">, 2(1), pp.67–73. </w:t>
      </w:r>
      <w:r>
        <w:t xml:space="preserve">doi: </w:t>
      </w:r>
      <w:r>
        <w:rPr/>
        <w:fldChar w:fldCharType="begin"/>
      </w:r>
      <w:r>
        <w:instrText xml:space="preserve"> HYPERLINK "https://doi.org/10.46799/jsss.v2i1.86" </w:instrText>
      </w:r>
      <w:r>
        <w:rPr/>
        <w:fldChar w:fldCharType="separate"/>
      </w:r>
      <w:r>
        <w:rPr>
          <w:rStyle w:val="style85"/>
        </w:rPr>
        <w:t>https://doi.org/10.46799/jsss.v2i1.86</w:t>
      </w:r>
      <w:r>
        <w:rPr/>
        <w:fldChar w:fldCharType="end"/>
      </w:r>
    </w:p>
    <w:p>
      <w:pPr>
        <w:pStyle w:val="style0"/>
        <w:rPr/>
      </w:pPr>
      <w:r>
        <w:t xml:space="preserve">Shabrina, W. and Hadian, N. (2021). The influence of current ratio, debt to equity ratio, and return on assets on dividend payout ratio. </w:t>
      </w:r>
      <w:r>
        <w:rPr>
          <w:i/>
          <w:iCs/>
        </w:rPr>
        <w:t>International Journal of Financial, Accounting, and Management</w:t>
      </w:r>
      <w:r>
        <w:t xml:space="preserve">, 3(3), pp.193–204. </w:t>
      </w:r>
      <w:r>
        <w:t xml:space="preserve">doi: </w:t>
      </w:r>
      <w:r>
        <w:rPr/>
        <w:fldChar w:fldCharType="begin"/>
      </w:r>
      <w:r>
        <w:instrText xml:space="preserve"> HYPERLINK "https://doi.org/10.35912/ijfam.v3i3.221" </w:instrText>
      </w:r>
      <w:r>
        <w:rPr/>
        <w:fldChar w:fldCharType="separate"/>
      </w:r>
      <w:r>
        <w:rPr>
          <w:rStyle w:val="style85"/>
        </w:rPr>
        <w:t>https://doi.org/10.35912/ijfam.v3i3.221</w:t>
      </w:r>
      <w:r>
        <w:rPr/>
        <w:fldChar w:fldCharType="end"/>
      </w:r>
    </w:p>
    <w:p>
      <w:pPr>
        <w:pStyle w:val="style0"/>
        <w:rPr/>
      </w:pPr>
      <w:r>
        <w:t xml:space="preserve">Shcherbakov, G.A. (2022). The global shortage of semiconductor components as a source of the current crisis in the global automotive industry. </w:t>
      </w:r>
      <w:r>
        <w:rPr>
          <w:i/>
          <w:iCs/>
        </w:rPr>
        <w:t>MIR (Modernization. Innovation. Research)</w:t>
      </w:r>
      <w:r>
        <w:t xml:space="preserve">, 13(2), pp.270–287. </w:t>
      </w:r>
      <w:r>
        <w:t xml:space="preserve">doi: </w:t>
      </w:r>
      <w:r>
        <w:rPr/>
        <w:fldChar w:fldCharType="begin"/>
      </w:r>
      <w:r>
        <w:instrText xml:space="preserve"> HYPERLINK "https://doi.org/10.18184/2079-4665.2022.13.2.270-287" </w:instrText>
      </w:r>
      <w:r>
        <w:rPr/>
        <w:fldChar w:fldCharType="separate"/>
      </w:r>
      <w:r>
        <w:rPr>
          <w:rStyle w:val="style85"/>
        </w:rPr>
        <w:t>https://doi.org/10.18184/2079-4665.2022.13.2.270-287</w:t>
      </w:r>
      <w:r>
        <w:rPr/>
        <w:fldChar w:fldCharType="end"/>
      </w:r>
    </w:p>
    <w:p>
      <w:pPr>
        <w:pStyle w:val="style0"/>
        <w:rPr/>
      </w:pPr>
      <w:r>
        <w:t xml:space="preserve">Shinde, P., Kouveliotis-Lysikatos, I., Amelin, M. and Song, M. (2022). A Modified Progressive Hedging Approach for Multistage Intraday Trade of EV aggregators. </w:t>
      </w:r>
      <w:r>
        <w:rPr>
          <w:i/>
          <w:iCs/>
        </w:rPr>
        <w:t>Electric Power Systems Research</w:t>
      </w:r>
      <w:r>
        <w:t xml:space="preserve">, 212, p.108518. </w:t>
      </w:r>
      <w:r>
        <w:t xml:space="preserve">doi: </w:t>
      </w:r>
      <w:r>
        <w:rPr/>
        <w:fldChar w:fldCharType="begin"/>
      </w:r>
      <w:r>
        <w:instrText xml:space="preserve"> HYPERLINK "https://doi.org/10.1016/j.epsr.2022.108518" </w:instrText>
      </w:r>
      <w:r>
        <w:rPr/>
        <w:fldChar w:fldCharType="separate"/>
      </w:r>
      <w:r>
        <w:rPr>
          <w:rStyle w:val="style85"/>
        </w:rPr>
        <w:t>https://doi.org/10.1016/j.epsr.2022.108518</w:t>
      </w:r>
      <w:r>
        <w:rPr/>
        <w:fldChar w:fldCharType="end"/>
      </w:r>
    </w:p>
    <w:p>
      <w:pPr>
        <w:pStyle w:val="style0"/>
        <w:rPr/>
      </w:pPr>
      <w:r>
        <w:t xml:space="preserve">Singh, R., Gupta, C.P. and Chaudhary, P. (2024). Defining Return on Assets (ROA) in empirical corporate finance research: a critical review. </w:t>
      </w:r>
      <w:r>
        <w:rPr>
          <w:i/>
          <w:iCs/>
        </w:rPr>
        <w:t>SSRN Electronic Journal</w:t>
      </w:r>
      <w:r>
        <w:t>.</w:t>
      </w:r>
    </w:p>
    <w:p>
      <w:pPr>
        <w:pStyle w:val="style0"/>
        <w:rPr/>
      </w:pPr>
      <w:r>
        <w:t xml:space="preserve">Soliman, M.H.A. (2023). </w:t>
      </w:r>
      <w:r>
        <w:rPr>
          <w:i/>
          <w:iCs/>
        </w:rPr>
        <w:t>A Complete Guide to Just-in-Time Production: Inside Toyota’s Mind</w:t>
      </w:r>
      <w:r>
        <w:t xml:space="preserve">. </w:t>
      </w:r>
      <w:r>
        <w:rPr>
          <w:i/>
          <w:iCs/>
        </w:rPr>
        <w:t>Google Books</w:t>
      </w:r>
      <w:r>
        <w:t>.</w:t>
      </w:r>
    </w:p>
    <w:p>
      <w:pPr>
        <w:pStyle w:val="style0"/>
        <w:rPr/>
      </w:pPr>
      <w:r>
        <w:t xml:space="preserve">Susilawati, D., Agusetiawan Shavab, F. and Mustika, M. (2022). The Effect of Debt to Equity Ratio and Current Ratio on Return on Assets. </w:t>
      </w:r>
      <w:r>
        <w:rPr>
          <w:i/>
          <w:iCs/>
        </w:rPr>
        <w:t>Journal of Applied Business, Taxation and Economics Research</w:t>
      </w:r>
      <w:r>
        <w:t xml:space="preserve">, 1(4), pp.325–337. </w:t>
      </w:r>
      <w:r>
        <w:t xml:space="preserve">doi: </w:t>
      </w:r>
      <w:r>
        <w:rPr/>
        <w:fldChar w:fldCharType="begin"/>
      </w:r>
      <w:r>
        <w:instrText xml:space="preserve"> HYPERLINK "https://doi.org/10.54408/jabter.v1i4.61" </w:instrText>
      </w:r>
      <w:r>
        <w:rPr/>
        <w:fldChar w:fldCharType="separate"/>
      </w:r>
      <w:r>
        <w:rPr>
          <w:rStyle w:val="style85"/>
        </w:rPr>
        <w:t>https://doi.org/10.54408/jabter.v1i4.61</w:t>
      </w:r>
      <w:r>
        <w:rPr/>
        <w:fldChar w:fldCharType="end"/>
      </w:r>
    </w:p>
    <w:p>
      <w:pPr>
        <w:pStyle w:val="style0"/>
        <w:rPr/>
      </w:pPr>
      <w:r>
        <w:t xml:space="preserve">Tolegen, T. (2022). Cost Analysis: Toyota, the Kaizen Vehicles. </w:t>
      </w:r>
      <w:r>
        <w:rPr>
          <w:i/>
          <w:iCs/>
        </w:rPr>
        <w:t>SSRN Electronic Journal</w:t>
      </w:r>
      <w:r>
        <w:t>.</w:t>
      </w:r>
    </w:p>
    <w:p>
      <w:pPr>
        <w:pStyle w:val="style0"/>
        <w:rPr/>
      </w:pPr>
      <w:r>
        <w:t xml:space="preserve">Toyota Motors (2024). </w:t>
      </w:r>
      <w:r>
        <w:rPr>
          <w:i/>
          <w:iCs/>
        </w:rPr>
        <w:t>FINANCIAL SUMMARY FY2024</w:t>
      </w:r>
      <w:r>
        <w:t xml:space="preserve">. [online] Available at: </w:t>
      </w:r>
      <w:r>
        <w:rPr/>
        <w:fldChar w:fldCharType="begin"/>
      </w:r>
      <w:r>
        <w:instrText xml:space="preserve"> HYPERLINK "https://global.toyota/pages/global_toyota/ir/financial-results/2024_4q_summary_en.pdf" </w:instrText>
      </w:r>
      <w:r>
        <w:rPr/>
        <w:fldChar w:fldCharType="separate"/>
      </w:r>
      <w:r>
        <w:rPr>
          <w:rStyle w:val="style85"/>
        </w:rPr>
        <w:t>https://global.toyota/pages/global_toyota/ir/financial-results/2024_4q_summary_en.pdf</w:t>
      </w:r>
      <w:r>
        <w:rPr/>
        <w:fldChar w:fldCharType="end"/>
      </w:r>
    </w:p>
    <w:p>
      <w:pPr>
        <w:pStyle w:val="style0"/>
        <w:rPr/>
      </w:pPr>
      <w:r>
        <w:t xml:space="preserve">Umar, M.A. (2023). Corporate Restructuring: A strategy for improving organizational performance. </w:t>
      </w:r>
      <w:r>
        <w:rPr>
          <w:i/>
          <w:iCs/>
        </w:rPr>
        <w:t>International Journal of Strategic Decision Sciences</w:t>
      </w:r>
      <w:r>
        <w:t xml:space="preserve">, 14(1), pp.1–11. </w:t>
      </w:r>
      <w:r>
        <w:t xml:space="preserve">doi: </w:t>
      </w:r>
      <w:r>
        <w:rPr/>
        <w:fldChar w:fldCharType="begin"/>
      </w:r>
      <w:r>
        <w:instrText xml:space="preserve"> HYPERLINK "https://doi.org/10.4018/ijsds.319974" </w:instrText>
      </w:r>
      <w:r>
        <w:rPr/>
        <w:fldChar w:fldCharType="separate"/>
      </w:r>
      <w:r>
        <w:rPr>
          <w:rStyle w:val="style85"/>
        </w:rPr>
        <w:t>https://doi.org/10.4018/ijsds.319974</w:t>
      </w:r>
      <w:r>
        <w:rPr/>
        <w:fldChar w:fldCharType="end"/>
      </w:r>
    </w:p>
    <w:p>
      <w:pPr>
        <w:pStyle w:val="style0"/>
        <w:rPr/>
      </w:pPr>
      <w:r>
        <w:t xml:space="preserve">Wen, D., Jingjing, X., Xiaohui, X. and Loang, W. (2023). Financial and Non-Financial Analysis of Toyota and Ford: A Comparative Study. </w:t>
      </w:r>
      <w:r>
        <w:rPr>
          <w:i/>
          <w:iCs/>
        </w:rPr>
        <w:t>Journal of Islamic, Social, Economics and Development (JISED)</w:t>
      </w:r>
      <w:r>
        <w:t>, 8(52), pp.203–214.</w:t>
      </w:r>
    </w:p>
    <w:p>
      <w:pPr>
        <w:pStyle w:val="style0"/>
        <w:rPr/>
      </w:pPr>
      <w:r>
        <w:t xml:space="preserve">Widiasmara, A., Kusherawati, A., Cahyaningati, R. and Paramita, R.W.D. (2022). The Effect of Current Ratio, Debt to Equity Ratio, Return On Assets, and Net Profit Margin on Profit Growth. </w:t>
      </w:r>
      <w:r>
        <w:rPr>
          <w:i/>
          <w:iCs/>
        </w:rPr>
        <w:t>Assets : Jurnal Ilmiah Ilmu Akuntansi, Keuangan dan Pajak</w:t>
      </w:r>
      <w:r>
        <w:t xml:space="preserve">, 6(1), pp.8–15. </w:t>
      </w:r>
      <w:r>
        <w:t xml:space="preserve">doi: </w:t>
      </w:r>
      <w:r>
        <w:rPr/>
        <w:fldChar w:fldCharType="begin"/>
      </w:r>
      <w:r>
        <w:instrText xml:space="preserve"> HYPERLINK "https://doi.org/10.30741/assets.v6i1.831" </w:instrText>
      </w:r>
      <w:r>
        <w:rPr/>
        <w:fldChar w:fldCharType="separate"/>
      </w:r>
      <w:r>
        <w:rPr>
          <w:rStyle w:val="style85"/>
        </w:rPr>
        <w:t>https://doi.org/10.30741/assets.v6i1.831</w:t>
      </w:r>
      <w:r>
        <w:rPr/>
        <w:fldChar w:fldCharType="end"/>
      </w:r>
    </w:p>
    <w:p>
      <w:pPr>
        <w:pStyle w:val="style0"/>
        <w:rPr/>
      </w:pPr>
      <w:r>
        <w:t>Zhang, Y., Silva, B., Moreau, É. and Tāne, H. (2025). Financial Ratio Analysis: A literature Review.</w:t>
      </w:r>
    </w:p>
    <w:p>
      <w:pPr>
        <w:pStyle w:val="style0"/>
        <w:rPr/>
      </w:pPr>
    </w:p>
    <w:p>
      <w:pPr>
        <w:pStyle w:val="style0"/>
        <w:rPr/>
      </w:pPr>
    </w:p>
    <w:p>
      <w:pPr>
        <w:pStyle w:val="style0"/>
        <w:rPr/>
      </w:pPr>
    </w:p>
    <w:bookmarkStart w:id="78" w:name="_Toc226239116"/>
    <w:p>
      <w:pPr>
        <w:pStyle w:val="style1"/>
        <w:rPr/>
      </w:pPr>
      <w:r>
        <w:t>Appendix</w:t>
      </w:r>
      <w:bookmarkEnd w:id="78"/>
    </w:p>
    <w:bookmarkStart w:id="79" w:name="_Toc226239117"/>
    <w:p>
      <w:pPr>
        <w:pStyle w:val="style2"/>
        <w:rPr/>
      </w:pPr>
      <w:r>
        <w:t>Appendix A: Ratio Analysis</w:t>
      </w:r>
      <w:bookmarkEnd w:id="79"/>
    </w:p>
    <w:p>
      <w:pPr>
        <w:pStyle w:val="style0"/>
        <w:rPr/>
      </w:pPr>
      <w:r>
        <w:rPr/>
        <w:drawing>
          <wp:inline distL="0" distT="0" distB="0" distR="0">
            <wp:extent cx="5943600" cy="840739"/>
            <wp:effectExtent l="0" t="0" r="0" b="0"/>
            <wp:docPr id="1071"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 name="Picture 1"/>
                    <pic:cNvPicPr/>
                  </pic:nvPicPr>
                  <pic:blipFill>
                    <a:blip r:embed="rId47" cstate="print"/>
                    <a:srcRect l="0" t="0" r="0" b="0"/>
                    <a:stretch/>
                  </pic:blipFill>
                  <pic:spPr>
                    <a:xfrm rot="0">
                      <a:off x="0" y="0"/>
                      <a:ext cx="5943600" cy="840739"/>
                    </a:xfrm>
                    <a:prstGeom prst="rect"/>
                  </pic:spPr>
                </pic:pic>
              </a:graphicData>
            </a:graphic>
          </wp:inline>
        </w:drawing>
      </w:r>
    </w:p>
    <w:p>
      <w:pPr>
        <w:pStyle w:val="style0"/>
        <w:rPr/>
      </w:pPr>
      <w:r>
        <w:rPr/>
        <w:drawing>
          <wp:inline distL="0" distT="0" distB="0" distR="0">
            <wp:extent cx="5943600" cy="1093470"/>
            <wp:effectExtent l="0" t="0" r="0" b="0"/>
            <wp:docPr id="1072"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 name="Picture 1"/>
                    <pic:cNvPicPr/>
                  </pic:nvPicPr>
                  <pic:blipFill>
                    <a:blip r:embed="rId48" cstate="print"/>
                    <a:srcRect l="0" t="0" r="0" b="0"/>
                    <a:stretch/>
                  </pic:blipFill>
                  <pic:spPr>
                    <a:xfrm rot="0">
                      <a:off x="0" y="0"/>
                      <a:ext cx="5943600" cy="1093470"/>
                    </a:xfrm>
                    <a:prstGeom prst="rect"/>
                  </pic:spPr>
                </pic:pic>
              </a:graphicData>
            </a:graphic>
          </wp:inline>
        </w:drawing>
      </w:r>
    </w:p>
    <w:p>
      <w:pPr>
        <w:pStyle w:val="style0"/>
        <w:rPr/>
      </w:pPr>
      <w:r>
        <w:rPr/>
        <w:drawing>
          <wp:inline distL="0" distT="0" distB="0" distR="0">
            <wp:extent cx="5943600" cy="871219"/>
            <wp:effectExtent l="0" t="0" r="0" b="5080"/>
            <wp:docPr id="1073"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 name="Picture 1"/>
                    <pic:cNvPicPr/>
                  </pic:nvPicPr>
                  <pic:blipFill>
                    <a:blip r:embed="rId49" cstate="print"/>
                    <a:srcRect l="0" t="0" r="0" b="0"/>
                    <a:stretch/>
                  </pic:blipFill>
                  <pic:spPr>
                    <a:xfrm rot="0">
                      <a:off x="0" y="0"/>
                      <a:ext cx="5943600" cy="871219"/>
                    </a:xfrm>
                    <a:prstGeom prst="rect"/>
                  </pic:spPr>
                </pic:pic>
              </a:graphicData>
            </a:graphic>
          </wp:inline>
        </w:drawing>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bookmarkStart w:id="80" w:name="_Toc226239118"/>
    <w:p>
      <w:pPr>
        <w:pStyle w:val="style2"/>
        <w:rPr/>
      </w:pPr>
      <w:r>
        <w:t xml:space="preserve">Appendix B: </w:t>
      </w:r>
      <w:r>
        <w:t>Investment Appraisals</w:t>
      </w:r>
      <w:bookmarkEnd w:id="80"/>
    </w:p>
    <w:p>
      <w:pPr>
        <w:pStyle w:val="style0"/>
        <w:rPr/>
      </w:pPr>
      <w:r>
        <w:rPr/>
        <w:drawing>
          <wp:inline distL="0" distT="0" distB="0" distR="0">
            <wp:extent cx="5639090" cy="1778091"/>
            <wp:effectExtent l="0" t="0" r="0" b="0"/>
            <wp:docPr id="1074"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 name="Picture 1"/>
                    <pic:cNvPicPr/>
                  </pic:nvPicPr>
                  <pic:blipFill>
                    <a:blip r:embed="rId50" cstate="print"/>
                    <a:srcRect l="0" t="0" r="0" b="0"/>
                    <a:stretch/>
                  </pic:blipFill>
                  <pic:spPr>
                    <a:xfrm rot="0">
                      <a:off x="0" y="0"/>
                      <a:ext cx="5639090" cy="1778091"/>
                    </a:xfrm>
                    <a:prstGeom prst="rect"/>
                  </pic:spPr>
                </pic:pic>
              </a:graphicData>
            </a:graphic>
          </wp:inline>
        </w:drawing>
      </w:r>
    </w:p>
    <w:p>
      <w:pPr>
        <w:pStyle w:val="style0"/>
        <w:rPr/>
      </w:pPr>
      <w:r>
        <w:rPr/>
        <w:drawing>
          <wp:inline distL="0" distT="0" distB="0" distR="0">
            <wp:extent cx="4953255" cy="2006703"/>
            <wp:effectExtent l="0" t="0" r="0" b="0"/>
            <wp:docPr id="1075"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 name="Picture 1"/>
                    <pic:cNvPicPr/>
                  </pic:nvPicPr>
                  <pic:blipFill>
                    <a:blip r:embed="rId51" cstate="print"/>
                    <a:srcRect l="0" t="0" r="0" b="0"/>
                    <a:stretch/>
                  </pic:blipFill>
                  <pic:spPr>
                    <a:xfrm rot="0">
                      <a:off x="0" y="0"/>
                      <a:ext cx="4953255" cy="2006703"/>
                    </a:xfrm>
                    <a:prstGeom prst="rect"/>
                  </pic:spPr>
                </pic:pic>
              </a:graphicData>
            </a:graphic>
          </wp:inline>
        </w:drawing>
      </w:r>
    </w:p>
    <w:p>
      <w:pPr>
        <w:pStyle w:val="style0"/>
        <w:rPr/>
      </w:pPr>
      <w:r>
        <w:rPr/>
        <w:drawing>
          <wp:inline distL="0" distT="0" distB="0" distR="0">
            <wp:extent cx="5943600" cy="2122805"/>
            <wp:effectExtent l="0" t="0" r="0" b="0"/>
            <wp:docPr id="107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 name="Picture 1"/>
                    <pic:cNvPicPr/>
                  </pic:nvPicPr>
                  <pic:blipFill>
                    <a:blip r:embed="rId52" cstate="print"/>
                    <a:srcRect l="0" t="0" r="0" b="0"/>
                    <a:stretch/>
                  </pic:blipFill>
                  <pic:spPr>
                    <a:xfrm rot="0">
                      <a:off x="0" y="0"/>
                      <a:ext cx="5943600" cy="2122805"/>
                    </a:xfrm>
                    <a:prstGeom prst="rect"/>
                  </pic:spPr>
                </pic:pic>
              </a:graphicData>
            </a:graphic>
          </wp:inline>
        </w:drawing>
      </w:r>
    </w:p>
    <w:p>
      <w:pPr>
        <w:pStyle w:val="style0"/>
        <w:rPr/>
      </w:pPr>
      <w:r>
        <w:rPr/>
        <w:drawing>
          <wp:inline distL="0" distT="0" distB="0" distR="0">
            <wp:extent cx="5943600" cy="1632585"/>
            <wp:effectExtent l="0" t="0" r="0" b="5715"/>
            <wp:docPr id="107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 name="Picture 1"/>
                    <pic:cNvPicPr/>
                  </pic:nvPicPr>
                  <pic:blipFill>
                    <a:blip r:embed="rId53" cstate="print"/>
                    <a:srcRect l="0" t="0" r="0" b="0"/>
                    <a:stretch/>
                  </pic:blipFill>
                  <pic:spPr>
                    <a:xfrm rot="0">
                      <a:off x="0" y="0"/>
                      <a:ext cx="5943600" cy="1632585"/>
                    </a:xfrm>
                    <a:prstGeom prst="rect"/>
                  </pic:spPr>
                </pic:pic>
              </a:graphicData>
            </a:graphic>
          </wp:inline>
        </w:drawing>
      </w:r>
    </w:p>
    <w:p>
      <w:pPr>
        <w:pStyle w:val="style0"/>
        <w:rPr/>
      </w:pPr>
      <w:r>
        <w:rPr/>
        <w:drawing>
          <wp:inline distL="0" distT="0" distB="0" distR="0">
            <wp:extent cx="5943600" cy="1475105"/>
            <wp:effectExtent l="0" t="0" r="0" b="0"/>
            <wp:docPr id="1078"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6" name="Picture 1"/>
                    <pic:cNvPicPr/>
                  </pic:nvPicPr>
                  <pic:blipFill>
                    <a:blip r:embed="rId54" cstate="print"/>
                    <a:srcRect l="0" t="0" r="0" b="0"/>
                    <a:stretch/>
                  </pic:blipFill>
                  <pic:spPr>
                    <a:xfrm rot="0">
                      <a:off x="0" y="0"/>
                      <a:ext cx="5943600" cy="1475105"/>
                    </a:xfrm>
                    <a:prstGeom prst="rect"/>
                  </pic:spPr>
                </pic:pic>
              </a:graphicData>
            </a:graphic>
          </wp:inline>
        </w:drawing>
      </w:r>
    </w:p>
    <w:p>
      <w:pPr>
        <w:pStyle w:val="style0"/>
        <w:rPr/>
      </w:pPr>
      <w:r>
        <w:rPr/>
        <w:drawing>
          <wp:inline distL="0" distT="0" distB="0" distR="0">
            <wp:extent cx="5943600" cy="1003300"/>
            <wp:effectExtent l="0" t="0" r="0" b="6350"/>
            <wp:docPr id="1079"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 name="Picture 1"/>
                    <pic:cNvPicPr/>
                  </pic:nvPicPr>
                  <pic:blipFill>
                    <a:blip r:embed="rId55" cstate="print"/>
                    <a:srcRect l="0" t="0" r="0" b="0"/>
                    <a:stretch/>
                  </pic:blipFill>
                  <pic:spPr>
                    <a:xfrm rot="0">
                      <a:off x="0" y="0"/>
                      <a:ext cx="5943600" cy="1003300"/>
                    </a:xfrm>
                    <a:prstGeom prst="rect"/>
                  </pic:spPr>
                </pic:pic>
              </a:graphicData>
            </a:graphic>
          </wp:inline>
        </w:drawing>
      </w:r>
    </w:p>
    <w:p>
      <w:pPr>
        <w:pStyle w:val="style0"/>
        <w:rPr/>
      </w:pPr>
    </w:p>
    <w:p>
      <w:pPr>
        <w:pStyle w:val="style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 w:name="Cambria Math">
    <w:altName w:val="Cambria Math"/>
    <w:panose1 w:val="02040503050004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E1307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sz w:val="22"/>
        <w:szCs w:val="22"/>
        <w:lang w:val="en-GB" w:bidi="ar-SA" w:eastAsia="en-US"/>
        <w14:ligatures xmlns:w14="http://schemas.microsoft.com/office/word/2010/wordml" w14:val="standardContextual"/>
      </w:rPr>
    </w:rPrDefault>
    <w:pPrDefault>
      <w:pPr>
        <w:spacing w:before="240" w:after="200" w:lineRule="auto" w:line="360"/>
      </w:pPr>
    </w:pPrDefault>
  </w:docDefaults>
  <w:style w:type="paragraph" w:default="1" w:styleId="style0">
    <w:name w:val="Normal"/>
    <w:next w:val="style0"/>
    <w:qFormat/>
    <w:pPr/>
    <w:rPr>
      <w:rFonts w:ascii="Arial" w:hAnsi="Arial"/>
      <w:sz w:val="24"/>
    </w:rPr>
  </w:style>
  <w:style w:type="paragraph" w:styleId="style1">
    <w:name w:val="heading 1"/>
    <w:basedOn w:val="style0"/>
    <w:next w:val="style0"/>
    <w:link w:val="style4097"/>
    <w:qFormat/>
    <w:uiPriority w:val="9"/>
    <w:pPr>
      <w:outlineLvl w:val="0"/>
    </w:pPr>
    <w:rPr>
      <w:b/>
    </w:rPr>
  </w:style>
  <w:style w:type="paragraph" w:styleId="style2">
    <w:name w:val="heading 2"/>
    <w:basedOn w:val="style1"/>
    <w:next w:val="style0"/>
    <w:link w:val="style4098"/>
    <w:qFormat/>
    <w:uiPriority w:val="9"/>
    <w:pPr>
      <w:outlineLvl w:val="1"/>
    </w:pPr>
    <w:rPr/>
  </w:style>
  <w:style w:type="paragraph" w:styleId="style3">
    <w:name w:val="heading 3"/>
    <w:basedOn w:val="style2"/>
    <w:next w:val="style0"/>
    <w:link w:val="style4099"/>
    <w:qFormat/>
    <w:uiPriority w:val="9"/>
    <w:pPr>
      <w:outlineLvl w:val="2"/>
    </w:pPr>
    <w:rPr>
      <w:i/>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2f5496"/>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2f5496"/>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before="0"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before="0"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ca2cd6d4-520d-4835-b781-19feb261554f"/>
    <w:basedOn w:val="style65"/>
    <w:next w:val="style4097"/>
    <w:link w:val="style1"/>
    <w:uiPriority w:val="9"/>
    <w:rPr>
      <w:rFonts w:ascii="Arial" w:hAnsi="Arial"/>
      <w:b/>
      <w:sz w:val="24"/>
    </w:rPr>
  </w:style>
  <w:style w:type="character" w:customStyle="1" w:styleId="style4098">
    <w:name w:val="Heading 2 Char_d2ea50cc-3ee7-4839-a801-b6c58da01904"/>
    <w:basedOn w:val="style65"/>
    <w:next w:val="style4098"/>
    <w:link w:val="style2"/>
    <w:uiPriority w:val="9"/>
    <w:rPr>
      <w:rFonts w:ascii="Arial" w:hAnsi="Arial"/>
      <w:b/>
      <w:sz w:val="24"/>
    </w:rPr>
  </w:style>
  <w:style w:type="character" w:customStyle="1" w:styleId="style4099">
    <w:name w:val="Heading 3 Char_385862ce-8cae-4bb7-bc59-2ca3d82e2180"/>
    <w:basedOn w:val="style65"/>
    <w:next w:val="style4099"/>
    <w:link w:val="style3"/>
    <w:uiPriority w:val="9"/>
    <w:rPr>
      <w:rFonts w:ascii="Arial" w:hAnsi="Arial"/>
      <w:b/>
      <w:i/>
      <w:sz w:val="24"/>
    </w:rPr>
  </w:style>
  <w:style w:type="character" w:customStyle="1" w:styleId="style4100">
    <w:name w:val="Heading 4 Char_919a19cf-96bd-4d7b-93db-f4d0d4ef8efc"/>
    <w:basedOn w:val="style65"/>
    <w:next w:val="style4100"/>
    <w:link w:val="style4"/>
    <w:uiPriority w:val="9"/>
    <w:rPr>
      <w:rFonts w:cs="Times New Roman" w:eastAsia="宋体"/>
      <w:i/>
      <w:iCs/>
      <w:color w:val="2f5496"/>
    </w:rPr>
  </w:style>
  <w:style w:type="character" w:customStyle="1" w:styleId="style4101">
    <w:name w:val="Heading 5 Char_460cf825-4d50-48f2-a9dd-a4b5b3a5c100"/>
    <w:basedOn w:val="style65"/>
    <w:next w:val="style4101"/>
    <w:link w:val="style5"/>
    <w:uiPriority w:val="9"/>
    <w:rPr>
      <w:rFonts w:cs="Times New Roman" w:eastAsia="宋体"/>
      <w:color w:val="2f5496"/>
    </w:rPr>
  </w:style>
  <w:style w:type="character" w:customStyle="1" w:styleId="style4102">
    <w:name w:val="Heading 6 Char_81012340-6135-4ffb-af95-00545c82128e"/>
    <w:basedOn w:val="style65"/>
    <w:next w:val="style4102"/>
    <w:link w:val="style6"/>
    <w:uiPriority w:val="9"/>
    <w:rPr>
      <w:rFonts w:cs="Times New Roman" w:eastAsia="宋体"/>
      <w:i/>
      <w:iCs/>
      <w:color w:val="595959"/>
    </w:rPr>
  </w:style>
  <w:style w:type="character" w:customStyle="1" w:styleId="style4103">
    <w:name w:val="Heading 7 Char_7a7ae57b-b48c-4b06-aa4b-36ca91c3a4d9"/>
    <w:basedOn w:val="style65"/>
    <w:next w:val="style4103"/>
    <w:link w:val="style7"/>
    <w:uiPriority w:val="9"/>
    <w:rPr>
      <w:rFonts w:cs="Times New Roman" w:eastAsia="宋体"/>
      <w:color w:val="595959"/>
    </w:rPr>
  </w:style>
  <w:style w:type="character" w:customStyle="1" w:styleId="style4104">
    <w:name w:val="Heading 8 Char_fe62d0fe-e450-4fe4-b6b9-bdcf589cba79"/>
    <w:basedOn w:val="style65"/>
    <w:next w:val="style4104"/>
    <w:link w:val="style8"/>
    <w:uiPriority w:val="9"/>
    <w:rPr>
      <w:rFonts w:cs="Times New Roman" w:eastAsia="宋体"/>
      <w:i/>
      <w:iCs/>
      <w:color w:val="272727"/>
    </w:rPr>
  </w:style>
  <w:style w:type="character" w:customStyle="1" w:styleId="style4105">
    <w:name w:val="Heading 9 Char_d0d0e90b-e6d6-46f3-b2a9-c4a878ec2599"/>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before="0" w:after="80" w:lineRule="auto" w:line="240"/>
      <w:contextualSpacing/>
    </w:pPr>
    <w:rPr>
      <w:rFonts w:ascii="Calibri Light" w:cs="Times New Roman" w:eastAsia="宋体" w:hAnsi="Calibri Light"/>
      <w:spacing w:val="-10"/>
      <w:kern w:val="28"/>
      <w:sz w:val="56"/>
      <w:szCs w:val="56"/>
    </w:rPr>
  </w:style>
  <w:style w:type="character" w:customStyle="1" w:styleId="style4106">
    <w:name w:val="Title Char_ed80a7fb-4cde-4e43-b3c0-08ee5c452ef4"/>
    <w:basedOn w:val="style65"/>
    <w:next w:val="style4106"/>
    <w:link w:val="style62"/>
    <w:uiPriority w:val="10"/>
    <w:rPr>
      <w:rFonts w:ascii="Calibri Light" w:cs="Times New Roman" w:eastAsia="宋体" w:hAnsi="Calibri Light"/>
      <w:spacing w:val="-10"/>
      <w:kern w:val="28"/>
      <w:sz w:val="56"/>
      <w:szCs w:val="56"/>
    </w:rPr>
  </w:style>
  <w:style w:type="paragraph" w:styleId="style74">
    <w:name w:val="Subtitle"/>
    <w:basedOn w:val="style0"/>
    <w:next w:val="style0"/>
    <w:link w:val="style4107"/>
    <w:qFormat/>
    <w:uiPriority w:val="11"/>
    <w:pPr>
      <w:numPr>
        <w:ilvl w:val="1"/>
        <w:numId w:val="0"/>
      </w:numPr>
      <w:spacing w:after="160"/>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after="160"/>
      <w:jc w:val="center"/>
    </w:pPr>
    <w:rPr>
      <w:i/>
      <w:iCs/>
      <w:color w:val="404040"/>
    </w:rPr>
  </w:style>
  <w:style w:type="character" w:customStyle="1" w:styleId="style4108">
    <w:name w:val="Quote Char_d832be94-f8bc-4ef8-96d0-3636180b6e5c"/>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2f5496"/>
    </w:rPr>
  </w:style>
  <w:style w:type="paragraph" w:styleId="style181">
    <w:name w:val="Intense Quote"/>
    <w:basedOn w:val="style0"/>
    <w:next w:val="style0"/>
    <w:link w:val="style4109"/>
    <w:qFormat/>
    <w:uiPriority w:val="30"/>
    <w:pPr>
      <w:pBdr>
        <w:top w:val="single" w:sz="4" w:space="10" w:color="2f5496"/>
        <w:bottom w:val="single" w:sz="4" w:space="10" w:color="2f5496"/>
      </w:pBdr>
      <w:spacing w:before="360" w:after="360"/>
      <w:ind w:left="864" w:right="864"/>
      <w:jc w:val="center"/>
    </w:pPr>
    <w:rPr>
      <w:i/>
      <w:iCs/>
      <w:color w:val="2f5496"/>
    </w:rPr>
  </w:style>
  <w:style w:type="character" w:customStyle="1" w:styleId="style4109">
    <w:name w:val="Intense Quote Char_2347a95a-d802-4350-8022-6b390adb7d45"/>
    <w:basedOn w:val="style65"/>
    <w:next w:val="style4109"/>
    <w:link w:val="style181"/>
    <w:uiPriority w:val="30"/>
    <w:rPr>
      <w:i/>
      <w:iCs/>
      <w:color w:val="2f5496"/>
    </w:rPr>
  </w:style>
  <w:style w:type="character" w:styleId="style263">
    <w:name w:val="Intense Reference"/>
    <w:basedOn w:val="style65"/>
    <w:next w:val="style263"/>
    <w:qFormat/>
    <w:uiPriority w:val="32"/>
    <w:rPr>
      <w:b/>
      <w:bCs/>
      <w:smallCaps/>
      <w:color w:val="2f5496"/>
      <w:spacing w:val="5"/>
    </w:rPr>
  </w:style>
  <w:style w:type="paragraph" w:styleId="style34">
    <w:name w:val="caption"/>
    <w:basedOn w:val="style0"/>
    <w:next w:val="style0"/>
    <w:qFormat/>
    <w:uiPriority w:val="35"/>
    <w:pPr>
      <w:spacing w:before="0" w:lineRule="auto" w:line="240"/>
    </w:pPr>
    <w:rPr>
      <w:i/>
      <w:iCs/>
      <w:color w:val="44546a"/>
      <w:sz w:val="18"/>
      <w:szCs w:val="18"/>
    </w:rPr>
  </w:style>
  <w:style w:type="character" w:styleId="style156">
    <w:name w:val="Placeholder Text"/>
    <w:basedOn w:val="style65"/>
    <w:next w:val="style156"/>
    <w:uiPriority w:val="99"/>
    <w:rPr>
      <w:color w:val="666666"/>
    </w:rPr>
  </w:style>
  <w:style w:type="table" w:styleId="style154">
    <w:name w:val="Table Grid"/>
    <w:basedOn w:val="style105"/>
    <w:next w:val="style154"/>
    <w:uiPriority w:val="39"/>
    <w:pPr>
      <w:spacing w:before="0"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table" w:customStyle="1" w:styleId="style4110">
    <w:name w:val="Grid Table 4 Accent 1"/>
    <w:basedOn w:val="style105"/>
    <w:next w:val="style4110"/>
    <w:uiPriority w:val="49"/>
    <w:pPr>
      <w:spacing w:after="0" w:lineRule="auto" w:line="240"/>
    </w:pPr>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pPr/>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pPr/>
      <w:rPr>
        <w:b/>
        <w:bCs/>
      </w:rPr>
      <w:tblPr/>
      <w:tcPr>
        <w:tcBorders>
          <w:top w:val="double" w:sz="4" w:space="0" w:color="4472c4"/>
        </w:tcBorders>
      </w:tcPr>
    </w:tblStylePr>
    <w:tblStylePr w:type="band1Horz">
      <w:pPr/>
      <w:tblPr/>
      <w:tcPr>
        <w:tcBorders/>
        <w:shd w:val="clear" w:color="auto" w:fill="d9e2f3"/>
      </w:tcPr>
    </w:tblStylePr>
    <w:tblStylePr w:type="firstCol">
      <w:pPr/>
      <w:rPr>
        <w:b/>
        <w:bCs/>
      </w:rPr>
      <w:tcPr>
        <w:tcBorders/>
      </w:tcPr>
    </w:tblStylePr>
    <w:tblStylePr w:type="lastCol">
      <w:pPr/>
      <w:rPr>
        <w:b/>
        <w:bCs/>
      </w:rPr>
      <w:tcPr>
        <w:tcBorders/>
      </w:tcPr>
    </w:tblStylePr>
    <w:tblStylePr w:type="band1Vert">
      <w:pPr/>
      <w:tblPr/>
      <w:tcPr>
        <w:tcBorders/>
        <w:shd w:val="clear" w:color="auto" w:fill="d9e2f3"/>
      </w:tcPr>
    </w:tblStylePr>
    <w:tcPr>
      <w:tcBorders/>
    </w:tcPr>
  </w:style>
  <w:style w:type="paragraph" w:styleId="style31">
    <w:name w:val="header"/>
    <w:basedOn w:val="style0"/>
    <w:next w:val="style31"/>
    <w:link w:val="style4111"/>
    <w:uiPriority w:val="99"/>
    <w:pPr>
      <w:tabs>
        <w:tab w:val="center" w:leader="none" w:pos="4513"/>
        <w:tab w:val="right" w:leader="none" w:pos="9026"/>
      </w:tabs>
      <w:spacing w:before="0" w:after="0" w:lineRule="auto" w:line="240"/>
    </w:pPr>
    <w:rPr/>
  </w:style>
  <w:style w:type="character" w:customStyle="1" w:styleId="style4111">
    <w:name w:val="Header Char_46d4b7e3-a6ad-4699-8c79-060267dfcf71"/>
    <w:basedOn w:val="style65"/>
    <w:next w:val="style4111"/>
    <w:link w:val="style31"/>
    <w:uiPriority w:val="99"/>
    <w:rPr>
      <w:rFonts w:ascii="Arial" w:hAnsi="Arial"/>
      <w:sz w:val="24"/>
    </w:rPr>
  </w:style>
  <w:style w:type="paragraph" w:styleId="style32">
    <w:name w:val="footer"/>
    <w:basedOn w:val="style0"/>
    <w:next w:val="style32"/>
    <w:link w:val="style4112"/>
    <w:uiPriority w:val="99"/>
    <w:pPr>
      <w:tabs>
        <w:tab w:val="center" w:leader="none" w:pos="4513"/>
        <w:tab w:val="right" w:leader="none" w:pos="9026"/>
      </w:tabs>
      <w:spacing w:before="0" w:after="0" w:lineRule="auto" w:line="240"/>
    </w:pPr>
    <w:rPr/>
  </w:style>
  <w:style w:type="character" w:customStyle="1" w:styleId="style4112">
    <w:name w:val="Footer Char_cec97937-26b5-473f-bce0-cd50f5277566"/>
    <w:basedOn w:val="style65"/>
    <w:next w:val="style4112"/>
    <w:link w:val="style32"/>
    <w:uiPriority w:val="99"/>
    <w:rPr>
      <w:rFonts w:ascii="Arial" w:hAnsi="Arial"/>
      <w:sz w:val="24"/>
    </w:rPr>
  </w:style>
  <w:style w:type="table" w:customStyle="1" w:styleId="style4113">
    <w:name w:val="Plain Table 5"/>
    <w:basedOn w:val="style105"/>
    <w:next w:val="style4113"/>
    <w:uiPriority w:val="45"/>
    <w:pPr>
      <w:spacing w:after="0" w:lineRule="auto" w:line="240"/>
    </w:pPr>
    <w:rPr/>
    <w:tblPr>
      <w:tblStyleRowBandSize w:val="1"/>
      <w:tblStyleColBandSize w:val="1"/>
    </w:tblPr>
    <w:tblStylePr w:type="firstRow">
      <w:pPr/>
      <w:rPr>
        <w:rFonts w:ascii="Calibri Light" w:cs="Times New Roman" w:eastAsia="宋体" w:hAnsi="Calibri Light"/>
        <w:i/>
        <w:iCs/>
        <w:sz w:val="26"/>
      </w:rPr>
      <w:tblPr/>
      <w:tcPr>
        <w:tcBorders>
          <w:bottom w:val="single" w:sz="4" w:space="0" w:color="7f7f7f"/>
        </w:tcBorders>
        <w:shd w:val="clear" w:color="auto" w:fill="ffffff"/>
      </w:tcPr>
    </w:tblStylePr>
    <w:tblStylePr w:type="lastRow">
      <w:pPr/>
      <w:rPr>
        <w:rFonts w:ascii="Calibri Light" w:cs="Times New Roman" w:eastAsia="宋体" w:hAnsi="Calibri Light"/>
        <w:i/>
        <w:iCs/>
        <w:sz w:val="26"/>
      </w:rPr>
      <w:tblPr/>
      <w:tcPr>
        <w:tcBorders>
          <w:top w:val="single" w:sz="4" w:space="0" w:color="7f7f7f"/>
        </w:tcBorders>
        <w:shd w:val="clear" w:color="auto" w:fill="ffffff"/>
      </w:tcPr>
    </w:tblStylePr>
    <w:tblStylePr w:type="band1Horz">
      <w:pPr/>
      <w:tblPr/>
      <w:tcPr>
        <w:tcBorders/>
        <w:shd w:val="clear" w:color="auto" w:fill="f2f2f2"/>
      </w:tcPr>
    </w:tblStylePr>
    <w:tblStylePr w:type="firstCol">
      <w:pPr>
        <w:jc w:val="right"/>
      </w:pPr>
      <w:rPr>
        <w:rFonts w:ascii="Calibri Light" w:cs="Times New Roman" w:eastAsia="宋体" w:hAnsi="Calibri Light"/>
        <w:i/>
        <w:iCs/>
        <w:sz w:val="26"/>
      </w:rPr>
      <w:tblPr/>
      <w:tcPr>
        <w:tcBorders>
          <w:right w:val="single" w:sz="4" w:space="0" w:color="7f7f7f"/>
        </w:tcBorders>
        <w:shd w:val="clear" w:color="auto" w:fill="ffffff"/>
      </w:tcPr>
    </w:tblStylePr>
    <w:tblStylePr w:type="lastCol">
      <w:pPr/>
      <w:rPr>
        <w:rFonts w:ascii="Calibri Light" w:cs="Times New Roman" w:eastAsia="宋体" w:hAnsi="Calibri Light"/>
        <w:i/>
        <w:iCs/>
        <w:sz w:val="26"/>
      </w:rPr>
      <w:tblPr/>
      <w:tcPr>
        <w:tcBorders>
          <w:left w:val="single" w:sz="4" w:space="0" w:color="7f7f7f"/>
        </w:tcBorders>
        <w:shd w:val="clear" w:color="auto" w:fill="ffffff"/>
      </w:tcPr>
    </w:tblStylePr>
    <w:tblStylePr w:type="band1Vert">
      <w:pPr/>
      <w:tblPr/>
      <w:tcPr>
        <w:tcBorders/>
        <w:shd w:val="clear" w:color="auto" w:fill="f2f2f2"/>
      </w:tcPr>
    </w:tblStylePr>
    <w:tblStylePr w:type="neCell">
      <w:pPr/>
      <w:tblPr/>
      <w:tcPr>
        <w:tcBorders>
          <w:left w:val="nil"/>
        </w:tcBorders>
      </w:tcPr>
    </w:tblStylePr>
    <w:tblStylePr w:type="nwCell">
      <w:pPr/>
      <w:tblPr/>
      <w:tcPr>
        <w:tcBorders>
          <w:right w:val="nil"/>
        </w:tcBorders>
      </w:tcPr>
    </w:tblStylePr>
    <w:tblStylePr w:type="seCell">
      <w:pPr/>
      <w:tblPr/>
      <w:tcPr>
        <w:tcBorders>
          <w:left w:val="nil"/>
        </w:tcBorders>
      </w:tcPr>
    </w:tblStylePr>
    <w:tblStylePr w:type="swCell">
      <w:pPr/>
      <w:tblPr/>
      <w:tcPr>
        <w:tcBorders>
          <w:right w:val="nil"/>
        </w:tcBorders>
      </w:tcPr>
    </w:tblStylePr>
    <w:tcPr>
      <w:tcBorders/>
    </w:tcPr>
  </w:style>
  <w:style w:type="character" w:styleId="style85">
    <w:name w:val="Hyperlink"/>
    <w:basedOn w:val="style65"/>
    <w:next w:val="style85"/>
    <w:uiPriority w:val="99"/>
    <w:rPr>
      <w:color w:val="0563c1"/>
      <w:u w:val="single"/>
    </w:rPr>
  </w:style>
  <w:style w:type="character" w:customStyle="1" w:styleId="style4114">
    <w:name w:val="Unresolved Mention"/>
    <w:basedOn w:val="style65"/>
    <w:next w:val="style4114"/>
    <w:uiPriority w:val="99"/>
    <w:rPr>
      <w:color w:val="605e5c"/>
      <w:shd w:val="clear" w:color="auto" w:fill="e1dfdd"/>
    </w:rPr>
  </w:style>
  <w:style w:type="paragraph" w:styleId="style266">
    <w:name w:val="TOC Heading"/>
    <w:basedOn w:val="style1"/>
    <w:next w:val="style0"/>
    <w:qFormat/>
    <w:uiPriority w:val="39"/>
    <w:pPr>
      <w:keepNext/>
      <w:keepLines/>
      <w:spacing w:after="0" w:lineRule="auto" w:line="259"/>
      <w:outlineLvl w:val="9"/>
    </w:pPr>
    <w:rPr>
      <w:rFonts w:ascii="Calibri Light" w:cs="Times New Roman" w:eastAsia="宋体" w:hAnsi="Calibri Light"/>
      <w:b w:val="false"/>
      <w:color w:val="2f5496"/>
      <w:sz w:val="32"/>
      <w:szCs w:val="32"/>
      <w:lang w:eastAsia="en-GB"/>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 w:type="paragraph" w:styleId="style35">
    <w:name w:val="table of figures"/>
    <w:basedOn w:val="style0"/>
    <w:next w:val="style0"/>
    <w:uiPriority w:val="99"/>
    <w:pPr>
      <w:spacing w:after="0"/>
    </w:pPr>
    <w:rPr/>
  </w:style>
</w:styles>
</file>

<file path=word/_rels/document.xml.rels><?xml version="1.0" encoding="UTF-8"?>
<Relationships xmlns="http://schemas.openxmlformats.org/package/2006/relationships"><Relationship Id="rId40" Type="http://schemas.openxmlformats.org/officeDocument/2006/relationships/image" Target="media/image23.png"/><Relationship Id="rId42" Type="http://schemas.openxmlformats.org/officeDocument/2006/relationships/image" Target="media/image25.png"/><Relationship Id="rId41" Type="http://schemas.openxmlformats.org/officeDocument/2006/relationships/image" Target="media/image24.png"/><Relationship Id="rId44" Type="http://schemas.openxmlformats.org/officeDocument/2006/relationships/image" Target="media/image27.png"/><Relationship Id="rId43" Type="http://schemas.openxmlformats.org/officeDocument/2006/relationships/image" Target="media/image26.png"/><Relationship Id="rId46" Type="http://schemas.openxmlformats.org/officeDocument/2006/relationships/image" Target="media/image29.png"/><Relationship Id="rId45" Type="http://schemas.openxmlformats.org/officeDocument/2006/relationships/image" Target="media/image28.png"/><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chart" Target="charts/chart2.xml"/><Relationship Id="rId48" Type="http://schemas.openxmlformats.org/officeDocument/2006/relationships/image" Target="media/image31.png"/><Relationship Id="rId47" Type="http://schemas.openxmlformats.org/officeDocument/2006/relationships/image" Target="media/image30.png"/><Relationship Id="rId49" Type="http://schemas.openxmlformats.org/officeDocument/2006/relationships/image" Target="media/image32.png"/><Relationship Id="rId5" Type="http://schemas.openxmlformats.org/officeDocument/2006/relationships/image" Target="media/image4.png"/><Relationship Id="rId6" Type="http://schemas.openxmlformats.org/officeDocument/2006/relationships/chart" Target="charts/chart1.xml"/><Relationship Id="rId7" Type="http://schemas.openxmlformats.org/officeDocument/2006/relationships/image" Target="media/image5.png"/><Relationship Id="rId8" Type="http://schemas.openxmlformats.org/officeDocument/2006/relationships/oleObject" Target="embeddings/oleObject1.bin"/><Relationship Id="rId31" Type="http://schemas.openxmlformats.org/officeDocument/2006/relationships/image" Target="media/image16.png"/><Relationship Id="rId30" Type="http://schemas.openxmlformats.org/officeDocument/2006/relationships/image" Target="media/image15.png"/><Relationship Id="rId33" Type="http://schemas.openxmlformats.org/officeDocument/2006/relationships/image" Target="media/image17.png"/><Relationship Id="rId32" Type="http://schemas.openxmlformats.org/officeDocument/2006/relationships/chart" Target="charts/chart8.xml"/><Relationship Id="rId35" Type="http://schemas.openxmlformats.org/officeDocument/2006/relationships/image" Target="media/image18.png"/><Relationship Id="rId34" Type="http://schemas.openxmlformats.org/officeDocument/2006/relationships/oleObject" Target="embeddings/oleObject8.bin"/><Relationship Id="rId37" Type="http://schemas.openxmlformats.org/officeDocument/2006/relationships/image" Target="media/image20.png"/><Relationship Id="rId36" Type="http://schemas.openxmlformats.org/officeDocument/2006/relationships/image" Target="media/image19.png"/><Relationship Id="rId39" Type="http://schemas.openxmlformats.org/officeDocument/2006/relationships/image" Target="media/image22.png"/><Relationship Id="rId38" Type="http://schemas.openxmlformats.org/officeDocument/2006/relationships/image" Target="media/image21.png"/><Relationship Id="rId20" Type="http://schemas.openxmlformats.org/officeDocument/2006/relationships/chart" Target="charts/chart5.xml"/><Relationship Id="rId22" Type="http://schemas.openxmlformats.org/officeDocument/2006/relationships/oleObject" Target="embeddings/oleObject5.bin"/><Relationship Id="rId21" Type="http://schemas.openxmlformats.org/officeDocument/2006/relationships/image" Target="media/image11.png"/><Relationship Id="rId24" Type="http://schemas.openxmlformats.org/officeDocument/2006/relationships/image" Target="media/image12.png"/><Relationship Id="rId23" Type="http://schemas.openxmlformats.org/officeDocument/2006/relationships/chart" Target="charts/chart6.xml"/><Relationship Id="rId60" Type="http://schemas.openxmlformats.org/officeDocument/2006/relationships/customXml" Target="../customXml/item1.xml"/><Relationship Id="rId26" Type="http://schemas.openxmlformats.org/officeDocument/2006/relationships/image" Target="media/image13.png"/><Relationship Id="rId25" Type="http://schemas.openxmlformats.org/officeDocument/2006/relationships/oleObject" Target="embeddings/oleObject6.bin"/><Relationship Id="rId28" Type="http://schemas.openxmlformats.org/officeDocument/2006/relationships/image" Target="media/image14.png"/><Relationship Id="rId27" Type="http://schemas.openxmlformats.org/officeDocument/2006/relationships/chart" Target="charts/chart7.xml"/><Relationship Id="rId29" Type="http://schemas.openxmlformats.org/officeDocument/2006/relationships/oleObject" Target="embeddings/oleObject7.bin"/><Relationship Id="rId51" Type="http://schemas.openxmlformats.org/officeDocument/2006/relationships/image" Target="media/image34.png"/><Relationship Id="rId50" Type="http://schemas.openxmlformats.org/officeDocument/2006/relationships/image" Target="media/image33.png"/><Relationship Id="rId53" Type="http://schemas.openxmlformats.org/officeDocument/2006/relationships/image" Target="media/image36.png"/><Relationship Id="rId52" Type="http://schemas.openxmlformats.org/officeDocument/2006/relationships/image" Target="media/image35.png"/><Relationship Id="rId11" Type="http://schemas.openxmlformats.org/officeDocument/2006/relationships/oleObject" Target="embeddings/oleObject2.bin"/><Relationship Id="rId55" Type="http://schemas.openxmlformats.org/officeDocument/2006/relationships/image" Target="media/image38.png"/><Relationship Id="rId10" Type="http://schemas.openxmlformats.org/officeDocument/2006/relationships/image" Target="media/image6.png"/><Relationship Id="rId54" Type="http://schemas.openxmlformats.org/officeDocument/2006/relationships/image" Target="media/image37.png"/><Relationship Id="rId13" Type="http://schemas.openxmlformats.org/officeDocument/2006/relationships/chart" Target="charts/chart3.xml"/><Relationship Id="rId57" Type="http://schemas.openxmlformats.org/officeDocument/2006/relationships/fontTable" Target="fontTable.xml"/><Relationship Id="rId12" Type="http://schemas.openxmlformats.org/officeDocument/2006/relationships/image" Target="media/image7.png"/><Relationship Id="rId56" Type="http://schemas.openxmlformats.org/officeDocument/2006/relationships/styles" Target="styles.xml"/><Relationship Id="rId15" Type="http://schemas.openxmlformats.org/officeDocument/2006/relationships/oleObject" Target="embeddings/oleObject3.bin"/><Relationship Id="rId59" Type="http://schemas.openxmlformats.org/officeDocument/2006/relationships/theme" Target="theme/theme1.xml"/><Relationship Id="rId14" Type="http://schemas.openxmlformats.org/officeDocument/2006/relationships/image" Target="media/image8.png"/><Relationship Id="rId58" Type="http://schemas.openxmlformats.org/officeDocument/2006/relationships/settings" Target="settings.xml"/><Relationship Id="rId17" Type="http://schemas.openxmlformats.org/officeDocument/2006/relationships/chart" Target="charts/chart4.xml"/><Relationship Id="rId16" Type="http://schemas.openxmlformats.org/officeDocument/2006/relationships/image" Target="media/image9.png"/><Relationship Id="rId19" Type="http://schemas.openxmlformats.org/officeDocument/2006/relationships/oleObject" Target="embeddings/oleObject4.bin"/><Relationship Id="rId18" Type="http://schemas.openxmlformats.org/officeDocument/2006/relationships/image" Target="media/image10.png"/></Relationships>
</file>

<file path=word/charts/_rels/chart1.xml.rels><?xml version="1.0" encoding="UTF-8"?>
<Relationships xmlns="http://schemas.openxmlformats.org/package/2006/relationships"><Relationship Id="rId1" Type="http://schemas.openxmlformats.org/officeDocument/2006/relationships/oleObject" TargetMode="External" Target="Book1"/><Relationship Id="rId2" Type="http://schemas.microsoft.com/office/2011/relationships/chartStyle" Target="style5.xml"/><Relationship Id="rId3" Type="http://schemas.microsoft.com/office/2011/relationships/chartColorStyle" Target="colors5.xml"/></Relationships>
</file>

<file path=word/charts/_rels/chart2.xml.rels><?xml version="1.0" encoding="UTF-8"?>
<Relationships xmlns="http://schemas.openxmlformats.org/package/2006/relationships"><Relationship Id="rId1" Type="http://schemas.openxmlformats.org/officeDocument/2006/relationships/oleObject" TargetMode="External" Target="Book1"/><Relationship Id="rId2" Type="http://schemas.microsoft.com/office/2011/relationships/chartStyle" Target="style4.xml"/><Relationship Id="rId3" Type="http://schemas.microsoft.com/office/2011/relationships/chartColorStyle" Target="colors4.xml"/></Relationships>
</file>

<file path=word/charts/_rels/chart3.xml.rels><?xml version="1.0" encoding="UTF-8"?>
<Relationships xmlns="http://schemas.openxmlformats.org/package/2006/relationships"><Relationship Id="rId1" Type="http://schemas.openxmlformats.org/officeDocument/2006/relationships/oleObject" TargetMode="External" Target="Book1"/><Relationship Id="rId2" Type="http://schemas.microsoft.com/office/2011/relationships/chartStyle" Target="style7.xml"/><Relationship Id="rId3" Type="http://schemas.microsoft.com/office/2011/relationships/chartColorStyle" Target="colors7.xml"/></Relationships>
</file>

<file path=word/charts/_rels/chart4.xml.rels><?xml version="1.0" encoding="UTF-8"?>
<Relationships xmlns="http://schemas.openxmlformats.org/package/2006/relationships"><Relationship Id="rId1" Type="http://schemas.openxmlformats.org/officeDocument/2006/relationships/oleObject" TargetMode="External" Target="Book1"/><Relationship Id="rId2" Type="http://schemas.microsoft.com/office/2011/relationships/chartStyle" Target="style8.xml"/><Relationship Id="rId3" Type="http://schemas.microsoft.com/office/2011/relationships/chartColorStyle" Target="colors8.xml"/></Relationships>
</file>

<file path=word/charts/_rels/chart5.xml.rels><?xml version="1.0" encoding="UTF-8"?>
<Relationships xmlns="http://schemas.openxmlformats.org/package/2006/relationships"><Relationship Id="rId1" Type="http://schemas.openxmlformats.org/officeDocument/2006/relationships/oleObject" TargetMode="External" Target="Book1"/><Relationship Id="rId2" Type="http://schemas.microsoft.com/office/2011/relationships/chartStyle" Target="style3.xml"/><Relationship Id="rId3" Type="http://schemas.microsoft.com/office/2011/relationships/chartColorStyle" Target="colors3.xml"/></Relationships>
</file>

<file path=word/charts/_rels/chart6.xml.rels><?xml version="1.0" encoding="UTF-8"?>
<Relationships xmlns="http://schemas.openxmlformats.org/package/2006/relationships"><Relationship Id="rId1" Type="http://schemas.openxmlformats.org/officeDocument/2006/relationships/oleObject" TargetMode="External" Target="Book1"/><Relationship Id="rId2" Type="http://schemas.microsoft.com/office/2011/relationships/chartStyle" Target="style1.xml"/><Relationship Id="rId3" Type="http://schemas.microsoft.com/office/2011/relationships/chartColorStyle" Target="colors1.xml"/></Relationships>
</file>

<file path=word/charts/_rels/chart7.xml.rels><?xml version="1.0" encoding="UTF-8"?>
<Relationships xmlns="http://schemas.openxmlformats.org/package/2006/relationships"><Relationship Id="rId1" Type="http://schemas.openxmlformats.org/officeDocument/2006/relationships/oleObject" TargetMode="External" Target="Book1"/><Relationship Id="rId2" Type="http://schemas.microsoft.com/office/2011/relationships/chartStyle" Target="style6.xml"/><Relationship Id="rId3" Type="http://schemas.microsoft.com/office/2011/relationships/chartColorStyle" Target="colors6.xml"/></Relationships>
</file>

<file path=word/charts/_rels/chart8.xml.rels><?xml version="1.0" encoding="UTF-8"?>
<Relationships xmlns="http://schemas.openxmlformats.org/package/2006/relationships"><Relationship Id="rId1" Type="http://schemas.openxmlformats.org/officeDocument/2006/relationships/oleObject" TargetMode="External" Target="Book1"/><Relationship Id="rId2" Type="http://schemas.microsoft.com/office/2011/relationships/chartStyle" Target="style2.xml"/><Relationship Id="rId3" Type="http://schemas.microsoft.com/office/2011/relationships/chartColorStyle" Target="colors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Sheet2!$C$2</c:f>
              <c:strCache>
                <c:ptCount val="1"/>
                <c:pt idx="0">
                  <c:v>Operating Margins (%)</c:v>
                </c:pt>
              </c:strCache>
            </c:strRef>
          </c:tx>
          <c:spPr>
            <a:ln w="28575" cap="rnd">
              <a:solidFill>
                <a:schemeClr val="accent1"/>
              </a:solidFill>
              <a:round/>
            </a:ln>
            <a:effectLst/>
          </c:spPr>
          <c:marker>
            <c:symbol val="none"/>
          </c:marker>
          <c:cat>
            <c:numRef>
              <c:f>Sheet2!$B$3:$B$7</c:f>
              <c:numCache>
                <c:formatCode>General</c:formatCode>
                <c:ptCount val="5"/>
                <c:pt idx="0">
                  <c:v>2020.0</c:v>
                </c:pt>
                <c:pt idx="1">
                  <c:v>2021.0</c:v>
                </c:pt>
                <c:pt idx="2">
                  <c:v>2022.0</c:v>
                </c:pt>
                <c:pt idx="3">
                  <c:v>2023.0</c:v>
                </c:pt>
                <c:pt idx="4">
                  <c:v>2024.0</c:v>
                </c:pt>
              </c:numCache>
            </c:numRef>
          </c:cat>
          <c:val>
            <c:numRef>
              <c:f>Sheet2!$C$3:$C$7</c:f>
              <c:numCache>
                <c:formatCode>0.00%</c:formatCode>
                <c:ptCount val="5"/>
                <c:pt idx="0">
                  <c:v>0.082</c:v>
                </c:pt>
                <c:pt idx="1">
                  <c:v>0.081</c:v>
                </c:pt>
                <c:pt idx="2">
                  <c:v>0.095</c:v>
                </c:pt>
                <c:pt idx="3">
                  <c:v>0.073</c:v>
                </c:pt>
                <c:pt idx="4">
                  <c:v>0.119</c:v>
                </c:pt>
              </c:numCache>
            </c:numRef>
          </c:val>
          <c:smooth val="0"/>
        </c:ser>
        <c:dLbls>
          <c:showLegendKey val="0"/>
          <c:showVal val="0"/>
          <c:showCatName val="0"/>
          <c:showSerName val="0"/>
          <c:showPercent val="0"/>
          <c:showBubbleSize val="0"/>
        </c:dLbls>
        <c:smooth val="0"/>
        <c:axId val="1274521167"/>
        <c:axId val="1274498127"/>
      </c:lineChart>
      <c:catAx>
        <c:axId val="12745211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4498127"/>
        <c:crosses val="autoZero"/>
        <c:auto val="1"/>
        <c:lblAlgn val="ctr"/>
        <c:lblOffset val="100"/>
        <c:noMultiLvlLbl val="0"/>
      </c:catAx>
      <c:valAx>
        <c:axId val="12744981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452116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Sheet2!$H$2</c:f>
              <c:strCache>
                <c:ptCount val="1"/>
                <c:pt idx="0">
                  <c:v>Net Margin (%)</c:v>
                </c:pt>
              </c:strCache>
            </c:strRef>
          </c:tx>
          <c:spPr>
            <a:ln w="28575" cap="rnd">
              <a:solidFill>
                <a:schemeClr val="accent1"/>
              </a:solidFill>
              <a:round/>
            </a:ln>
            <a:effectLst/>
          </c:spPr>
          <c:marker>
            <c:symbol val="none"/>
          </c:marker>
          <c:cat>
            <c:numRef>
              <c:f>Sheet2!$G$3:$G$7</c:f>
              <c:numCache>
                <c:formatCode>General</c:formatCode>
                <c:ptCount val="5"/>
                <c:pt idx="0">
                  <c:v>2020.0</c:v>
                </c:pt>
                <c:pt idx="1">
                  <c:v>2021.0</c:v>
                </c:pt>
                <c:pt idx="2">
                  <c:v>2022.0</c:v>
                </c:pt>
                <c:pt idx="3">
                  <c:v>2023.0</c:v>
                </c:pt>
                <c:pt idx="4">
                  <c:v>2024.0</c:v>
                </c:pt>
              </c:numCache>
            </c:numRef>
          </c:cat>
          <c:val>
            <c:numRef>
              <c:f>Sheet2!$H$3:$H$7</c:f>
              <c:numCache>
                <c:formatCode>0.00%</c:formatCode>
                <c:ptCount val="5"/>
                <c:pt idx="0">
                  <c:v>0.069</c:v>
                </c:pt>
                <c:pt idx="1">
                  <c:v>0.084</c:v>
                </c:pt>
                <c:pt idx="2">
                  <c:v>0.091</c:v>
                </c:pt>
                <c:pt idx="3">
                  <c:v>0.067</c:v>
                </c:pt>
                <c:pt idx="4">
                  <c:v>0.112</c:v>
                </c:pt>
              </c:numCache>
            </c:numRef>
          </c:val>
          <c:smooth val="0"/>
        </c:ser>
        <c:dLbls>
          <c:showLegendKey val="0"/>
          <c:showVal val="0"/>
          <c:showCatName val="0"/>
          <c:showSerName val="0"/>
          <c:showPercent val="0"/>
          <c:showBubbleSize val="0"/>
        </c:dLbls>
        <c:smooth val="0"/>
        <c:axId val="1274489487"/>
        <c:axId val="1274477487"/>
      </c:lineChart>
      <c:catAx>
        <c:axId val="12744894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4477487"/>
        <c:crosses val="autoZero"/>
        <c:auto val="1"/>
        <c:lblAlgn val="ctr"/>
        <c:lblOffset val="100"/>
        <c:noMultiLvlLbl val="0"/>
      </c:catAx>
      <c:valAx>
        <c:axId val="127447748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44894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Sheet2!$L$2</c:f>
              <c:strCache>
                <c:ptCount val="1"/>
                <c:pt idx="0">
                  <c:v>ROE</c:v>
                </c:pt>
              </c:strCache>
            </c:strRef>
          </c:tx>
          <c:spPr>
            <a:ln w="28575" cap="rnd">
              <a:solidFill>
                <a:schemeClr val="accent1"/>
              </a:solidFill>
              <a:round/>
            </a:ln>
            <a:effectLst/>
          </c:spPr>
          <c:marker>
            <c:symbol val="none"/>
          </c:marker>
          <c:cat>
            <c:numRef>
              <c:f>Sheet2!$K$3:$K$7</c:f>
              <c:numCache>
                <c:formatCode>General</c:formatCode>
                <c:ptCount val="5"/>
                <c:pt idx="0">
                  <c:v>2020.0</c:v>
                </c:pt>
                <c:pt idx="1">
                  <c:v>2021.0</c:v>
                </c:pt>
                <c:pt idx="2">
                  <c:v>2022.0</c:v>
                </c:pt>
                <c:pt idx="3">
                  <c:v>2023.0</c:v>
                </c:pt>
                <c:pt idx="4">
                  <c:v>2024.0</c:v>
                </c:pt>
              </c:numCache>
            </c:numRef>
          </c:cat>
          <c:val>
            <c:numRef>
              <c:f>Sheet2!$L$3:$L$7</c:f>
              <c:numCache>
                <c:formatCode>0.00%</c:formatCode>
                <c:ptCount val="5"/>
                <c:pt idx="0">
                  <c:v>0.104</c:v>
                </c:pt>
                <c:pt idx="1">
                  <c:v>0.102</c:v>
                </c:pt>
                <c:pt idx="2">
                  <c:v>0.115</c:v>
                </c:pt>
                <c:pt idx="3">
                  <c:v>0.09</c:v>
                </c:pt>
                <c:pt idx="4">
                  <c:v>0.158</c:v>
                </c:pt>
              </c:numCache>
            </c:numRef>
          </c:val>
          <c:smooth val="0"/>
        </c:ser>
        <c:dLbls>
          <c:showLegendKey val="0"/>
          <c:showVal val="0"/>
          <c:showCatName val="0"/>
          <c:showSerName val="0"/>
          <c:showPercent val="0"/>
          <c:showBubbleSize val="0"/>
        </c:dLbls>
        <c:smooth val="0"/>
        <c:axId val="1274472687"/>
        <c:axId val="1274476047"/>
      </c:lineChart>
      <c:catAx>
        <c:axId val="12744726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4476047"/>
        <c:crosses val="autoZero"/>
        <c:auto val="1"/>
        <c:lblAlgn val="ctr"/>
        <c:lblOffset val="100"/>
        <c:noMultiLvlLbl val="0"/>
      </c:catAx>
      <c:valAx>
        <c:axId val="127447604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44726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Sheet2!$Q$2</c:f>
              <c:strCache>
                <c:ptCount val="1"/>
                <c:pt idx="0">
                  <c:v>ROA</c:v>
                </c:pt>
              </c:strCache>
            </c:strRef>
          </c:tx>
          <c:spPr>
            <a:ln w="28575" cap="rnd">
              <a:solidFill>
                <a:schemeClr val="accent1"/>
              </a:solidFill>
              <a:round/>
            </a:ln>
            <a:effectLst/>
          </c:spPr>
          <c:marker>
            <c:symbol val="none"/>
          </c:marker>
          <c:cat>
            <c:numRef>
              <c:f>Sheet2!$P$3:$P$7</c:f>
              <c:numCache>
                <c:formatCode>General</c:formatCode>
                <c:ptCount val="5"/>
                <c:pt idx="0">
                  <c:v>2020.0</c:v>
                </c:pt>
                <c:pt idx="1">
                  <c:v>2021.0</c:v>
                </c:pt>
                <c:pt idx="2">
                  <c:v>2022.0</c:v>
                </c:pt>
                <c:pt idx="3">
                  <c:v>2023.0</c:v>
                </c:pt>
                <c:pt idx="4">
                  <c:v>2024.0</c:v>
                </c:pt>
              </c:numCache>
            </c:numRef>
          </c:cat>
          <c:val>
            <c:numRef>
              <c:f>Sheet2!$Q$3:$Q$7</c:f>
              <c:numCache>
                <c:formatCode>0.00%</c:formatCode>
                <c:ptCount val="5"/>
                <c:pt idx="0">
                  <c:v>0.039</c:v>
                </c:pt>
                <c:pt idx="1">
                  <c:v>0.037</c:v>
                </c:pt>
                <c:pt idx="2">
                  <c:v>0.042</c:v>
                </c:pt>
                <c:pt idx="3">
                  <c:v>0.034</c:v>
                </c:pt>
                <c:pt idx="4">
                  <c:v>0.056</c:v>
                </c:pt>
              </c:numCache>
            </c:numRef>
          </c:val>
          <c:smooth val="0"/>
        </c:ser>
        <c:dLbls>
          <c:showLegendKey val="0"/>
          <c:showVal val="0"/>
          <c:showCatName val="0"/>
          <c:showSerName val="0"/>
          <c:showPercent val="0"/>
          <c:showBubbleSize val="0"/>
        </c:dLbls>
        <c:smooth val="0"/>
        <c:axId val="1274479887"/>
        <c:axId val="1274475087"/>
      </c:lineChart>
      <c:catAx>
        <c:axId val="1274479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4475087"/>
        <c:crosses val="autoZero"/>
        <c:auto val="1"/>
        <c:lblAlgn val="ctr"/>
        <c:lblOffset val="100"/>
        <c:noMultiLvlLbl val="0"/>
      </c:catAx>
      <c:valAx>
        <c:axId val="127447508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44798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Sheet2!$C$28</c:f>
              <c:strCache>
                <c:ptCount val="1"/>
                <c:pt idx="0">
                  <c:v>Current Ratio</c:v>
                </c:pt>
              </c:strCache>
            </c:strRef>
          </c:tx>
          <c:spPr>
            <a:ln w="28575" cap="rnd">
              <a:solidFill>
                <a:schemeClr val="accent1"/>
              </a:solidFill>
              <a:round/>
            </a:ln>
            <a:effectLst/>
          </c:spPr>
          <c:marker>
            <c:symbol val="none"/>
          </c:marker>
          <c:cat>
            <c:numRef>
              <c:f>Sheet2!$B$29:$B$33</c:f>
              <c:numCache>
                <c:formatCode>General</c:formatCode>
                <c:ptCount val="5"/>
                <c:pt idx="0">
                  <c:v>2020.0</c:v>
                </c:pt>
                <c:pt idx="1">
                  <c:v>2021.0</c:v>
                </c:pt>
                <c:pt idx="2">
                  <c:v>2022.0</c:v>
                </c:pt>
                <c:pt idx="3">
                  <c:v>2023.0</c:v>
                </c:pt>
                <c:pt idx="4">
                  <c:v>2024.0</c:v>
                </c:pt>
              </c:numCache>
            </c:numRef>
          </c:cat>
          <c:val>
            <c:numRef>
              <c:f>Sheet2!$C$29:$C$33</c:f>
              <c:numCache>
                <c:formatCode>General</c:formatCode>
                <c:ptCount val="5"/>
                <c:pt idx="0">
                  <c:v>1.1</c:v>
                </c:pt>
                <c:pt idx="1">
                  <c:v>1.15</c:v>
                </c:pt>
                <c:pt idx="2">
                  <c:v>1.18</c:v>
                </c:pt>
                <c:pt idx="3">
                  <c:v>1.2</c:v>
                </c:pt>
                <c:pt idx="4">
                  <c:v>1.25</c:v>
                </c:pt>
              </c:numCache>
            </c:numRef>
          </c:val>
          <c:smooth val="0"/>
        </c:ser>
        <c:dLbls>
          <c:showLegendKey val="0"/>
          <c:showVal val="0"/>
          <c:showCatName val="0"/>
          <c:showSerName val="0"/>
          <c:showPercent val="0"/>
          <c:showBubbleSize val="0"/>
        </c:dLbls>
        <c:smooth val="0"/>
        <c:axId val="1274486127"/>
        <c:axId val="1274486607"/>
      </c:lineChart>
      <c:catAx>
        <c:axId val="12744861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4486607"/>
        <c:crosses val="autoZero"/>
        <c:auto val="1"/>
        <c:lblAlgn val="ctr"/>
        <c:lblOffset val="100"/>
        <c:noMultiLvlLbl val="0"/>
      </c:catAx>
      <c:valAx>
        <c:axId val="12744866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44861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Sheet2!$G$28</c:f>
              <c:strCache>
                <c:ptCount val="1"/>
                <c:pt idx="0">
                  <c:v>Quick Ratio</c:v>
                </c:pt>
              </c:strCache>
            </c:strRef>
          </c:tx>
          <c:spPr>
            <a:ln w="28575" cap="rnd">
              <a:solidFill>
                <a:schemeClr val="accent1"/>
              </a:solidFill>
              <a:round/>
            </a:ln>
            <a:effectLst/>
          </c:spPr>
          <c:marker>
            <c:symbol val="none"/>
          </c:marker>
          <c:cat>
            <c:numRef>
              <c:f>Sheet2!$F$29:$F$33</c:f>
              <c:numCache>
                <c:formatCode>General</c:formatCode>
                <c:ptCount val="5"/>
                <c:pt idx="0">
                  <c:v>2020.0</c:v>
                </c:pt>
                <c:pt idx="1">
                  <c:v>2021.0</c:v>
                </c:pt>
                <c:pt idx="2">
                  <c:v>2022.0</c:v>
                </c:pt>
                <c:pt idx="3">
                  <c:v>2023.0</c:v>
                </c:pt>
                <c:pt idx="4">
                  <c:v>2024.0</c:v>
                </c:pt>
              </c:numCache>
            </c:numRef>
          </c:cat>
          <c:val>
            <c:numRef>
              <c:f>Sheet2!$G$29:$G$33</c:f>
              <c:numCache>
                <c:formatCode>General</c:formatCode>
                <c:ptCount val="5"/>
                <c:pt idx="0">
                  <c:v>0.9</c:v>
                </c:pt>
                <c:pt idx="1">
                  <c:v>0.95</c:v>
                </c:pt>
                <c:pt idx="2">
                  <c:v>0.98</c:v>
                </c:pt>
                <c:pt idx="3">
                  <c:v>1.0</c:v>
                </c:pt>
                <c:pt idx="4">
                  <c:v>1.05</c:v>
                </c:pt>
              </c:numCache>
            </c:numRef>
          </c:val>
          <c:smooth val="0"/>
        </c:ser>
        <c:dLbls>
          <c:showLegendKey val="0"/>
          <c:showVal val="0"/>
          <c:showCatName val="0"/>
          <c:showSerName val="0"/>
          <c:showPercent val="0"/>
          <c:showBubbleSize val="0"/>
        </c:dLbls>
        <c:smooth val="0"/>
        <c:axId val="1453243311"/>
        <c:axId val="1453246671"/>
      </c:lineChart>
      <c:catAx>
        <c:axId val="14532433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3246671"/>
        <c:crosses val="autoZero"/>
        <c:auto val="1"/>
        <c:lblAlgn val="ctr"/>
        <c:lblOffset val="100"/>
        <c:noMultiLvlLbl val="0"/>
      </c:catAx>
      <c:valAx>
        <c:axId val="14532466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32433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Sheet2!$J$28</c:f>
              <c:strCache>
                <c:ptCount val="1"/>
                <c:pt idx="0">
                  <c:v>Total Asset Turnover</c:v>
                </c:pt>
              </c:strCache>
            </c:strRef>
          </c:tx>
          <c:spPr>
            <a:ln w="28575" cap="rnd">
              <a:solidFill>
                <a:schemeClr val="accent1"/>
              </a:solidFill>
              <a:round/>
            </a:ln>
            <a:effectLst/>
          </c:spPr>
          <c:marker>
            <c:symbol val="none"/>
          </c:marker>
          <c:cat>
            <c:numRef>
              <c:f>Sheet2!$I$29:$I$33</c:f>
              <c:numCache>
                <c:formatCode>General</c:formatCode>
                <c:ptCount val="5"/>
                <c:pt idx="0">
                  <c:v>2020.0</c:v>
                </c:pt>
                <c:pt idx="1">
                  <c:v>2021.0</c:v>
                </c:pt>
                <c:pt idx="2">
                  <c:v>2022.0</c:v>
                </c:pt>
                <c:pt idx="3">
                  <c:v>2023.0</c:v>
                </c:pt>
                <c:pt idx="4">
                  <c:v>2024.0</c:v>
                </c:pt>
              </c:numCache>
            </c:numRef>
          </c:cat>
          <c:val>
            <c:numRef>
              <c:f>Sheet2!$J$29:$J$33</c:f>
              <c:numCache>
                <c:formatCode>General</c:formatCode>
                <c:ptCount val="5"/>
                <c:pt idx="0">
                  <c:v>0.57</c:v>
                </c:pt>
                <c:pt idx="1">
                  <c:v>0.44</c:v>
                </c:pt>
                <c:pt idx="2">
                  <c:v>0.46</c:v>
                </c:pt>
                <c:pt idx="3">
                  <c:v>0.5</c:v>
                </c:pt>
                <c:pt idx="4">
                  <c:v>0.5</c:v>
                </c:pt>
              </c:numCache>
            </c:numRef>
          </c:val>
          <c:smooth val="0"/>
        </c:ser>
        <c:dLbls>
          <c:showLegendKey val="0"/>
          <c:showVal val="0"/>
          <c:showCatName val="0"/>
          <c:showSerName val="0"/>
          <c:showPercent val="0"/>
          <c:showBubbleSize val="0"/>
        </c:dLbls>
        <c:smooth val="0"/>
        <c:axId val="1453299471"/>
        <c:axId val="1453297551"/>
      </c:lineChart>
      <c:catAx>
        <c:axId val="14532994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3297551"/>
        <c:crosses val="autoZero"/>
        <c:auto val="1"/>
        <c:lblAlgn val="ctr"/>
        <c:lblOffset val="100"/>
        <c:noMultiLvlLbl val="0"/>
      </c:catAx>
      <c:valAx>
        <c:axId val="14532975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32994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Sheet2!$M$28</c:f>
              <c:strCache>
                <c:ptCount val="1"/>
                <c:pt idx="0">
                  <c:v>EPS (¥)</c:v>
                </c:pt>
              </c:strCache>
            </c:strRef>
          </c:tx>
          <c:spPr>
            <a:ln w="28575" cap="rnd">
              <a:solidFill>
                <a:schemeClr val="accent1"/>
              </a:solidFill>
              <a:round/>
            </a:ln>
            <a:effectLst/>
          </c:spPr>
          <c:marker>
            <c:symbol val="none"/>
          </c:marker>
          <c:cat>
            <c:numRef>
              <c:f>Sheet2!$L$29:$L$33</c:f>
              <c:numCache>
                <c:formatCode>General</c:formatCode>
                <c:ptCount val="5"/>
                <c:pt idx="0">
                  <c:v>2020.0</c:v>
                </c:pt>
                <c:pt idx="1">
                  <c:v>2021.0</c:v>
                </c:pt>
                <c:pt idx="2">
                  <c:v>2022.0</c:v>
                </c:pt>
                <c:pt idx="3">
                  <c:v>2023.0</c:v>
                </c:pt>
                <c:pt idx="4">
                  <c:v>2024.0</c:v>
                </c:pt>
              </c:numCache>
            </c:numRef>
          </c:cat>
          <c:val>
            <c:numRef>
              <c:f>Sheet2!$M$29:$M$33</c:f>
              <c:numCache>
                <c:formatCode>General</c:formatCode>
                <c:ptCount val="5"/>
                <c:pt idx="0">
                  <c:v>735.0</c:v>
                </c:pt>
                <c:pt idx="1">
                  <c:v>803.0</c:v>
                </c:pt>
                <c:pt idx="2">
                  <c:v>205.0</c:v>
                </c:pt>
                <c:pt idx="3">
                  <c:v>179.0</c:v>
                </c:pt>
                <c:pt idx="4">
                  <c:v>365.0</c:v>
                </c:pt>
              </c:numCache>
            </c:numRef>
          </c:val>
          <c:smooth val="0"/>
        </c:ser>
        <c:dLbls>
          <c:showLegendKey val="0"/>
          <c:showVal val="0"/>
          <c:showCatName val="0"/>
          <c:showSerName val="0"/>
          <c:showPercent val="0"/>
          <c:showBubbleSize val="0"/>
        </c:dLbls>
        <c:smooth val="0"/>
        <c:axId val="1453305231"/>
        <c:axId val="1453301871"/>
      </c:lineChart>
      <c:catAx>
        <c:axId val="14533052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3301871"/>
        <c:crosses val="autoZero"/>
        <c:auto val="1"/>
        <c:lblAlgn val="ctr"/>
        <c:lblOffset val="100"/>
        <c:noMultiLvlLbl val="0"/>
      </c:catAx>
      <c:valAx>
        <c:axId val="14533018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33052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E96C6-7B83-41F3-BF58-EAB7C2174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Words>6520</Words>
  <Pages>45</Pages>
  <Characters>37851</Characters>
  <Application>WPS Office</Application>
  <DocSecurity>0</DocSecurity>
  <Paragraphs>425</Paragraphs>
  <ScaleCrop>false</ScaleCrop>
  <LinksUpToDate>false</LinksUpToDate>
  <CharactersWithSpaces>44026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2026-04-04T10:17:00Z</dcterms:created>
  <dc:creator>ammarmalikmalik22@gmail.com</dc:creator>
  <lastModifiedBy>TFY-LX2</lastModifiedBy>
  <dcterms:modified xsi:type="dcterms:W3CDTF">2026-04-15T09:05:16Z</dcterms:modified>
  <revision>7</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6ce7850933d74d119bfc137bec364562</vt:lpwstr>
  </property>
</Properties>
</file>