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7ED224B8" w14:textId="5D645230" w:rsidR="00AD6D75" w:rsidRPr="00BB05A0" w:rsidRDefault="002635DA" w:rsidP="009F4F9E">
      <w:pPr>
        <w:pStyle w:val="COVERPAGETEXT"/>
      </w:pPr>
      <w:r>
        <w:t>George Butcher</w:t>
      </w: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B7AA393" w14:textId="77777777" w:rsidR="00DB1C19" w:rsidRDefault="00DB1C19" w:rsidP="009F4F9E">
      <w:pPr>
        <w:pStyle w:val="COVERPAGETEXT"/>
      </w:pPr>
      <w:r w:rsidRPr="00DB1C19">
        <w:rPr>
          <w:bCs/>
        </w:rPr>
        <w:t>Risk Assessment &amp; ALARP Justification</w:t>
      </w:r>
      <w:r w:rsidRPr="00DB1C19">
        <w:rPr>
          <w:b/>
        </w:rPr>
        <w:t xml:space="preserve"> </w:t>
      </w:r>
    </w:p>
    <w:p w14:paraId="493833E7" w14:textId="5B39979F" w:rsidR="00E137C5" w:rsidRPr="00BB05A0" w:rsidRDefault="00E137C5" w:rsidP="009F4F9E">
      <w:pPr>
        <w:pStyle w:val="COVERPAGETEXT"/>
      </w:pPr>
      <w:r>
        <w:t>ACDB</w:t>
      </w:r>
      <w:r w:rsidR="00DB1C19">
        <w:t xml:space="preserve"> 5013</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0789D256" w14:textId="77777777" w:rsidR="00425911" w:rsidRDefault="00425911" w:rsidP="009F4F9E">
      <w:pPr>
        <w:pStyle w:val="COVERPAGETEXT"/>
      </w:pPr>
      <w:r>
        <w:t>UWTSD</w:t>
      </w:r>
    </w:p>
    <w:p w14:paraId="6753F339" w14:textId="31A1A5C7" w:rsidR="00AD6D75" w:rsidRPr="00BB05A0" w:rsidRDefault="00425911" w:rsidP="009F4F9E">
      <w:pPr>
        <w:pStyle w:val="COVERPAGETEXT"/>
      </w:pPr>
      <w:r>
        <w:t xml:space="preserve">OME </w:t>
      </w:r>
    </w:p>
    <w:p w14:paraId="1AA6B9A3" w14:textId="77777777" w:rsidR="00AD6D75" w:rsidRPr="00BB05A0" w:rsidRDefault="00AD6D75" w:rsidP="009F4F9E">
      <w:pPr>
        <w:pStyle w:val="COVERPAGETEXT"/>
      </w:pPr>
    </w:p>
    <w:p w14:paraId="04815D3F" w14:textId="48CD8503" w:rsidR="00AD6D75" w:rsidRPr="00BB05A0" w:rsidRDefault="00674FAF" w:rsidP="00674FAF">
      <w:pPr>
        <w:pStyle w:val="COVERPAGETEXT"/>
      </w:pPr>
      <w:r>
        <w:t>BEng</w:t>
      </w:r>
    </w:p>
    <w:p w14:paraId="2709D95E" w14:textId="18E5E49A" w:rsidR="00AD6D75" w:rsidRPr="00BB05A0" w:rsidRDefault="00AD6D75" w:rsidP="009F4F9E">
      <w:pPr>
        <w:pStyle w:val="COVERPAGETEXT"/>
      </w:pPr>
      <w:r>
        <w:t xml:space="preserve">Academic Year: </w:t>
      </w:r>
      <w:r w:rsidR="00674FAF">
        <w:t xml:space="preserve">2025 </w:t>
      </w:r>
      <w:r>
        <w:t>-</w:t>
      </w:r>
      <w:r w:rsidRPr="00931620">
        <w:t xml:space="preserve"> </w:t>
      </w:r>
      <w:r w:rsidR="00674FAF">
        <w:t>2029</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1112B53" w14:textId="2E25F48E" w:rsidR="007F186D" w:rsidRDefault="00DB1C19" w:rsidP="00E137C5">
      <w:pPr>
        <w:pStyle w:val="COVERPAGETEXT"/>
        <w:rPr>
          <w:bCs/>
        </w:rPr>
      </w:pPr>
      <w:r>
        <w:t>Lecturer</w:t>
      </w:r>
      <w:r w:rsidR="00674FAF">
        <w:t xml:space="preserve">: </w:t>
      </w:r>
      <w:r w:rsidRPr="00DB1C19">
        <w:rPr>
          <w:bCs/>
        </w:rPr>
        <w:t>Austin Clark</w:t>
      </w:r>
    </w:p>
    <w:p w14:paraId="294C61CA" w14:textId="317F17FC" w:rsidR="00DB1C19" w:rsidRDefault="00DB1C19" w:rsidP="00E137C5">
      <w:pPr>
        <w:pStyle w:val="COVERPAGETEXT"/>
      </w:pPr>
      <w:r>
        <w:rPr>
          <w:bCs/>
        </w:rPr>
        <w:t xml:space="preserve">Internal Verifier: </w:t>
      </w:r>
      <w:r w:rsidRPr="00DB1C19">
        <w:t>Gareth Collett</w:t>
      </w:r>
    </w:p>
    <w:p w14:paraId="0AB7BA64" w14:textId="2E72B99D" w:rsidR="00A651C5" w:rsidRDefault="00DB1C19" w:rsidP="00A651C5">
      <w:pPr>
        <w:pStyle w:val="COVERPAGETEXT"/>
      </w:pPr>
      <w:r>
        <w:t>June</w:t>
      </w:r>
      <w:r w:rsidR="00674FAF">
        <w:t xml:space="preserve"> 202</w:t>
      </w:r>
      <w:r w:rsidR="00E137C5">
        <w:t>6</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75F08DD5" w14:textId="474A0FE4" w:rsidR="0088087A" w:rsidRPr="009323BE" w:rsidRDefault="005C6FA2" w:rsidP="0088087A">
      <w:pPr>
        <w:pStyle w:val="Heading1nonumber"/>
        <w:rPr>
          <w:sz w:val="28"/>
          <w:szCs w:val="32"/>
        </w:rPr>
      </w:pPr>
      <w:bookmarkStart w:id="0" w:name="_Toc129338450"/>
      <w:bookmarkStart w:id="1" w:name="_Toc137806433"/>
      <w:bookmarkStart w:id="2" w:name="_Toc290554218"/>
      <w:bookmarkStart w:id="3" w:name="_Toc299621183"/>
      <w:bookmarkStart w:id="4" w:name="_Toc299631411"/>
      <w:bookmarkStart w:id="5" w:name="_Toc299631471"/>
      <w:bookmarkStart w:id="6" w:name="_Toc299631561"/>
      <w:bookmarkStart w:id="7" w:name="_Toc299631638"/>
      <w:bookmarkStart w:id="8" w:name="_Toc234948137"/>
      <w:r w:rsidRPr="009323BE">
        <w:rPr>
          <w:sz w:val="28"/>
          <w:szCs w:val="32"/>
        </w:rPr>
        <w:lastRenderedPageBreak/>
        <w:t>A</w:t>
      </w:r>
      <w:r w:rsidR="005E3ACA" w:rsidRPr="009323BE">
        <w:rPr>
          <w:sz w:val="28"/>
          <w:szCs w:val="32"/>
        </w:rPr>
        <w:t>cademic integrity declaration</w:t>
      </w:r>
      <w:bookmarkEnd w:id="0"/>
      <w:bookmarkEnd w:id="1"/>
      <w:bookmarkEnd w:id="8"/>
    </w:p>
    <w:p w14:paraId="287E2C73" w14:textId="77777777" w:rsidR="0088087A" w:rsidRPr="006362DC" w:rsidRDefault="0088087A" w:rsidP="00E9413F">
      <w:pPr>
        <w:jc w:val="left"/>
        <w:rPr>
          <w:sz w:val="20"/>
          <w:szCs w:val="20"/>
        </w:rPr>
      </w:pPr>
      <w:r w:rsidRPr="006362DC">
        <w:rPr>
          <w:sz w:val="20"/>
          <w:szCs w:val="20"/>
        </w:rPr>
        <w:t>I declare that:</w:t>
      </w:r>
    </w:p>
    <w:p w14:paraId="0B7C0C3A" w14:textId="77777777" w:rsidR="0088087A" w:rsidRPr="006362DC" w:rsidRDefault="0088087A" w:rsidP="00E9413F">
      <w:pPr>
        <w:pStyle w:val="ListParagraph"/>
        <w:numPr>
          <w:ilvl w:val="0"/>
          <w:numId w:val="26"/>
        </w:numPr>
        <w:jc w:val="left"/>
        <w:rPr>
          <w:sz w:val="20"/>
          <w:szCs w:val="20"/>
        </w:rPr>
      </w:pPr>
      <w:r w:rsidRPr="006362DC">
        <w:rPr>
          <w:sz w:val="20"/>
          <w:szCs w:val="20"/>
        </w:rPr>
        <w:t>the thesis submitted has been written by me alone.</w:t>
      </w:r>
    </w:p>
    <w:p w14:paraId="30EDB562" w14:textId="77777777" w:rsidR="0088087A" w:rsidRPr="006362DC" w:rsidRDefault="0088087A" w:rsidP="00E9413F">
      <w:pPr>
        <w:pStyle w:val="ListParagraph"/>
        <w:numPr>
          <w:ilvl w:val="0"/>
          <w:numId w:val="26"/>
        </w:numPr>
        <w:jc w:val="left"/>
        <w:rPr>
          <w:sz w:val="20"/>
          <w:szCs w:val="20"/>
        </w:rPr>
      </w:pPr>
      <w:r w:rsidRPr="006362DC">
        <w:rPr>
          <w:sz w:val="20"/>
          <w:szCs w:val="20"/>
        </w:rPr>
        <w:t>the thesis submitted has not been previously submitted to this university or any other.</w:t>
      </w:r>
    </w:p>
    <w:p w14:paraId="2A543FCD" w14:textId="77777777" w:rsidR="0088087A" w:rsidRPr="006362DC" w:rsidRDefault="0088087A" w:rsidP="00E9413F">
      <w:pPr>
        <w:pStyle w:val="ListParagraph"/>
        <w:numPr>
          <w:ilvl w:val="0"/>
          <w:numId w:val="26"/>
        </w:numPr>
        <w:jc w:val="left"/>
        <w:rPr>
          <w:sz w:val="20"/>
          <w:szCs w:val="20"/>
        </w:rPr>
      </w:pPr>
      <w:r w:rsidRPr="006362DC">
        <w:rPr>
          <w:sz w:val="20"/>
          <w:szCs w:val="20"/>
        </w:rPr>
        <w:t>that all content, including primary and/or secondary data, is true to the best of my knowledge.</w:t>
      </w:r>
    </w:p>
    <w:p w14:paraId="7D207515" w14:textId="77777777" w:rsidR="0088087A" w:rsidRPr="006362DC" w:rsidRDefault="0088087A" w:rsidP="00E9413F">
      <w:pPr>
        <w:pStyle w:val="ListParagraph"/>
        <w:numPr>
          <w:ilvl w:val="0"/>
          <w:numId w:val="26"/>
        </w:numPr>
        <w:jc w:val="left"/>
        <w:rPr>
          <w:sz w:val="20"/>
          <w:szCs w:val="20"/>
        </w:rPr>
      </w:pPr>
      <w:r w:rsidRPr="006362DC">
        <w:rPr>
          <w:sz w:val="20"/>
          <w:szCs w:val="20"/>
        </w:rPr>
        <w:t>that all quotations and references have been duly acknowledged according to the requirements of academic research.</w:t>
      </w:r>
    </w:p>
    <w:p w14:paraId="6138B01F" w14:textId="77777777" w:rsidR="0088087A" w:rsidRPr="006362DC" w:rsidRDefault="0088087A" w:rsidP="00E9413F">
      <w:pPr>
        <w:jc w:val="left"/>
        <w:rPr>
          <w:sz w:val="20"/>
          <w:szCs w:val="20"/>
        </w:rPr>
      </w:pPr>
      <w:r w:rsidRPr="006362DC">
        <w:rPr>
          <w:sz w:val="20"/>
          <w:szCs w:val="20"/>
        </w:rPr>
        <w:t>I understand that to knowingly submit work in violation of the above statement will be considered by examiners as academic misconduct.</w:t>
      </w:r>
    </w:p>
    <w:p w14:paraId="7D96CE18" w14:textId="6963B039" w:rsidR="001B0633" w:rsidRPr="006362DC" w:rsidRDefault="001B0633" w:rsidP="00E9413F">
      <w:pPr>
        <w:jc w:val="left"/>
        <w:rPr>
          <w:sz w:val="20"/>
          <w:szCs w:val="20"/>
        </w:rPr>
      </w:pPr>
    </w:p>
    <w:p w14:paraId="4A973C71" w14:textId="77777777" w:rsidR="00AF3173" w:rsidRDefault="00AF3173">
      <w:pPr>
        <w:spacing w:before="0" w:after="200" w:line="276" w:lineRule="auto"/>
        <w:jc w:val="left"/>
        <w:rPr>
          <w:rFonts w:cs="Arial"/>
          <w:b/>
          <w:bCs/>
          <w:kern w:val="32"/>
          <w:sz w:val="32"/>
          <w:szCs w:val="36"/>
        </w:rPr>
      </w:pPr>
      <w:bookmarkStart w:id="9" w:name="_Toc137806434"/>
      <w:r>
        <w:br w:type="page"/>
      </w:r>
    </w:p>
    <w:p w14:paraId="7C88FF9A" w14:textId="58F10B7A" w:rsidR="00DB1C19" w:rsidRPr="009323BE" w:rsidRDefault="005E3ACA" w:rsidP="00DB1C19">
      <w:pPr>
        <w:pStyle w:val="Heading1nonumber"/>
        <w:rPr>
          <w:sz w:val="28"/>
          <w:szCs w:val="32"/>
        </w:rPr>
      </w:pPr>
      <w:bookmarkStart w:id="10" w:name="_Toc234948138"/>
      <w:r w:rsidRPr="009323BE">
        <w:rPr>
          <w:sz w:val="28"/>
          <w:szCs w:val="32"/>
        </w:rPr>
        <w:lastRenderedPageBreak/>
        <w:t>Abstract</w:t>
      </w:r>
      <w:bookmarkEnd w:id="2"/>
      <w:bookmarkEnd w:id="3"/>
      <w:bookmarkEnd w:id="4"/>
      <w:bookmarkEnd w:id="5"/>
      <w:bookmarkEnd w:id="6"/>
      <w:bookmarkEnd w:id="7"/>
      <w:bookmarkEnd w:id="9"/>
      <w:bookmarkEnd w:id="10"/>
    </w:p>
    <w:p w14:paraId="7766E5B8" w14:textId="415E08FF" w:rsidR="00F622D6" w:rsidRPr="00F622D6" w:rsidRDefault="006C0C88" w:rsidP="00F622D6">
      <w:pPr>
        <w:spacing w:before="100" w:beforeAutospacing="1" w:after="100" w:afterAutospacing="1" w:line="240" w:lineRule="auto"/>
        <w:jc w:val="left"/>
        <w:rPr>
          <w:rFonts w:cs="Arial"/>
          <w:color w:val="000000"/>
          <w:sz w:val="20"/>
          <w:szCs w:val="20"/>
          <w:lang w:eastAsia="en-GB"/>
        </w:rPr>
      </w:pPr>
      <w:r w:rsidRPr="009323BE">
        <w:rPr>
          <w:rFonts w:cs="Arial"/>
          <w:color w:val="000000"/>
          <w:sz w:val="20"/>
          <w:szCs w:val="20"/>
          <w:lang w:eastAsia="en-GB"/>
        </w:rPr>
        <w:t>T</w:t>
      </w:r>
      <w:r w:rsidR="00F622D6" w:rsidRPr="00F622D6">
        <w:rPr>
          <w:rFonts w:cs="Arial"/>
          <w:color w:val="000000"/>
          <w:sz w:val="20"/>
          <w:szCs w:val="20"/>
          <w:lang w:eastAsia="en-GB"/>
        </w:rPr>
        <w:t xml:space="preserve">his report gives a high-level risk assessment and </w:t>
      </w:r>
      <w:r w:rsidR="004C4AD3">
        <w:rPr>
          <w:rFonts w:cs="Arial"/>
          <w:color w:val="000000"/>
          <w:sz w:val="20"/>
          <w:szCs w:val="20"/>
          <w:lang w:eastAsia="en-GB"/>
        </w:rPr>
        <w:t>As Low as Reasonably Practicable (</w:t>
      </w:r>
      <w:r w:rsidR="00F622D6" w:rsidRPr="00F622D6">
        <w:rPr>
          <w:rFonts w:cs="Arial"/>
          <w:color w:val="000000"/>
          <w:sz w:val="20"/>
          <w:szCs w:val="20"/>
          <w:lang w:eastAsia="en-GB"/>
        </w:rPr>
        <w:t>ALARP</w:t>
      </w:r>
      <w:r w:rsidR="004C4AD3">
        <w:rPr>
          <w:rFonts w:cs="Arial"/>
          <w:color w:val="000000"/>
          <w:sz w:val="20"/>
          <w:szCs w:val="20"/>
          <w:lang w:eastAsia="en-GB"/>
        </w:rPr>
        <w:t>)</w:t>
      </w:r>
      <w:r w:rsidR="00F622D6" w:rsidRPr="00F622D6">
        <w:rPr>
          <w:rFonts w:cs="Arial"/>
          <w:color w:val="000000"/>
          <w:sz w:val="20"/>
          <w:szCs w:val="20"/>
          <w:lang w:eastAsia="en-GB"/>
        </w:rPr>
        <w:t xml:space="preserve"> justification for a 115 mm large-calibre gun system. Six main hazards were considered: explosion, electrical hazards, asphyxiant or toxic effects, high-pressure gas, heat and noise. Each hazard was assessed before controls were applied, suitable controls and mitigations were identified, and the remaining risk was then reassessed.</w:t>
      </w:r>
    </w:p>
    <w:p w14:paraId="20F957CB" w14:textId="1DCAC15E" w:rsidR="006C0C88" w:rsidRPr="009323BE" w:rsidRDefault="00F622D6" w:rsidP="006C0C88">
      <w:pPr>
        <w:spacing w:before="100" w:beforeAutospacing="1" w:after="100" w:afterAutospacing="1" w:line="240" w:lineRule="auto"/>
        <w:jc w:val="left"/>
        <w:rPr>
          <w:rFonts w:cs="Arial"/>
          <w:color w:val="000000"/>
          <w:sz w:val="20"/>
          <w:szCs w:val="20"/>
          <w:lang w:eastAsia="en-GB"/>
        </w:rPr>
      </w:pPr>
      <w:r w:rsidRPr="00F622D6">
        <w:rPr>
          <w:rFonts w:cs="Arial"/>
          <w:color w:val="000000"/>
          <w:sz w:val="20"/>
          <w:szCs w:val="20"/>
          <w:lang w:eastAsia="en-GB"/>
        </w:rPr>
        <w:t>The electrical hazard was chosen for the detailed ALARP justification because electrical equipment supports the firing, control, indication and safety functions of the system. The assessment finds that the hazard cannot be removed completely, but the risk can be reduced to a tolerable and ALARP level through a combination of engineering controls, safe procedures, maintenance, training and regular review.</w:t>
      </w:r>
    </w:p>
    <w:p w14:paraId="1DADEDF7" w14:textId="0FCE686E" w:rsidR="00F2159F" w:rsidRPr="00B519D4" w:rsidRDefault="00F2159F" w:rsidP="00DB1C19">
      <w:pPr>
        <w:pStyle w:val="Heading1nonumber"/>
      </w:pPr>
      <w:r w:rsidRPr="00B519D4">
        <w:br w:type="page"/>
      </w:r>
    </w:p>
    <w:bookmarkStart w:id="11" w:name="_Toc137806436" w:displacedByCustomXml="next"/>
    <w:bookmarkStart w:id="12" w:name="_Ref137801750" w:displacedByCustomXml="next"/>
    <w:bookmarkStart w:id="13" w:name="_Toc299631640" w:displacedByCustomXml="next"/>
    <w:bookmarkStart w:id="14" w:name="_Toc299631563" w:displacedByCustomXml="next"/>
    <w:bookmarkStart w:id="15" w:name="_Toc299631473" w:displacedByCustomXml="next"/>
    <w:bookmarkStart w:id="16" w:name="_Toc299631413" w:displacedByCustomXml="next"/>
    <w:bookmarkStart w:id="17" w:name="_Toc299621185" w:displacedByCustomXml="next"/>
    <w:bookmarkStart w:id="18" w:name="_Toc290554220" w:displacedByCustomXml="next"/>
    <w:bookmarkStart w:id="19" w:name="_Toc51833371" w:displacedByCustomXml="next"/>
    <w:sdt>
      <w:sdtPr>
        <w:rPr>
          <w:rFonts w:ascii="Arial" w:eastAsia="Times New Roman" w:hAnsi="Arial" w:cs="Times New Roman"/>
          <w:b w:val="0"/>
          <w:bCs w:val="0"/>
          <w:color w:val="auto"/>
          <w:sz w:val="24"/>
          <w:szCs w:val="24"/>
          <w:lang w:val="en-GB" w:eastAsia="en-US"/>
        </w:rPr>
        <w:id w:val="-1829900371"/>
        <w:docPartObj>
          <w:docPartGallery w:val="Table of Contents"/>
          <w:docPartUnique/>
        </w:docPartObj>
      </w:sdtPr>
      <w:sdtEndPr>
        <w:rPr>
          <w:noProof/>
        </w:rPr>
      </w:sdtEndPr>
      <w:sdtContent>
        <w:p w14:paraId="385CF1F4" w14:textId="617E6860" w:rsidR="009F0395" w:rsidRPr="009F0395" w:rsidRDefault="009F0395">
          <w:pPr>
            <w:pStyle w:val="TOCHeading"/>
            <w:rPr>
              <w:rFonts w:ascii="Arial" w:hAnsi="Arial" w:cs="Arial"/>
              <w:color w:val="000000" w:themeColor="text1"/>
            </w:rPr>
          </w:pPr>
          <w:r w:rsidRPr="009F0395">
            <w:rPr>
              <w:rFonts w:ascii="Arial" w:hAnsi="Arial" w:cs="Arial"/>
              <w:color w:val="000000" w:themeColor="text1"/>
            </w:rPr>
            <w:t>Table of Contents</w:t>
          </w:r>
        </w:p>
        <w:p w14:paraId="599CD7BD" w14:textId="49941D4D" w:rsidR="00F622D6" w:rsidRDefault="009F0395">
          <w:pPr>
            <w:pStyle w:val="TOC1"/>
            <w:tabs>
              <w:tab w:val="right" w:leader="dot" w:pos="9736"/>
            </w:tabs>
            <w:rPr>
              <w:rFonts w:eastAsiaTheme="minorEastAsia" w:cstheme="minorBidi"/>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4948137" w:history="1">
            <w:r w:rsidR="00F622D6" w:rsidRPr="001847B0">
              <w:rPr>
                <w:rStyle w:val="Hyperlink"/>
                <w:noProof/>
              </w:rPr>
              <w:t>Academic integrity declaration</w:t>
            </w:r>
            <w:r w:rsidR="00F622D6">
              <w:rPr>
                <w:noProof/>
                <w:webHidden/>
              </w:rPr>
              <w:tab/>
            </w:r>
            <w:r w:rsidR="00F622D6">
              <w:rPr>
                <w:noProof/>
                <w:webHidden/>
              </w:rPr>
              <w:fldChar w:fldCharType="begin"/>
            </w:r>
            <w:r w:rsidR="00F622D6">
              <w:rPr>
                <w:noProof/>
                <w:webHidden/>
              </w:rPr>
              <w:instrText xml:space="preserve"> PAGEREF _Toc234948137 \h </w:instrText>
            </w:r>
            <w:r w:rsidR="00F622D6">
              <w:rPr>
                <w:noProof/>
                <w:webHidden/>
              </w:rPr>
            </w:r>
            <w:r w:rsidR="00F622D6">
              <w:rPr>
                <w:noProof/>
                <w:webHidden/>
              </w:rPr>
              <w:fldChar w:fldCharType="separate"/>
            </w:r>
            <w:r w:rsidR="004C4AD3">
              <w:rPr>
                <w:noProof/>
                <w:webHidden/>
              </w:rPr>
              <w:t>2</w:t>
            </w:r>
            <w:r w:rsidR="00F622D6">
              <w:rPr>
                <w:noProof/>
                <w:webHidden/>
              </w:rPr>
              <w:fldChar w:fldCharType="end"/>
            </w:r>
          </w:hyperlink>
        </w:p>
        <w:p w14:paraId="710D4E8A" w14:textId="5248866D" w:rsidR="00F622D6" w:rsidRDefault="00F622D6">
          <w:pPr>
            <w:pStyle w:val="TOC1"/>
            <w:tabs>
              <w:tab w:val="right" w:leader="dot" w:pos="9736"/>
            </w:tabs>
            <w:rPr>
              <w:rFonts w:eastAsiaTheme="minorEastAsia" w:cstheme="minorBidi"/>
              <w:b w:val="0"/>
              <w:bCs w:val="0"/>
              <w:caps w:val="0"/>
              <w:noProof/>
              <w:kern w:val="2"/>
              <w:sz w:val="24"/>
              <w:szCs w:val="24"/>
              <w:lang w:eastAsia="en-GB"/>
              <w14:ligatures w14:val="standardContextual"/>
            </w:rPr>
          </w:pPr>
          <w:hyperlink w:anchor="_Toc234948138" w:history="1">
            <w:r w:rsidRPr="001847B0">
              <w:rPr>
                <w:rStyle w:val="Hyperlink"/>
                <w:noProof/>
              </w:rPr>
              <w:t>Abstract.</w:t>
            </w:r>
            <w:r>
              <w:rPr>
                <w:noProof/>
                <w:webHidden/>
              </w:rPr>
              <w:tab/>
            </w:r>
            <w:r>
              <w:rPr>
                <w:noProof/>
                <w:webHidden/>
              </w:rPr>
              <w:fldChar w:fldCharType="begin"/>
            </w:r>
            <w:r>
              <w:rPr>
                <w:noProof/>
                <w:webHidden/>
              </w:rPr>
              <w:instrText xml:space="preserve"> PAGEREF _Toc234948138 \h </w:instrText>
            </w:r>
            <w:r>
              <w:rPr>
                <w:noProof/>
                <w:webHidden/>
              </w:rPr>
            </w:r>
            <w:r>
              <w:rPr>
                <w:noProof/>
                <w:webHidden/>
              </w:rPr>
              <w:fldChar w:fldCharType="separate"/>
            </w:r>
            <w:r w:rsidR="004C4AD3">
              <w:rPr>
                <w:noProof/>
                <w:webHidden/>
              </w:rPr>
              <w:t>3</w:t>
            </w:r>
            <w:r>
              <w:rPr>
                <w:noProof/>
                <w:webHidden/>
              </w:rPr>
              <w:fldChar w:fldCharType="end"/>
            </w:r>
          </w:hyperlink>
        </w:p>
        <w:p w14:paraId="268AFF04" w14:textId="694066FA" w:rsidR="00F622D6" w:rsidRDefault="00F622D6">
          <w:pPr>
            <w:pStyle w:val="TOC1"/>
            <w:tabs>
              <w:tab w:val="right" w:leader="dot" w:pos="9736"/>
            </w:tabs>
            <w:rPr>
              <w:rFonts w:eastAsiaTheme="minorEastAsia" w:cstheme="minorBidi"/>
              <w:b w:val="0"/>
              <w:bCs w:val="0"/>
              <w:caps w:val="0"/>
              <w:noProof/>
              <w:kern w:val="2"/>
              <w:sz w:val="24"/>
              <w:szCs w:val="24"/>
              <w:lang w:eastAsia="en-GB"/>
              <w14:ligatures w14:val="standardContextual"/>
            </w:rPr>
          </w:pPr>
          <w:hyperlink w:anchor="_Toc234948139" w:history="1">
            <w:r w:rsidRPr="001847B0">
              <w:rPr>
                <w:rStyle w:val="Hyperlink"/>
                <w:noProof/>
              </w:rPr>
              <w:t>List of Figures</w:t>
            </w:r>
            <w:r>
              <w:rPr>
                <w:noProof/>
                <w:webHidden/>
              </w:rPr>
              <w:tab/>
            </w:r>
            <w:r>
              <w:rPr>
                <w:noProof/>
                <w:webHidden/>
              </w:rPr>
              <w:fldChar w:fldCharType="begin"/>
            </w:r>
            <w:r>
              <w:rPr>
                <w:noProof/>
                <w:webHidden/>
              </w:rPr>
              <w:instrText xml:space="preserve"> PAGEREF _Toc234948139 \h </w:instrText>
            </w:r>
            <w:r>
              <w:rPr>
                <w:noProof/>
                <w:webHidden/>
              </w:rPr>
            </w:r>
            <w:r>
              <w:rPr>
                <w:noProof/>
                <w:webHidden/>
              </w:rPr>
              <w:fldChar w:fldCharType="separate"/>
            </w:r>
            <w:r w:rsidR="004C4AD3">
              <w:rPr>
                <w:noProof/>
                <w:webHidden/>
              </w:rPr>
              <w:t>5</w:t>
            </w:r>
            <w:r>
              <w:rPr>
                <w:noProof/>
                <w:webHidden/>
              </w:rPr>
              <w:fldChar w:fldCharType="end"/>
            </w:r>
          </w:hyperlink>
        </w:p>
        <w:p w14:paraId="3D661219" w14:textId="42E5491C" w:rsidR="00F622D6" w:rsidRDefault="00F622D6">
          <w:pPr>
            <w:pStyle w:val="TOC1"/>
            <w:tabs>
              <w:tab w:val="right" w:leader="dot" w:pos="9736"/>
            </w:tabs>
            <w:rPr>
              <w:rFonts w:eastAsiaTheme="minorEastAsia" w:cstheme="minorBidi"/>
              <w:b w:val="0"/>
              <w:bCs w:val="0"/>
              <w:caps w:val="0"/>
              <w:noProof/>
              <w:kern w:val="2"/>
              <w:sz w:val="24"/>
              <w:szCs w:val="24"/>
              <w:lang w:eastAsia="en-GB"/>
              <w14:ligatures w14:val="standardContextual"/>
            </w:rPr>
          </w:pPr>
          <w:hyperlink w:anchor="_Toc234948140" w:history="1">
            <w:r w:rsidRPr="001847B0">
              <w:rPr>
                <w:rStyle w:val="Hyperlink"/>
                <w:noProof/>
              </w:rPr>
              <w:t>List of Tables</w:t>
            </w:r>
            <w:r>
              <w:rPr>
                <w:noProof/>
                <w:webHidden/>
              </w:rPr>
              <w:tab/>
            </w:r>
            <w:r>
              <w:rPr>
                <w:noProof/>
                <w:webHidden/>
              </w:rPr>
              <w:fldChar w:fldCharType="begin"/>
            </w:r>
            <w:r>
              <w:rPr>
                <w:noProof/>
                <w:webHidden/>
              </w:rPr>
              <w:instrText xml:space="preserve"> PAGEREF _Toc234948140 \h </w:instrText>
            </w:r>
            <w:r>
              <w:rPr>
                <w:noProof/>
                <w:webHidden/>
              </w:rPr>
            </w:r>
            <w:r>
              <w:rPr>
                <w:noProof/>
                <w:webHidden/>
              </w:rPr>
              <w:fldChar w:fldCharType="separate"/>
            </w:r>
            <w:r w:rsidR="004C4AD3">
              <w:rPr>
                <w:noProof/>
                <w:webHidden/>
              </w:rPr>
              <w:t>5</w:t>
            </w:r>
            <w:r>
              <w:rPr>
                <w:noProof/>
                <w:webHidden/>
              </w:rPr>
              <w:fldChar w:fldCharType="end"/>
            </w:r>
          </w:hyperlink>
        </w:p>
        <w:p w14:paraId="0FD1142A" w14:textId="3D1CE450" w:rsidR="00F622D6" w:rsidRDefault="00F622D6">
          <w:pPr>
            <w:pStyle w:val="TOC1"/>
            <w:tabs>
              <w:tab w:val="right" w:leader="dot" w:pos="9736"/>
            </w:tabs>
            <w:rPr>
              <w:rFonts w:eastAsiaTheme="minorEastAsia" w:cstheme="minorBidi"/>
              <w:b w:val="0"/>
              <w:bCs w:val="0"/>
              <w:caps w:val="0"/>
              <w:noProof/>
              <w:kern w:val="2"/>
              <w:sz w:val="24"/>
              <w:szCs w:val="24"/>
              <w:lang w:eastAsia="en-GB"/>
              <w14:ligatures w14:val="standardContextual"/>
            </w:rPr>
          </w:pPr>
          <w:hyperlink w:anchor="_Toc234948141" w:history="1">
            <w:r w:rsidRPr="001847B0">
              <w:rPr>
                <w:rStyle w:val="Hyperlink"/>
                <w:noProof/>
              </w:rPr>
              <w:t>List of Abbreviations</w:t>
            </w:r>
            <w:r>
              <w:rPr>
                <w:noProof/>
                <w:webHidden/>
              </w:rPr>
              <w:tab/>
            </w:r>
            <w:r>
              <w:rPr>
                <w:noProof/>
                <w:webHidden/>
              </w:rPr>
              <w:fldChar w:fldCharType="begin"/>
            </w:r>
            <w:r>
              <w:rPr>
                <w:noProof/>
                <w:webHidden/>
              </w:rPr>
              <w:instrText xml:space="preserve"> PAGEREF _Toc234948141 \h </w:instrText>
            </w:r>
            <w:r>
              <w:rPr>
                <w:noProof/>
                <w:webHidden/>
              </w:rPr>
            </w:r>
            <w:r>
              <w:rPr>
                <w:noProof/>
                <w:webHidden/>
              </w:rPr>
              <w:fldChar w:fldCharType="separate"/>
            </w:r>
            <w:r w:rsidR="004C4AD3">
              <w:rPr>
                <w:noProof/>
                <w:webHidden/>
              </w:rPr>
              <w:t>6</w:t>
            </w:r>
            <w:r>
              <w:rPr>
                <w:noProof/>
                <w:webHidden/>
              </w:rPr>
              <w:fldChar w:fldCharType="end"/>
            </w:r>
          </w:hyperlink>
        </w:p>
        <w:p w14:paraId="62FF42E2" w14:textId="0DEDFDC0" w:rsidR="00F622D6" w:rsidRDefault="00F622D6">
          <w:pPr>
            <w:pStyle w:val="TOC1"/>
            <w:tabs>
              <w:tab w:val="right" w:leader="dot" w:pos="9736"/>
            </w:tabs>
            <w:rPr>
              <w:rFonts w:eastAsiaTheme="minorEastAsia" w:cstheme="minorBidi"/>
              <w:b w:val="0"/>
              <w:bCs w:val="0"/>
              <w:caps w:val="0"/>
              <w:noProof/>
              <w:kern w:val="2"/>
              <w:sz w:val="24"/>
              <w:szCs w:val="24"/>
              <w:lang w:eastAsia="en-GB"/>
              <w14:ligatures w14:val="standardContextual"/>
            </w:rPr>
          </w:pPr>
          <w:hyperlink w:anchor="_Toc234948142" w:history="1">
            <w:r w:rsidRPr="001847B0">
              <w:rPr>
                <w:rStyle w:val="Hyperlink"/>
                <w:noProof/>
              </w:rPr>
              <w:t>1 Risk Assessment</w:t>
            </w:r>
            <w:r>
              <w:rPr>
                <w:noProof/>
                <w:webHidden/>
              </w:rPr>
              <w:tab/>
            </w:r>
            <w:r>
              <w:rPr>
                <w:noProof/>
                <w:webHidden/>
              </w:rPr>
              <w:fldChar w:fldCharType="begin"/>
            </w:r>
            <w:r>
              <w:rPr>
                <w:noProof/>
                <w:webHidden/>
              </w:rPr>
              <w:instrText xml:space="preserve"> PAGEREF _Toc234948142 \h </w:instrText>
            </w:r>
            <w:r>
              <w:rPr>
                <w:noProof/>
                <w:webHidden/>
              </w:rPr>
            </w:r>
            <w:r>
              <w:rPr>
                <w:noProof/>
                <w:webHidden/>
              </w:rPr>
              <w:fldChar w:fldCharType="separate"/>
            </w:r>
            <w:r w:rsidR="004C4AD3">
              <w:rPr>
                <w:noProof/>
                <w:webHidden/>
              </w:rPr>
              <w:t>7</w:t>
            </w:r>
            <w:r>
              <w:rPr>
                <w:noProof/>
                <w:webHidden/>
              </w:rPr>
              <w:fldChar w:fldCharType="end"/>
            </w:r>
          </w:hyperlink>
        </w:p>
        <w:p w14:paraId="75B5B7B5" w14:textId="083F970E"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43" w:history="1">
            <w:r w:rsidRPr="001847B0">
              <w:rPr>
                <w:rStyle w:val="Hyperlink"/>
                <w:noProof/>
              </w:rPr>
              <w:t>1.1 Task/ System Description</w:t>
            </w:r>
            <w:r>
              <w:rPr>
                <w:noProof/>
                <w:webHidden/>
              </w:rPr>
              <w:tab/>
            </w:r>
            <w:r>
              <w:rPr>
                <w:noProof/>
                <w:webHidden/>
              </w:rPr>
              <w:fldChar w:fldCharType="begin"/>
            </w:r>
            <w:r>
              <w:rPr>
                <w:noProof/>
                <w:webHidden/>
              </w:rPr>
              <w:instrText xml:space="preserve"> PAGEREF _Toc234948143 \h </w:instrText>
            </w:r>
            <w:r>
              <w:rPr>
                <w:noProof/>
                <w:webHidden/>
              </w:rPr>
            </w:r>
            <w:r>
              <w:rPr>
                <w:noProof/>
                <w:webHidden/>
              </w:rPr>
              <w:fldChar w:fldCharType="separate"/>
            </w:r>
            <w:r w:rsidR="004C4AD3">
              <w:rPr>
                <w:noProof/>
                <w:webHidden/>
              </w:rPr>
              <w:t>7</w:t>
            </w:r>
            <w:r>
              <w:rPr>
                <w:noProof/>
                <w:webHidden/>
              </w:rPr>
              <w:fldChar w:fldCharType="end"/>
            </w:r>
          </w:hyperlink>
        </w:p>
        <w:p w14:paraId="57559243" w14:textId="38B43FA8"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44" w:history="1">
            <w:r w:rsidRPr="001847B0">
              <w:rPr>
                <w:rStyle w:val="Hyperlink"/>
                <w:noProof/>
              </w:rPr>
              <w:t>1.2 Scope and Assumptions</w:t>
            </w:r>
            <w:r>
              <w:rPr>
                <w:noProof/>
                <w:webHidden/>
              </w:rPr>
              <w:tab/>
            </w:r>
            <w:r>
              <w:rPr>
                <w:noProof/>
                <w:webHidden/>
              </w:rPr>
              <w:fldChar w:fldCharType="begin"/>
            </w:r>
            <w:r>
              <w:rPr>
                <w:noProof/>
                <w:webHidden/>
              </w:rPr>
              <w:instrText xml:space="preserve"> PAGEREF _Toc234948144 \h </w:instrText>
            </w:r>
            <w:r>
              <w:rPr>
                <w:noProof/>
                <w:webHidden/>
              </w:rPr>
            </w:r>
            <w:r>
              <w:rPr>
                <w:noProof/>
                <w:webHidden/>
              </w:rPr>
              <w:fldChar w:fldCharType="separate"/>
            </w:r>
            <w:r w:rsidR="004C4AD3">
              <w:rPr>
                <w:noProof/>
                <w:webHidden/>
              </w:rPr>
              <w:t>7</w:t>
            </w:r>
            <w:r>
              <w:rPr>
                <w:noProof/>
                <w:webHidden/>
              </w:rPr>
              <w:fldChar w:fldCharType="end"/>
            </w:r>
          </w:hyperlink>
        </w:p>
        <w:p w14:paraId="08D909C2" w14:textId="3394FC96"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45" w:history="1">
            <w:r w:rsidRPr="001847B0">
              <w:rPr>
                <w:rStyle w:val="Hyperlink"/>
                <w:noProof/>
              </w:rPr>
              <w:t>1.3 Risk Assessment Method</w:t>
            </w:r>
            <w:r>
              <w:rPr>
                <w:noProof/>
                <w:webHidden/>
              </w:rPr>
              <w:tab/>
            </w:r>
            <w:r>
              <w:rPr>
                <w:noProof/>
                <w:webHidden/>
              </w:rPr>
              <w:fldChar w:fldCharType="begin"/>
            </w:r>
            <w:r>
              <w:rPr>
                <w:noProof/>
                <w:webHidden/>
              </w:rPr>
              <w:instrText xml:space="preserve"> PAGEREF _Toc234948145 \h </w:instrText>
            </w:r>
            <w:r>
              <w:rPr>
                <w:noProof/>
                <w:webHidden/>
              </w:rPr>
            </w:r>
            <w:r>
              <w:rPr>
                <w:noProof/>
                <w:webHidden/>
              </w:rPr>
              <w:fldChar w:fldCharType="separate"/>
            </w:r>
            <w:r w:rsidR="004C4AD3">
              <w:rPr>
                <w:noProof/>
                <w:webHidden/>
              </w:rPr>
              <w:t>8</w:t>
            </w:r>
            <w:r>
              <w:rPr>
                <w:noProof/>
                <w:webHidden/>
              </w:rPr>
              <w:fldChar w:fldCharType="end"/>
            </w:r>
          </w:hyperlink>
        </w:p>
        <w:p w14:paraId="0957FCCB" w14:textId="3395DAC8" w:rsidR="00F622D6" w:rsidRDefault="00F622D6">
          <w:pPr>
            <w:pStyle w:val="TOC3"/>
            <w:tabs>
              <w:tab w:val="right" w:leader="dot" w:pos="9736"/>
            </w:tabs>
            <w:rPr>
              <w:rFonts w:eastAsiaTheme="minorEastAsia" w:cstheme="minorBidi"/>
              <w:i w:val="0"/>
              <w:iCs w:val="0"/>
              <w:noProof/>
              <w:kern w:val="2"/>
              <w:sz w:val="24"/>
              <w:szCs w:val="24"/>
              <w:lang w:eastAsia="en-GB"/>
              <w14:ligatures w14:val="standardContextual"/>
            </w:rPr>
          </w:pPr>
          <w:hyperlink w:anchor="_Toc234948146" w:history="1">
            <w:r w:rsidRPr="001847B0">
              <w:rPr>
                <w:rStyle w:val="Hyperlink"/>
                <w:noProof/>
                <w:lang w:eastAsia="en-GB"/>
              </w:rPr>
              <w:t>Likelihood Categories:</w:t>
            </w:r>
            <w:r>
              <w:rPr>
                <w:noProof/>
                <w:webHidden/>
              </w:rPr>
              <w:tab/>
            </w:r>
            <w:r>
              <w:rPr>
                <w:noProof/>
                <w:webHidden/>
              </w:rPr>
              <w:fldChar w:fldCharType="begin"/>
            </w:r>
            <w:r>
              <w:rPr>
                <w:noProof/>
                <w:webHidden/>
              </w:rPr>
              <w:instrText xml:space="preserve"> PAGEREF _Toc234948146 \h </w:instrText>
            </w:r>
            <w:r>
              <w:rPr>
                <w:noProof/>
                <w:webHidden/>
              </w:rPr>
            </w:r>
            <w:r>
              <w:rPr>
                <w:noProof/>
                <w:webHidden/>
              </w:rPr>
              <w:fldChar w:fldCharType="separate"/>
            </w:r>
            <w:r w:rsidR="004C4AD3">
              <w:rPr>
                <w:noProof/>
                <w:webHidden/>
              </w:rPr>
              <w:t>8</w:t>
            </w:r>
            <w:r>
              <w:rPr>
                <w:noProof/>
                <w:webHidden/>
              </w:rPr>
              <w:fldChar w:fldCharType="end"/>
            </w:r>
          </w:hyperlink>
        </w:p>
        <w:p w14:paraId="0F89BCC2" w14:textId="1BE1DFEB" w:rsidR="00F622D6" w:rsidRDefault="00F622D6">
          <w:pPr>
            <w:pStyle w:val="TOC3"/>
            <w:tabs>
              <w:tab w:val="right" w:leader="dot" w:pos="9736"/>
            </w:tabs>
            <w:rPr>
              <w:rFonts w:eastAsiaTheme="minorEastAsia" w:cstheme="minorBidi"/>
              <w:i w:val="0"/>
              <w:iCs w:val="0"/>
              <w:noProof/>
              <w:kern w:val="2"/>
              <w:sz w:val="24"/>
              <w:szCs w:val="24"/>
              <w:lang w:eastAsia="en-GB"/>
              <w14:ligatures w14:val="standardContextual"/>
            </w:rPr>
          </w:pPr>
          <w:hyperlink w:anchor="_Toc234948147" w:history="1">
            <w:r w:rsidRPr="001847B0">
              <w:rPr>
                <w:rStyle w:val="Hyperlink"/>
                <w:noProof/>
                <w:lang w:eastAsia="en-GB"/>
              </w:rPr>
              <w:t>Risk Class:</w:t>
            </w:r>
            <w:r>
              <w:rPr>
                <w:noProof/>
                <w:webHidden/>
              </w:rPr>
              <w:tab/>
            </w:r>
            <w:r>
              <w:rPr>
                <w:noProof/>
                <w:webHidden/>
              </w:rPr>
              <w:fldChar w:fldCharType="begin"/>
            </w:r>
            <w:r>
              <w:rPr>
                <w:noProof/>
                <w:webHidden/>
              </w:rPr>
              <w:instrText xml:space="preserve"> PAGEREF _Toc234948147 \h </w:instrText>
            </w:r>
            <w:r>
              <w:rPr>
                <w:noProof/>
                <w:webHidden/>
              </w:rPr>
            </w:r>
            <w:r>
              <w:rPr>
                <w:noProof/>
                <w:webHidden/>
              </w:rPr>
              <w:fldChar w:fldCharType="separate"/>
            </w:r>
            <w:r w:rsidR="004C4AD3">
              <w:rPr>
                <w:noProof/>
                <w:webHidden/>
              </w:rPr>
              <w:t>8</w:t>
            </w:r>
            <w:r>
              <w:rPr>
                <w:noProof/>
                <w:webHidden/>
              </w:rPr>
              <w:fldChar w:fldCharType="end"/>
            </w:r>
          </w:hyperlink>
        </w:p>
        <w:p w14:paraId="321B1D1E" w14:textId="1F74ADB2"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48" w:history="1">
            <w:r w:rsidRPr="001847B0">
              <w:rPr>
                <w:rStyle w:val="Hyperlink"/>
                <w:noProof/>
              </w:rPr>
              <w:t>1.4 Hazard Identification</w:t>
            </w:r>
            <w:r>
              <w:rPr>
                <w:noProof/>
                <w:webHidden/>
              </w:rPr>
              <w:tab/>
            </w:r>
            <w:r>
              <w:rPr>
                <w:noProof/>
                <w:webHidden/>
              </w:rPr>
              <w:fldChar w:fldCharType="begin"/>
            </w:r>
            <w:r>
              <w:rPr>
                <w:noProof/>
                <w:webHidden/>
              </w:rPr>
              <w:instrText xml:space="preserve"> PAGEREF _Toc234948148 \h </w:instrText>
            </w:r>
            <w:r>
              <w:rPr>
                <w:noProof/>
                <w:webHidden/>
              </w:rPr>
            </w:r>
            <w:r>
              <w:rPr>
                <w:noProof/>
                <w:webHidden/>
              </w:rPr>
              <w:fldChar w:fldCharType="separate"/>
            </w:r>
            <w:r w:rsidR="004C4AD3">
              <w:rPr>
                <w:noProof/>
                <w:webHidden/>
              </w:rPr>
              <w:t>9</w:t>
            </w:r>
            <w:r>
              <w:rPr>
                <w:noProof/>
                <w:webHidden/>
              </w:rPr>
              <w:fldChar w:fldCharType="end"/>
            </w:r>
          </w:hyperlink>
        </w:p>
        <w:p w14:paraId="5538DC0B" w14:textId="3CBDCBAD"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49" w:history="1">
            <w:r w:rsidRPr="001847B0">
              <w:rPr>
                <w:rStyle w:val="Hyperlink"/>
                <w:noProof/>
              </w:rPr>
              <w:t>1.5 Risk Assessment</w:t>
            </w:r>
            <w:r>
              <w:rPr>
                <w:noProof/>
                <w:webHidden/>
              </w:rPr>
              <w:tab/>
            </w:r>
            <w:r>
              <w:rPr>
                <w:noProof/>
                <w:webHidden/>
              </w:rPr>
              <w:fldChar w:fldCharType="begin"/>
            </w:r>
            <w:r>
              <w:rPr>
                <w:noProof/>
                <w:webHidden/>
              </w:rPr>
              <w:instrText xml:space="preserve"> PAGEREF _Toc234948149 \h </w:instrText>
            </w:r>
            <w:r>
              <w:rPr>
                <w:noProof/>
                <w:webHidden/>
              </w:rPr>
            </w:r>
            <w:r>
              <w:rPr>
                <w:noProof/>
                <w:webHidden/>
              </w:rPr>
              <w:fldChar w:fldCharType="separate"/>
            </w:r>
            <w:r w:rsidR="004C4AD3">
              <w:rPr>
                <w:noProof/>
                <w:webHidden/>
              </w:rPr>
              <w:t>10</w:t>
            </w:r>
            <w:r>
              <w:rPr>
                <w:noProof/>
                <w:webHidden/>
              </w:rPr>
              <w:fldChar w:fldCharType="end"/>
            </w:r>
          </w:hyperlink>
        </w:p>
        <w:p w14:paraId="015E6B2A" w14:textId="00842B98" w:rsidR="00F622D6" w:rsidRDefault="00F622D6">
          <w:pPr>
            <w:pStyle w:val="TOC3"/>
            <w:tabs>
              <w:tab w:val="right" w:leader="dot" w:pos="9736"/>
            </w:tabs>
            <w:rPr>
              <w:rFonts w:eastAsiaTheme="minorEastAsia" w:cstheme="minorBidi"/>
              <w:i w:val="0"/>
              <w:iCs w:val="0"/>
              <w:noProof/>
              <w:kern w:val="2"/>
              <w:sz w:val="24"/>
              <w:szCs w:val="24"/>
              <w:lang w:eastAsia="en-GB"/>
              <w14:ligatures w14:val="standardContextual"/>
            </w:rPr>
          </w:pPr>
          <w:hyperlink w:anchor="_Toc234948150" w:history="1">
            <w:r w:rsidRPr="001847B0">
              <w:rPr>
                <w:rStyle w:val="Hyperlink"/>
                <w:noProof/>
              </w:rPr>
              <w:t>1.5.1 Pre-Control Risk Assessment</w:t>
            </w:r>
            <w:r>
              <w:rPr>
                <w:noProof/>
                <w:webHidden/>
              </w:rPr>
              <w:tab/>
            </w:r>
            <w:r>
              <w:rPr>
                <w:noProof/>
                <w:webHidden/>
              </w:rPr>
              <w:fldChar w:fldCharType="begin"/>
            </w:r>
            <w:r>
              <w:rPr>
                <w:noProof/>
                <w:webHidden/>
              </w:rPr>
              <w:instrText xml:space="preserve"> PAGEREF _Toc234948150 \h </w:instrText>
            </w:r>
            <w:r>
              <w:rPr>
                <w:noProof/>
                <w:webHidden/>
              </w:rPr>
            </w:r>
            <w:r>
              <w:rPr>
                <w:noProof/>
                <w:webHidden/>
              </w:rPr>
              <w:fldChar w:fldCharType="separate"/>
            </w:r>
            <w:r w:rsidR="004C4AD3">
              <w:rPr>
                <w:noProof/>
                <w:webHidden/>
              </w:rPr>
              <w:t>10</w:t>
            </w:r>
            <w:r>
              <w:rPr>
                <w:noProof/>
                <w:webHidden/>
              </w:rPr>
              <w:fldChar w:fldCharType="end"/>
            </w:r>
          </w:hyperlink>
        </w:p>
        <w:p w14:paraId="1E41E395" w14:textId="4AE81C22" w:rsidR="00F622D6" w:rsidRDefault="00F622D6">
          <w:pPr>
            <w:pStyle w:val="TOC3"/>
            <w:tabs>
              <w:tab w:val="right" w:leader="dot" w:pos="9736"/>
            </w:tabs>
            <w:rPr>
              <w:rFonts w:eastAsiaTheme="minorEastAsia" w:cstheme="minorBidi"/>
              <w:i w:val="0"/>
              <w:iCs w:val="0"/>
              <w:noProof/>
              <w:kern w:val="2"/>
              <w:sz w:val="24"/>
              <w:szCs w:val="24"/>
              <w:lang w:eastAsia="en-GB"/>
              <w14:ligatures w14:val="standardContextual"/>
            </w:rPr>
          </w:pPr>
          <w:hyperlink w:anchor="_Toc234948151" w:history="1">
            <w:r w:rsidRPr="001847B0">
              <w:rPr>
                <w:rStyle w:val="Hyperlink"/>
                <w:noProof/>
              </w:rPr>
              <w:t>1.5.2 Controls, Mitigations and Post-Control Risk Assessment</w:t>
            </w:r>
            <w:r>
              <w:rPr>
                <w:noProof/>
                <w:webHidden/>
              </w:rPr>
              <w:tab/>
            </w:r>
            <w:r>
              <w:rPr>
                <w:noProof/>
                <w:webHidden/>
              </w:rPr>
              <w:fldChar w:fldCharType="begin"/>
            </w:r>
            <w:r>
              <w:rPr>
                <w:noProof/>
                <w:webHidden/>
              </w:rPr>
              <w:instrText xml:space="preserve"> PAGEREF _Toc234948151 \h </w:instrText>
            </w:r>
            <w:r>
              <w:rPr>
                <w:noProof/>
                <w:webHidden/>
              </w:rPr>
            </w:r>
            <w:r>
              <w:rPr>
                <w:noProof/>
                <w:webHidden/>
              </w:rPr>
              <w:fldChar w:fldCharType="separate"/>
            </w:r>
            <w:r w:rsidR="004C4AD3">
              <w:rPr>
                <w:noProof/>
                <w:webHidden/>
              </w:rPr>
              <w:t>11</w:t>
            </w:r>
            <w:r>
              <w:rPr>
                <w:noProof/>
                <w:webHidden/>
              </w:rPr>
              <w:fldChar w:fldCharType="end"/>
            </w:r>
          </w:hyperlink>
        </w:p>
        <w:p w14:paraId="60C47CE1" w14:textId="29164A81"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52" w:history="1">
            <w:r w:rsidRPr="001847B0">
              <w:rPr>
                <w:rStyle w:val="Hyperlink"/>
                <w:noProof/>
              </w:rPr>
              <w:t>1.6 Summary</w:t>
            </w:r>
            <w:r>
              <w:rPr>
                <w:noProof/>
                <w:webHidden/>
              </w:rPr>
              <w:tab/>
            </w:r>
            <w:r>
              <w:rPr>
                <w:noProof/>
                <w:webHidden/>
              </w:rPr>
              <w:fldChar w:fldCharType="begin"/>
            </w:r>
            <w:r>
              <w:rPr>
                <w:noProof/>
                <w:webHidden/>
              </w:rPr>
              <w:instrText xml:space="preserve"> PAGEREF _Toc234948152 \h </w:instrText>
            </w:r>
            <w:r>
              <w:rPr>
                <w:noProof/>
                <w:webHidden/>
              </w:rPr>
            </w:r>
            <w:r>
              <w:rPr>
                <w:noProof/>
                <w:webHidden/>
              </w:rPr>
              <w:fldChar w:fldCharType="separate"/>
            </w:r>
            <w:r w:rsidR="004C4AD3">
              <w:rPr>
                <w:noProof/>
                <w:webHidden/>
              </w:rPr>
              <w:t>12</w:t>
            </w:r>
            <w:r>
              <w:rPr>
                <w:noProof/>
                <w:webHidden/>
              </w:rPr>
              <w:fldChar w:fldCharType="end"/>
            </w:r>
          </w:hyperlink>
        </w:p>
        <w:p w14:paraId="6CF7C074" w14:textId="2695A02E" w:rsidR="00F622D6" w:rsidRDefault="00F622D6">
          <w:pPr>
            <w:pStyle w:val="TOC1"/>
            <w:tabs>
              <w:tab w:val="right" w:leader="dot" w:pos="9736"/>
            </w:tabs>
            <w:rPr>
              <w:rFonts w:eastAsiaTheme="minorEastAsia" w:cstheme="minorBidi"/>
              <w:b w:val="0"/>
              <w:bCs w:val="0"/>
              <w:caps w:val="0"/>
              <w:noProof/>
              <w:kern w:val="2"/>
              <w:sz w:val="24"/>
              <w:szCs w:val="24"/>
              <w:lang w:eastAsia="en-GB"/>
              <w14:ligatures w14:val="standardContextual"/>
            </w:rPr>
          </w:pPr>
          <w:hyperlink w:anchor="_Toc234948153" w:history="1">
            <w:r w:rsidRPr="001847B0">
              <w:rPr>
                <w:rStyle w:val="Hyperlink"/>
                <w:noProof/>
              </w:rPr>
              <w:t>2 ALARP Justification</w:t>
            </w:r>
            <w:r>
              <w:rPr>
                <w:noProof/>
                <w:webHidden/>
              </w:rPr>
              <w:tab/>
            </w:r>
            <w:r>
              <w:rPr>
                <w:noProof/>
                <w:webHidden/>
              </w:rPr>
              <w:fldChar w:fldCharType="begin"/>
            </w:r>
            <w:r>
              <w:rPr>
                <w:noProof/>
                <w:webHidden/>
              </w:rPr>
              <w:instrText xml:space="preserve"> PAGEREF _Toc234948153 \h </w:instrText>
            </w:r>
            <w:r>
              <w:rPr>
                <w:noProof/>
                <w:webHidden/>
              </w:rPr>
            </w:r>
            <w:r>
              <w:rPr>
                <w:noProof/>
                <w:webHidden/>
              </w:rPr>
              <w:fldChar w:fldCharType="separate"/>
            </w:r>
            <w:r w:rsidR="004C4AD3">
              <w:rPr>
                <w:noProof/>
                <w:webHidden/>
              </w:rPr>
              <w:t>13</w:t>
            </w:r>
            <w:r>
              <w:rPr>
                <w:noProof/>
                <w:webHidden/>
              </w:rPr>
              <w:fldChar w:fldCharType="end"/>
            </w:r>
          </w:hyperlink>
        </w:p>
        <w:p w14:paraId="779F1C45" w14:textId="011144ED"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54" w:history="1">
            <w:r w:rsidRPr="001847B0">
              <w:rPr>
                <w:rStyle w:val="Hyperlink"/>
                <w:noProof/>
              </w:rPr>
              <w:t>2.1 Electrical</w:t>
            </w:r>
            <w:r>
              <w:rPr>
                <w:noProof/>
                <w:webHidden/>
              </w:rPr>
              <w:tab/>
            </w:r>
            <w:r>
              <w:rPr>
                <w:noProof/>
                <w:webHidden/>
              </w:rPr>
              <w:fldChar w:fldCharType="begin"/>
            </w:r>
            <w:r>
              <w:rPr>
                <w:noProof/>
                <w:webHidden/>
              </w:rPr>
              <w:instrText xml:space="preserve"> PAGEREF _Toc234948154 \h </w:instrText>
            </w:r>
            <w:r>
              <w:rPr>
                <w:noProof/>
                <w:webHidden/>
              </w:rPr>
            </w:r>
            <w:r>
              <w:rPr>
                <w:noProof/>
                <w:webHidden/>
              </w:rPr>
              <w:fldChar w:fldCharType="separate"/>
            </w:r>
            <w:r w:rsidR="004C4AD3">
              <w:rPr>
                <w:noProof/>
                <w:webHidden/>
              </w:rPr>
              <w:t>13</w:t>
            </w:r>
            <w:r>
              <w:rPr>
                <w:noProof/>
                <w:webHidden/>
              </w:rPr>
              <w:fldChar w:fldCharType="end"/>
            </w:r>
          </w:hyperlink>
        </w:p>
        <w:p w14:paraId="2E0C861E" w14:textId="7573997F"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55" w:history="1">
            <w:r w:rsidRPr="001847B0">
              <w:rPr>
                <w:rStyle w:val="Hyperlink"/>
                <w:noProof/>
              </w:rPr>
              <w:t>2.2 Hazard Description</w:t>
            </w:r>
            <w:r>
              <w:rPr>
                <w:noProof/>
                <w:webHidden/>
              </w:rPr>
              <w:tab/>
            </w:r>
            <w:r>
              <w:rPr>
                <w:noProof/>
                <w:webHidden/>
              </w:rPr>
              <w:fldChar w:fldCharType="begin"/>
            </w:r>
            <w:r>
              <w:rPr>
                <w:noProof/>
                <w:webHidden/>
              </w:rPr>
              <w:instrText xml:space="preserve"> PAGEREF _Toc234948155 \h </w:instrText>
            </w:r>
            <w:r>
              <w:rPr>
                <w:noProof/>
                <w:webHidden/>
              </w:rPr>
            </w:r>
            <w:r>
              <w:rPr>
                <w:noProof/>
                <w:webHidden/>
              </w:rPr>
              <w:fldChar w:fldCharType="separate"/>
            </w:r>
            <w:r w:rsidR="004C4AD3">
              <w:rPr>
                <w:noProof/>
                <w:webHidden/>
              </w:rPr>
              <w:t>13</w:t>
            </w:r>
            <w:r>
              <w:rPr>
                <w:noProof/>
                <w:webHidden/>
              </w:rPr>
              <w:fldChar w:fldCharType="end"/>
            </w:r>
          </w:hyperlink>
        </w:p>
        <w:p w14:paraId="3181FAE6" w14:textId="6A98776D"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56" w:history="1">
            <w:r w:rsidRPr="001847B0">
              <w:rPr>
                <w:rStyle w:val="Hyperlink"/>
                <w:noProof/>
              </w:rPr>
              <w:t>2.3 Controls and Mitigations</w:t>
            </w:r>
            <w:r>
              <w:rPr>
                <w:noProof/>
                <w:webHidden/>
              </w:rPr>
              <w:tab/>
            </w:r>
            <w:r>
              <w:rPr>
                <w:noProof/>
                <w:webHidden/>
              </w:rPr>
              <w:fldChar w:fldCharType="begin"/>
            </w:r>
            <w:r>
              <w:rPr>
                <w:noProof/>
                <w:webHidden/>
              </w:rPr>
              <w:instrText xml:space="preserve"> PAGEREF _Toc234948156 \h </w:instrText>
            </w:r>
            <w:r>
              <w:rPr>
                <w:noProof/>
                <w:webHidden/>
              </w:rPr>
            </w:r>
            <w:r>
              <w:rPr>
                <w:noProof/>
                <w:webHidden/>
              </w:rPr>
              <w:fldChar w:fldCharType="separate"/>
            </w:r>
            <w:r w:rsidR="004C4AD3">
              <w:rPr>
                <w:noProof/>
                <w:webHidden/>
              </w:rPr>
              <w:t>13</w:t>
            </w:r>
            <w:r>
              <w:rPr>
                <w:noProof/>
                <w:webHidden/>
              </w:rPr>
              <w:fldChar w:fldCharType="end"/>
            </w:r>
          </w:hyperlink>
        </w:p>
        <w:p w14:paraId="628326C4" w14:textId="55AC4C10"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57" w:history="1">
            <w:r w:rsidRPr="001847B0">
              <w:rPr>
                <w:rStyle w:val="Hyperlink"/>
                <w:noProof/>
              </w:rPr>
              <w:t>2.4 Reasonably Practicable Assessment</w:t>
            </w:r>
            <w:r>
              <w:rPr>
                <w:noProof/>
                <w:webHidden/>
              </w:rPr>
              <w:tab/>
            </w:r>
            <w:r>
              <w:rPr>
                <w:noProof/>
                <w:webHidden/>
              </w:rPr>
              <w:fldChar w:fldCharType="begin"/>
            </w:r>
            <w:r>
              <w:rPr>
                <w:noProof/>
                <w:webHidden/>
              </w:rPr>
              <w:instrText xml:space="preserve"> PAGEREF _Toc234948157 \h </w:instrText>
            </w:r>
            <w:r>
              <w:rPr>
                <w:noProof/>
                <w:webHidden/>
              </w:rPr>
            </w:r>
            <w:r>
              <w:rPr>
                <w:noProof/>
                <w:webHidden/>
              </w:rPr>
              <w:fldChar w:fldCharType="separate"/>
            </w:r>
            <w:r w:rsidR="004C4AD3">
              <w:rPr>
                <w:noProof/>
                <w:webHidden/>
              </w:rPr>
              <w:t>14</w:t>
            </w:r>
            <w:r>
              <w:rPr>
                <w:noProof/>
                <w:webHidden/>
              </w:rPr>
              <w:fldChar w:fldCharType="end"/>
            </w:r>
          </w:hyperlink>
        </w:p>
        <w:p w14:paraId="5C73058B" w14:textId="62084956"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58" w:history="1">
            <w:r w:rsidRPr="001847B0">
              <w:rPr>
                <w:rStyle w:val="Hyperlink"/>
                <w:noProof/>
              </w:rPr>
              <w:t>2.5 Discounted Controls and Gross Disproportion</w:t>
            </w:r>
            <w:r>
              <w:rPr>
                <w:noProof/>
                <w:webHidden/>
              </w:rPr>
              <w:tab/>
            </w:r>
            <w:r>
              <w:rPr>
                <w:noProof/>
                <w:webHidden/>
              </w:rPr>
              <w:fldChar w:fldCharType="begin"/>
            </w:r>
            <w:r>
              <w:rPr>
                <w:noProof/>
                <w:webHidden/>
              </w:rPr>
              <w:instrText xml:space="preserve"> PAGEREF _Toc234948158 \h </w:instrText>
            </w:r>
            <w:r>
              <w:rPr>
                <w:noProof/>
                <w:webHidden/>
              </w:rPr>
            </w:r>
            <w:r>
              <w:rPr>
                <w:noProof/>
                <w:webHidden/>
              </w:rPr>
              <w:fldChar w:fldCharType="separate"/>
            </w:r>
            <w:r w:rsidR="004C4AD3">
              <w:rPr>
                <w:noProof/>
                <w:webHidden/>
              </w:rPr>
              <w:t>14</w:t>
            </w:r>
            <w:r>
              <w:rPr>
                <w:noProof/>
                <w:webHidden/>
              </w:rPr>
              <w:fldChar w:fldCharType="end"/>
            </w:r>
          </w:hyperlink>
        </w:p>
        <w:p w14:paraId="43A88541" w14:textId="533FACE7"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59" w:history="1">
            <w:r w:rsidRPr="001847B0">
              <w:rPr>
                <w:rStyle w:val="Hyperlink"/>
                <w:noProof/>
              </w:rPr>
              <w:t>2.6 Legislation and Good Practice</w:t>
            </w:r>
            <w:r>
              <w:rPr>
                <w:noProof/>
                <w:webHidden/>
              </w:rPr>
              <w:tab/>
            </w:r>
            <w:r>
              <w:rPr>
                <w:noProof/>
                <w:webHidden/>
              </w:rPr>
              <w:fldChar w:fldCharType="begin"/>
            </w:r>
            <w:r>
              <w:rPr>
                <w:noProof/>
                <w:webHidden/>
              </w:rPr>
              <w:instrText xml:space="preserve"> PAGEREF _Toc234948159 \h </w:instrText>
            </w:r>
            <w:r>
              <w:rPr>
                <w:noProof/>
                <w:webHidden/>
              </w:rPr>
            </w:r>
            <w:r>
              <w:rPr>
                <w:noProof/>
                <w:webHidden/>
              </w:rPr>
              <w:fldChar w:fldCharType="separate"/>
            </w:r>
            <w:r w:rsidR="004C4AD3">
              <w:rPr>
                <w:noProof/>
                <w:webHidden/>
              </w:rPr>
              <w:t>14</w:t>
            </w:r>
            <w:r>
              <w:rPr>
                <w:noProof/>
                <w:webHidden/>
              </w:rPr>
              <w:fldChar w:fldCharType="end"/>
            </w:r>
          </w:hyperlink>
        </w:p>
        <w:p w14:paraId="330CEDB3" w14:textId="3BFA94E8"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60" w:history="1">
            <w:r w:rsidRPr="001847B0">
              <w:rPr>
                <w:rStyle w:val="Hyperlink"/>
                <w:noProof/>
              </w:rPr>
              <w:t>2.7 Maintaining ALARP in Future</w:t>
            </w:r>
            <w:r>
              <w:rPr>
                <w:noProof/>
                <w:webHidden/>
              </w:rPr>
              <w:tab/>
            </w:r>
            <w:r>
              <w:rPr>
                <w:noProof/>
                <w:webHidden/>
              </w:rPr>
              <w:fldChar w:fldCharType="begin"/>
            </w:r>
            <w:r>
              <w:rPr>
                <w:noProof/>
                <w:webHidden/>
              </w:rPr>
              <w:instrText xml:space="preserve"> PAGEREF _Toc234948160 \h </w:instrText>
            </w:r>
            <w:r>
              <w:rPr>
                <w:noProof/>
                <w:webHidden/>
              </w:rPr>
            </w:r>
            <w:r>
              <w:rPr>
                <w:noProof/>
                <w:webHidden/>
              </w:rPr>
              <w:fldChar w:fldCharType="separate"/>
            </w:r>
            <w:r w:rsidR="004C4AD3">
              <w:rPr>
                <w:noProof/>
                <w:webHidden/>
              </w:rPr>
              <w:t>15</w:t>
            </w:r>
            <w:r>
              <w:rPr>
                <w:noProof/>
                <w:webHidden/>
              </w:rPr>
              <w:fldChar w:fldCharType="end"/>
            </w:r>
          </w:hyperlink>
        </w:p>
        <w:p w14:paraId="1207B2C3" w14:textId="0D057145" w:rsidR="00F622D6" w:rsidRDefault="00F622D6">
          <w:pPr>
            <w:pStyle w:val="TOC2"/>
            <w:tabs>
              <w:tab w:val="right" w:leader="dot" w:pos="9736"/>
            </w:tabs>
            <w:rPr>
              <w:rFonts w:eastAsiaTheme="minorEastAsia" w:cstheme="minorBidi"/>
              <w:smallCaps w:val="0"/>
              <w:noProof/>
              <w:kern w:val="2"/>
              <w:sz w:val="24"/>
              <w:szCs w:val="24"/>
              <w:lang w:eastAsia="en-GB"/>
              <w14:ligatures w14:val="standardContextual"/>
            </w:rPr>
          </w:pPr>
          <w:hyperlink w:anchor="_Toc234948161" w:history="1">
            <w:r w:rsidRPr="001847B0">
              <w:rPr>
                <w:rStyle w:val="Hyperlink"/>
                <w:noProof/>
              </w:rPr>
              <w:t>2.8 Conclusion</w:t>
            </w:r>
            <w:r>
              <w:rPr>
                <w:noProof/>
                <w:webHidden/>
              </w:rPr>
              <w:tab/>
            </w:r>
            <w:r>
              <w:rPr>
                <w:noProof/>
                <w:webHidden/>
              </w:rPr>
              <w:fldChar w:fldCharType="begin"/>
            </w:r>
            <w:r>
              <w:rPr>
                <w:noProof/>
                <w:webHidden/>
              </w:rPr>
              <w:instrText xml:space="preserve"> PAGEREF _Toc234948161 \h </w:instrText>
            </w:r>
            <w:r>
              <w:rPr>
                <w:noProof/>
                <w:webHidden/>
              </w:rPr>
            </w:r>
            <w:r>
              <w:rPr>
                <w:noProof/>
                <w:webHidden/>
              </w:rPr>
              <w:fldChar w:fldCharType="separate"/>
            </w:r>
            <w:r w:rsidR="004C4AD3">
              <w:rPr>
                <w:noProof/>
                <w:webHidden/>
              </w:rPr>
              <w:t>15</w:t>
            </w:r>
            <w:r>
              <w:rPr>
                <w:noProof/>
                <w:webHidden/>
              </w:rPr>
              <w:fldChar w:fldCharType="end"/>
            </w:r>
          </w:hyperlink>
        </w:p>
        <w:p w14:paraId="4C61A84C" w14:textId="69C90B83" w:rsidR="00F622D6" w:rsidRDefault="00F622D6">
          <w:pPr>
            <w:pStyle w:val="TOC1"/>
            <w:tabs>
              <w:tab w:val="right" w:leader="dot" w:pos="9736"/>
            </w:tabs>
            <w:rPr>
              <w:rFonts w:eastAsiaTheme="minorEastAsia" w:cstheme="minorBidi"/>
              <w:b w:val="0"/>
              <w:bCs w:val="0"/>
              <w:caps w:val="0"/>
              <w:noProof/>
              <w:kern w:val="2"/>
              <w:sz w:val="24"/>
              <w:szCs w:val="24"/>
              <w:lang w:eastAsia="en-GB"/>
              <w14:ligatures w14:val="standardContextual"/>
            </w:rPr>
          </w:pPr>
          <w:hyperlink w:anchor="_Toc234948162" w:history="1">
            <w:r w:rsidRPr="001847B0">
              <w:rPr>
                <w:rStyle w:val="Hyperlink"/>
                <w:noProof/>
              </w:rPr>
              <w:t>3 References</w:t>
            </w:r>
            <w:r>
              <w:rPr>
                <w:noProof/>
                <w:webHidden/>
              </w:rPr>
              <w:tab/>
            </w:r>
            <w:r>
              <w:rPr>
                <w:noProof/>
                <w:webHidden/>
              </w:rPr>
              <w:fldChar w:fldCharType="begin"/>
            </w:r>
            <w:r>
              <w:rPr>
                <w:noProof/>
                <w:webHidden/>
              </w:rPr>
              <w:instrText xml:space="preserve"> PAGEREF _Toc234948162 \h </w:instrText>
            </w:r>
            <w:r>
              <w:rPr>
                <w:noProof/>
                <w:webHidden/>
              </w:rPr>
            </w:r>
            <w:r>
              <w:rPr>
                <w:noProof/>
                <w:webHidden/>
              </w:rPr>
              <w:fldChar w:fldCharType="separate"/>
            </w:r>
            <w:r w:rsidR="004C4AD3">
              <w:rPr>
                <w:noProof/>
                <w:webHidden/>
              </w:rPr>
              <w:t>16</w:t>
            </w:r>
            <w:r>
              <w:rPr>
                <w:noProof/>
                <w:webHidden/>
              </w:rPr>
              <w:fldChar w:fldCharType="end"/>
            </w:r>
          </w:hyperlink>
        </w:p>
        <w:p w14:paraId="10B01D0F" w14:textId="5982540F" w:rsidR="00B206AE" w:rsidRPr="008149BB" w:rsidRDefault="009F0395" w:rsidP="008149BB">
          <w:r>
            <w:rPr>
              <w:b/>
              <w:bCs/>
              <w:noProof/>
            </w:rPr>
            <w:fldChar w:fldCharType="end"/>
          </w:r>
        </w:p>
      </w:sdtContent>
    </w:sdt>
    <w:p w14:paraId="27A448D1" w14:textId="77777777" w:rsidR="00F622D6" w:rsidRDefault="00F622D6" w:rsidP="00DA28B2">
      <w:pPr>
        <w:pStyle w:val="Heading1"/>
        <w:numPr>
          <w:ilvl w:val="0"/>
          <w:numId w:val="0"/>
        </w:numPr>
        <w:rPr>
          <w:sz w:val="28"/>
          <w:szCs w:val="28"/>
        </w:rPr>
      </w:pPr>
      <w:bookmarkStart w:id="20" w:name="_Toc234948139"/>
    </w:p>
    <w:p w14:paraId="64694CE6" w14:textId="77777777" w:rsidR="00F622D6" w:rsidRDefault="00F622D6">
      <w:pPr>
        <w:spacing w:before="0" w:after="200" w:line="276" w:lineRule="auto"/>
        <w:jc w:val="left"/>
        <w:rPr>
          <w:rFonts w:cs="Arial"/>
          <w:b/>
          <w:bCs/>
          <w:kern w:val="32"/>
          <w:sz w:val="28"/>
          <w:szCs w:val="28"/>
        </w:rPr>
      </w:pPr>
      <w:r>
        <w:rPr>
          <w:sz w:val="28"/>
          <w:szCs w:val="28"/>
        </w:rPr>
        <w:br w:type="page"/>
      </w:r>
    </w:p>
    <w:p w14:paraId="77601812" w14:textId="4B06F171" w:rsidR="00DA28B2" w:rsidRPr="009323BE" w:rsidRDefault="005E3ACA" w:rsidP="00DA28B2">
      <w:pPr>
        <w:pStyle w:val="Heading1"/>
        <w:numPr>
          <w:ilvl w:val="0"/>
          <w:numId w:val="0"/>
        </w:numPr>
        <w:rPr>
          <w:sz w:val="28"/>
          <w:szCs w:val="28"/>
        </w:rPr>
      </w:pPr>
      <w:r w:rsidRPr="009323BE">
        <w:rPr>
          <w:sz w:val="28"/>
          <w:szCs w:val="28"/>
        </w:rPr>
        <w:lastRenderedPageBreak/>
        <w:t xml:space="preserve">List of </w:t>
      </w:r>
      <w:r w:rsidR="004C2C9C" w:rsidRPr="009323BE">
        <w:rPr>
          <w:sz w:val="28"/>
          <w:szCs w:val="28"/>
        </w:rPr>
        <w:t>F</w:t>
      </w:r>
      <w:r w:rsidRPr="009323BE">
        <w:rPr>
          <w:sz w:val="28"/>
          <w:szCs w:val="28"/>
        </w:rPr>
        <w:t>igures</w:t>
      </w:r>
      <w:bookmarkEnd w:id="19"/>
      <w:bookmarkEnd w:id="18"/>
      <w:bookmarkEnd w:id="17"/>
      <w:bookmarkEnd w:id="16"/>
      <w:bookmarkEnd w:id="15"/>
      <w:bookmarkEnd w:id="14"/>
      <w:bookmarkEnd w:id="13"/>
      <w:bookmarkEnd w:id="12"/>
      <w:bookmarkEnd w:id="11"/>
      <w:bookmarkEnd w:id="20"/>
      <w:r w:rsidR="00B206AE" w:rsidRPr="009323BE">
        <w:rPr>
          <w:sz w:val="28"/>
          <w:szCs w:val="28"/>
        </w:rPr>
        <w:fldChar w:fldCharType="begin"/>
      </w:r>
      <w:r w:rsidR="00B206AE" w:rsidRPr="009323BE">
        <w:rPr>
          <w:sz w:val="28"/>
          <w:szCs w:val="28"/>
        </w:rPr>
        <w:instrText xml:space="preserve"> TOC \h \z \c "Figure" </w:instrText>
      </w:r>
      <w:r w:rsidR="00000000" w:rsidRPr="009323BE">
        <w:rPr>
          <w:sz w:val="28"/>
          <w:szCs w:val="28"/>
        </w:rPr>
        <w:fldChar w:fldCharType="separate"/>
      </w:r>
      <w:r w:rsidR="00B206AE" w:rsidRPr="009323BE">
        <w:rPr>
          <w:sz w:val="28"/>
          <w:szCs w:val="28"/>
        </w:rPr>
        <w:fldChar w:fldCharType="end"/>
      </w:r>
    </w:p>
    <w:tbl>
      <w:tblPr>
        <w:tblStyle w:val="TableGrid"/>
        <w:tblW w:w="0" w:type="auto"/>
        <w:jc w:val="center"/>
        <w:tblLook w:val="04A0" w:firstRow="1" w:lastRow="0" w:firstColumn="1" w:lastColumn="0" w:noHBand="0" w:noVBand="1"/>
      </w:tblPr>
      <w:tblGrid>
        <w:gridCol w:w="1271"/>
        <w:gridCol w:w="5812"/>
        <w:gridCol w:w="1411"/>
      </w:tblGrid>
      <w:tr w:rsidR="00674FAF" w:rsidRPr="00306DFA" w14:paraId="3B178FD0" w14:textId="77777777" w:rsidTr="009323BE">
        <w:trPr>
          <w:jc w:val="center"/>
        </w:trPr>
        <w:tc>
          <w:tcPr>
            <w:tcW w:w="1271" w:type="dxa"/>
          </w:tcPr>
          <w:p w14:paraId="36FD5DE9" w14:textId="0B8B4D43" w:rsidR="00674FAF" w:rsidRPr="00306DFA" w:rsidRDefault="00674FAF" w:rsidP="00674FAF">
            <w:pPr>
              <w:jc w:val="center"/>
              <w:rPr>
                <w:rFonts w:cs="Arial"/>
                <w:b/>
                <w:bCs/>
                <w:sz w:val="20"/>
                <w:szCs w:val="20"/>
              </w:rPr>
            </w:pPr>
            <w:bookmarkStart w:id="21" w:name="_Toc51833373"/>
            <w:r w:rsidRPr="00306DFA">
              <w:rPr>
                <w:rFonts w:cs="Arial"/>
                <w:b/>
                <w:bCs/>
                <w:sz w:val="20"/>
                <w:szCs w:val="20"/>
              </w:rPr>
              <w:t>Figure</w:t>
            </w:r>
          </w:p>
        </w:tc>
        <w:tc>
          <w:tcPr>
            <w:tcW w:w="5812" w:type="dxa"/>
          </w:tcPr>
          <w:p w14:paraId="31088E75" w14:textId="43CF186B" w:rsidR="00674FAF" w:rsidRPr="00306DFA" w:rsidRDefault="00674FAF" w:rsidP="00674FAF">
            <w:pPr>
              <w:jc w:val="center"/>
              <w:rPr>
                <w:rFonts w:cs="Arial"/>
                <w:b/>
                <w:bCs/>
                <w:sz w:val="20"/>
                <w:szCs w:val="20"/>
              </w:rPr>
            </w:pPr>
            <w:r w:rsidRPr="00306DFA">
              <w:rPr>
                <w:rFonts w:cs="Arial"/>
                <w:b/>
                <w:bCs/>
                <w:sz w:val="20"/>
                <w:szCs w:val="20"/>
              </w:rPr>
              <w:t xml:space="preserve">Description </w:t>
            </w:r>
          </w:p>
        </w:tc>
        <w:tc>
          <w:tcPr>
            <w:tcW w:w="1411" w:type="dxa"/>
          </w:tcPr>
          <w:p w14:paraId="304DFE0A" w14:textId="546A07B2" w:rsidR="00674FAF" w:rsidRPr="00306DFA" w:rsidRDefault="00674FAF" w:rsidP="00674FAF">
            <w:pPr>
              <w:jc w:val="center"/>
              <w:rPr>
                <w:rFonts w:cs="Arial"/>
                <w:b/>
                <w:bCs/>
                <w:sz w:val="20"/>
                <w:szCs w:val="20"/>
              </w:rPr>
            </w:pPr>
            <w:r w:rsidRPr="00306DFA">
              <w:rPr>
                <w:rFonts w:cs="Arial"/>
                <w:b/>
                <w:bCs/>
                <w:sz w:val="20"/>
                <w:szCs w:val="20"/>
              </w:rPr>
              <w:t>Page</w:t>
            </w:r>
          </w:p>
        </w:tc>
      </w:tr>
      <w:tr w:rsidR="00DB1C19" w:rsidRPr="00306DFA" w14:paraId="1AC6A9DB" w14:textId="77777777" w:rsidTr="009323BE">
        <w:trPr>
          <w:jc w:val="center"/>
        </w:trPr>
        <w:tc>
          <w:tcPr>
            <w:tcW w:w="1271" w:type="dxa"/>
          </w:tcPr>
          <w:p w14:paraId="3BFBE720" w14:textId="36F90917" w:rsidR="00DB1C19" w:rsidRPr="009323BE" w:rsidRDefault="009323BE" w:rsidP="00674FAF">
            <w:pPr>
              <w:jc w:val="center"/>
              <w:rPr>
                <w:rFonts w:cs="Arial"/>
                <w:sz w:val="20"/>
                <w:szCs w:val="20"/>
              </w:rPr>
            </w:pPr>
            <w:r w:rsidRPr="009323BE">
              <w:rPr>
                <w:rFonts w:cs="Arial"/>
                <w:sz w:val="20"/>
                <w:szCs w:val="20"/>
              </w:rPr>
              <w:t>1</w:t>
            </w:r>
          </w:p>
        </w:tc>
        <w:tc>
          <w:tcPr>
            <w:tcW w:w="5812" w:type="dxa"/>
          </w:tcPr>
          <w:p w14:paraId="49DE9243" w14:textId="3F0B4033" w:rsidR="00DB1C19" w:rsidRPr="009323BE" w:rsidRDefault="009323BE" w:rsidP="009323BE">
            <w:pPr>
              <w:jc w:val="left"/>
              <w:rPr>
                <w:rFonts w:cs="Arial"/>
                <w:sz w:val="20"/>
                <w:szCs w:val="20"/>
              </w:rPr>
            </w:pPr>
            <w:r w:rsidRPr="009323BE">
              <w:rPr>
                <w:rFonts w:cs="Arial"/>
                <w:sz w:val="20"/>
                <w:szCs w:val="20"/>
              </w:rPr>
              <w:t>Risk Matrix</w:t>
            </w:r>
          </w:p>
        </w:tc>
        <w:tc>
          <w:tcPr>
            <w:tcW w:w="1411" w:type="dxa"/>
          </w:tcPr>
          <w:p w14:paraId="7A9E022E" w14:textId="6E947A88" w:rsidR="00DB1C19" w:rsidRPr="009323BE" w:rsidRDefault="004C4AD3" w:rsidP="00674FAF">
            <w:pPr>
              <w:jc w:val="center"/>
              <w:rPr>
                <w:rFonts w:cs="Arial"/>
                <w:sz w:val="20"/>
                <w:szCs w:val="20"/>
              </w:rPr>
            </w:pPr>
            <w:r>
              <w:rPr>
                <w:rFonts w:cs="Arial"/>
                <w:sz w:val="20"/>
                <w:szCs w:val="20"/>
              </w:rPr>
              <w:t>8</w:t>
            </w:r>
          </w:p>
        </w:tc>
      </w:tr>
    </w:tbl>
    <w:p w14:paraId="5E386E8D" w14:textId="5131E4DF" w:rsidR="009323BE" w:rsidRDefault="009323BE" w:rsidP="009323BE">
      <w:pPr>
        <w:pStyle w:val="Heading1"/>
        <w:numPr>
          <w:ilvl w:val="0"/>
          <w:numId w:val="0"/>
        </w:numPr>
        <w:rPr>
          <w:sz w:val="28"/>
          <w:szCs w:val="28"/>
        </w:rPr>
      </w:pPr>
      <w:bookmarkStart w:id="22" w:name="_Toc290554222"/>
      <w:bookmarkStart w:id="23" w:name="_Toc299621187"/>
      <w:bookmarkStart w:id="24" w:name="_Toc299631415"/>
      <w:bookmarkStart w:id="25" w:name="_Toc299631475"/>
      <w:bookmarkStart w:id="26" w:name="_Toc299631565"/>
      <w:bookmarkStart w:id="27" w:name="_Toc299631642"/>
      <w:r>
        <w:br/>
      </w:r>
      <w:bookmarkStart w:id="28" w:name="_Toc234948140"/>
      <w:r w:rsidRPr="009323BE">
        <w:rPr>
          <w:sz w:val="28"/>
          <w:szCs w:val="28"/>
        </w:rPr>
        <w:t>List of Tables</w:t>
      </w:r>
      <w:bookmarkEnd w:id="28"/>
    </w:p>
    <w:tbl>
      <w:tblPr>
        <w:tblStyle w:val="TableGrid"/>
        <w:tblW w:w="0" w:type="auto"/>
        <w:jc w:val="center"/>
        <w:tblLook w:val="04A0" w:firstRow="1" w:lastRow="0" w:firstColumn="1" w:lastColumn="0" w:noHBand="0" w:noVBand="1"/>
      </w:tblPr>
      <w:tblGrid>
        <w:gridCol w:w="1271"/>
        <w:gridCol w:w="5812"/>
        <w:gridCol w:w="1411"/>
      </w:tblGrid>
      <w:tr w:rsidR="009323BE" w:rsidRPr="00306DFA" w14:paraId="5DF30EB3" w14:textId="77777777" w:rsidTr="00FC43E8">
        <w:trPr>
          <w:jc w:val="center"/>
        </w:trPr>
        <w:tc>
          <w:tcPr>
            <w:tcW w:w="1271" w:type="dxa"/>
          </w:tcPr>
          <w:p w14:paraId="05A1F737" w14:textId="1C899F09" w:rsidR="009323BE" w:rsidRPr="00306DFA" w:rsidRDefault="009323BE" w:rsidP="00FC43E8">
            <w:pPr>
              <w:jc w:val="center"/>
              <w:rPr>
                <w:rFonts w:cs="Arial"/>
                <w:b/>
                <w:bCs/>
                <w:sz w:val="20"/>
                <w:szCs w:val="20"/>
              </w:rPr>
            </w:pPr>
            <w:r>
              <w:rPr>
                <w:rFonts w:cs="Arial"/>
                <w:b/>
                <w:bCs/>
                <w:sz w:val="20"/>
                <w:szCs w:val="20"/>
              </w:rPr>
              <w:t>Table</w:t>
            </w:r>
          </w:p>
        </w:tc>
        <w:tc>
          <w:tcPr>
            <w:tcW w:w="5812" w:type="dxa"/>
          </w:tcPr>
          <w:p w14:paraId="3195BD9E" w14:textId="77777777" w:rsidR="009323BE" w:rsidRPr="00306DFA" w:rsidRDefault="009323BE" w:rsidP="00FC43E8">
            <w:pPr>
              <w:jc w:val="center"/>
              <w:rPr>
                <w:rFonts w:cs="Arial"/>
                <w:b/>
                <w:bCs/>
                <w:sz w:val="20"/>
                <w:szCs w:val="20"/>
              </w:rPr>
            </w:pPr>
            <w:r w:rsidRPr="00306DFA">
              <w:rPr>
                <w:rFonts w:cs="Arial"/>
                <w:b/>
                <w:bCs/>
                <w:sz w:val="20"/>
                <w:szCs w:val="20"/>
              </w:rPr>
              <w:t xml:space="preserve">Description </w:t>
            </w:r>
          </w:p>
        </w:tc>
        <w:tc>
          <w:tcPr>
            <w:tcW w:w="1411" w:type="dxa"/>
          </w:tcPr>
          <w:p w14:paraId="5898188F" w14:textId="77777777" w:rsidR="009323BE" w:rsidRPr="00306DFA" w:rsidRDefault="009323BE" w:rsidP="00FC43E8">
            <w:pPr>
              <w:jc w:val="center"/>
              <w:rPr>
                <w:rFonts w:cs="Arial"/>
                <w:b/>
                <w:bCs/>
                <w:sz w:val="20"/>
                <w:szCs w:val="20"/>
              </w:rPr>
            </w:pPr>
            <w:r w:rsidRPr="00306DFA">
              <w:rPr>
                <w:rFonts w:cs="Arial"/>
                <w:b/>
                <w:bCs/>
                <w:sz w:val="20"/>
                <w:szCs w:val="20"/>
              </w:rPr>
              <w:t>Page</w:t>
            </w:r>
          </w:p>
        </w:tc>
      </w:tr>
      <w:tr w:rsidR="009323BE" w:rsidRPr="00306DFA" w14:paraId="0DE8D30C" w14:textId="77777777" w:rsidTr="00FC43E8">
        <w:trPr>
          <w:jc w:val="center"/>
        </w:trPr>
        <w:tc>
          <w:tcPr>
            <w:tcW w:w="1271" w:type="dxa"/>
          </w:tcPr>
          <w:p w14:paraId="5087C051" w14:textId="77777777" w:rsidR="009323BE" w:rsidRPr="009323BE" w:rsidRDefault="009323BE" w:rsidP="00FC43E8">
            <w:pPr>
              <w:jc w:val="center"/>
              <w:rPr>
                <w:rFonts w:cs="Arial"/>
                <w:sz w:val="20"/>
                <w:szCs w:val="20"/>
              </w:rPr>
            </w:pPr>
            <w:r w:rsidRPr="009323BE">
              <w:rPr>
                <w:rFonts w:cs="Arial"/>
                <w:sz w:val="20"/>
                <w:szCs w:val="20"/>
              </w:rPr>
              <w:t>1</w:t>
            </w:r>
          </w:p>
        </w:tc>
        <w:tc>
          <w:tcPr>
            <w:tcW w:w="5812" w:type="dxa"/>
          </w:tcPr>
          <w:p w14:paraId="02E9D4B9" w14:textId="4C2F16A8" w:rsidR="009323BE" w:rsidRPr="009323BE" w:rsidRDefault="008D7780" w:rsidP="00FC43E8">
            <w:pPr>
              <w:jc w:val="left"/>
              <w:rPr>
                <w:rFonts w:cs="Arial"/>
                <w:sz w:val="20"/>
                <w:szCs w:val="20"/>
              </w:rPr>
            </w:pPr>
            <w:r w:rsidRPr="008D7780">
              <w:rPr>
                <w:rFonts w:cs="Arial"/>
                <w:sz w:val="20"/>
                <w:szCs w:val="20"/>
              </w:rPr>
              <w:t>Severity Categories</w:t>
            </w:r>
          </w:p>
        </w:tc>
        <w:tc>
          <w:tcPr>
            <w:tcW w:w="1411" w:type="dxa"/>
          </w:tcPr>
          <w:p w14:paraId="5F9262E5" w14:textId="6EFD358E" w:rsidR="009323BE" w:rsidRPr="009323BE" w:rsidRDefault="00F622D6" w:rsidP="00FC43E8">
            <w:pPr>
              <w:jc w:val="center"/>
              <w:rPr>
                <w:rFonts w:cs="Arial"/>
                <w:sz w:val="20"/>
                <w:szCs w:val="20"/>
              </w:rPr>
            </w:pPr>
            <w:r>
              <w:rPr>
                <w:rFonts w:cs="Arial"/>
                <w:sz w:val="20"/>
                <w:szCs w:val="20"/>
              </w:rPr>
              <w:t>8</w:t>
            </w:r>
          </w:p>
        </w:tc>
      </w:tr>
      <w:tr w:rsidR="009323BE" w:rsidRPr="00306DFA" w14:paraId="62CF5DEE" w14:textId="77777777" w:rsidTr="00FC43E8">
        <w:trPr>
          <w:jc w:val="center"/>
        </w:trPr>
        <w:tc>
          <w:tcPr>
            <w:tcW w:w="1271" w:type="dxa"/>
          </w:tcPr>
          <w:p w14:paraId="2D1E3708" w14:textId="5FA202EC" w:rsidR="009323BE" w:rsidRPr="009323BE" w:rsidRDefault="009323BE" w:rsidP="00FC43E8">
            <w:pPr>
              <w:jc w:val="center"/>
              <w:rPr>
                <w:rFonts w:cs="Arial"/>
                <w:sz w:val="20"/>
                <w:szCs w:val="20"/>
              </w:rPr>
            </w:pPr>
            <w:r>
              <w:rPr>
                <w:rFonts w:cs="Arial"/>
                <w:sz w:val="20"/>
                <w:szCs w:val="20"/>
              </w:rPr>
              <w:t>2</w:t>
            </w:r>
          </w:p>
        </w:tc>
        <w:tc>
          <w:tcPr>
            <w:tcW w:w="5812" w:type="dxa"/>
          </w:tcPr>
          <w:p w14:paraId="7B32086B" w14:textId="3CB0A01B" w:rsidR="009323BE" w:rsidRPr="009323BE" w:rsidRDefault="008D7780" w:rsidP="00FC43E8">
            <w:pPr>
              <w:jc w:val="left"/>
              <w:rPr>
                <w:rFonts w:cs="Arial"/>
                <w:sz w:val="20"/>
                <w:szCs w:val="20"/>
              </w:rPr>
            </w:pPr>
            <w:r>
              <w:rPr>
                <w:rFonts w:cs="Arial"/>
                <w:sz w:val="20"/>
                <w:szCs w:val="20"/>
              </w:rPr>
              <w:t>Likelihood</w:t>
            </w:r>
            <w:r w:rsidRPr="008D7780">
              <w:rPr>
                <w:rFonts w:cs="Arial"/>
                <w:sz w:val="20"/>
                <w:szCs w:val="20"/>
              </w:rPr>
              <w:t xml:space="preserve"> Categories</w:t>
            </w:r>
          </w:p>
        </w:tc>
        <w:tc>
          <w:tcPr>
            <w:tcW w:w="1411" w:type="dxa"/>
          </w:tcPr>
          <w:p w14:paraId="4979DAE5" w14:textId="2D9F98FA" w:rsidR="009323BE" w:rsidRPr="009323BE" w:rsidRDefault="00F622D6" w:rsidP="00FC43E8">
            <w:pPr>
              <w:jc w:val="center"/>
              <w:rPr>
                <w:rFonts w:cs="Arial"/>
                <w:sz w:val="20"/>
                <w:szCs w:val="20"/>
              </w:rPr>
            </w:pPr>
            <w:r>
              <w:rPr>
                <w:rFonts w:cs="Arial"/>
                <w:sz w:val="20"/>
                <w:szCs w:val="20"/>
              </w:rPr>
              <w:t>8</w:t>
            </w:r>
          </w:p>
        </w:tc>
      </w:tr>
      <w:tr w:rsidR="009323BE" w:rsidRPr="00306DFA" w14:paraId="31ADABE7" w14:textId="77777777" w:rsidTr="00FC43E8">
        <w:trPr>
          <w:jc w:val="center"/>
        </w:trPr>
        <w:tc>
          <w:tcPr>
            <w:tcW w:w="1271" w:type="dxa"/>
          </w:tcPr>
          <w:p w14:paraId="6E9792A8" w14:textId="65570E32" w:rsidR="009323BE" w:rsidRPr="009323BE" w:rsidRDefault="009323BE" w:rsidP="00FC43E8">
            <w:pPr>
              <w:jc w:val="center"/>
              <w:rPr>
                <w:rFonts w:cs="Arial"/>
                <w:sz w:val="20"/>
                <w:szCs w:val="20"/>
              </w:rPr>
            </w:pPr>
            <w:r>
              <w:rPr>
                <w:rFonts w:cs="Arial"/>
                <w:sz w:val="20"/>
                <w:szCs w:val="20"/>
              </w:rPr>
              <w:t>3</w:t>
            </w:r>
          </w:p>
        </w:tc>
        <w:tc>
          <w:tcPr>
            <w:tcW w:w="5812" w:type="dxa"/>
          </w:tcPr>
          <w:p w14:paraId="47E2185D" w14:textId="198870F2" w:rsidR="009323BE" w:rsidRPr="009323BE" w:rsidRDefault="008D7780" w:rsidP="00FC43E8">
            <w:pPr>
              <w:jc w:val="left"/>
              <w:rPr>
                <w:rFonts w:cs="Arial"/>
                <w:sz w:val="20"/>
                <w:szCs w:val="20"/>
              </w:rPr>
            </w:pPr>
            <w:r>
              <w:rPr>
                <w:rFonts w:cs="Arial"/>
                <w:sz w:val="20"/>
                <w:szCs w:val="20"/>
              </w:rPr>
              <w:t>Risk Class</w:t>
            </w:r>
            <w:r w:rsidRPr="008D7780">
              <w:rPr>
                <w:rFonts w:cs="Arial"/>
                <w:sz w:val="20"/>
                <w:szCs w:val="20"/>
              </w:rPr>
              <w:t xml:space="preserve"> Categories</w:t>
            </w:r>
          </w:p>
        </w:tc>
        <w:tc>
          <w:tcPr>
            <w:tcW w:w="1411" w:type="dxa"/>
          </w:tcPr>
          <w:p w14:paraId="47CD7FD3" w14:textId="2B89A694" w:rsidR="009323BE" w:rsidRPr="009323BE" w:rsidRDefault="002C5780" w:rsidP="00FC43E8">
            <w:pPr>
              <w:jc w:val="center"/>
              <w:rPr>
                <w:rFonts w:cs="Arial"/>
                <w:sz w:val="20"/>
                <w:szCs w:val="20"/>
              </w:rPr>
            </w:pPr>
            <w:r>
              <w:rPr>
                <w:rFonts w:cs="Arial"/>
                <w:sz w:val="20"/>
                <w:szCs w:val="20"/>
              </w:rPr>
              <w:t>9</w:t>
            </w:r>
          </w:p>
        </w:tc>
      </w:tr>
      <w:tr w:rsidR="009323BE" w:rsidRPr="00306DFA" w14:paraId="2392BEE7" w14:textId="77777777" w:rsidTr="00FC43E8">
        <w:trPr>
          <w:jc w:val="center"/>
        </w:trPr>
        <w:tc>
          <w:tcPr>
            <w:tcW w:w="1271" w:type="dxa"/>
          </w:tcPr>
          <w:p w14:paraId="32F83060" w14:textId="57C874AC" w:rsidR="009323BE" w:rsidRPr="009323BE" w:rsidRDefault="009323BE" w:rsidP="00FC43E8">
            <w:pPr>
              <w:jc w:val="center"/>
              <w:rPr>
                <w:rFonts w:cs="Arial"/>
                <w:sz w:val="20"/>
                <w:szCs w:val="20"/>
              </w:rPr>
            </w:pPr>
            <w:r>
              <w:rPr>
                <w:rFonts w:cs="Arial"/>
                <w:sz w:val="20"/>
                <w:szCs w:val="20"/>
              </w:rPr>
              <w:t>4</w:t>
            </w:r>
          </w:p>
        </w:tc>
        <w:tc>
          <w:tcPr>
            <w:tcW w:w="5812" w:type="dxa"/>
          </w:tcPr>
          <w:p w14:paraId="7664AD29" w14:textId="23271507" w:rsidR="009323BE" w:rsidRPr="009323BE" w:rsidRDefault="008D7780" w:rsidP="00FC43E8">
            <w:pPr>
              <w:jc w:val="left"/>
              <w:rPr>
                <w:rFonts w:cs="Arial"/>
                <w:sz w:val="20"/>
                <w:szCs w:val="20"/>
              </w:rPr>
            </w:pPr>
            <w:r w:rsidRPr="008D7780">
              <w:rPr>
                <w:rFonts w:cs="Arial"/>
                <w:sz w:val="20"/>
                <w:szCs w:val="20"/>
              </w:rPr>
              <w:t>Pre-Control Risk Assessment</w:t>
            </w:r>
          </w:p>
        </w:tc>
        <w:tc>
          <w:tcPr>
            <w:tcW w:w="1411" w:type="dxa"/>
          </w:tcPr>
          <w:p w14:paraId="0F53F961" w14:textId="621E350C" w:rsidR="009323BE" w:rsidRPr="009323BE" w:rsidRDefault="008D7780" w:rsidP="00FC43E8">
            <w:pPr>
              <w:jc w:val="center"/>
              <w:rPr>
                <w:rFonts w:cs="Arial"/>
                <w:sz w:val="20"/>
                <w:szCs w:val="20"/>
              </w:rPr>
            </w:pPr>
            <w:r>
              <w:rPr>
                <w:rFonts w:cs="Arial"/>
                <w:sz w:val="20"/>
                <w:szCs w:val="20"/>
              </w:rPr>
              <w:t>1</w:t>
            </w:r>
            <w:r w:rsidR="00F622D6">
              <w:rPr>
                <w:rFonts w:cs="Arial"/>
                <w:sz w:val="20"/>
                <w:szCs w:val="20"/>
              </w:rPr>
              <w:t>0</w:t>
            </w:r>
          </w:p>
        </w:tc>
      </w:tr>
      <w:tr w:rsidR="009323BE" w:rsidRPr="00306DFA" w14:paraId="3D6066A5" w14:textId="77777777" w:rsidTr="00FC43E8">
        <w:trPr>
          <w:jc w:val="center"/>
        </w:trPr>
        <w:tc>
          <w:tcPr>
            <w:tcW w:w="1271" w:type="dxa"/>
          </w:tcPr>
          <w:p w14:paraId="798C170A" w14:textId="4030C287" w:rsidR="009323BE" w:rsidRPr="009323BE" w:rsidRDefault="009323BE" w:rsidP="00FC43E8">
            <w:pPr>
              <w:jc w:val="center"/>
              <w:rPr>
                <w:rFonts w:cs="Arial"/>
                <w:sz w:val="20"/>
                <w:szCs w:val="20"/>
              </w:rPr>
            </w:pPr>
            <w:r>
              <w:rPr>
                <w:rFonts w:cs="Arial"/>
                <w:sz w:val="20"/>
                <w:szCs w:val="20"/>
              </w:rPr>
              <w:t>5</w:t>
            </w:r>
          </w:p>
        </w:tc>
        <w:tc>
          <w:tcPr>
            <w:tcW w:w="5812" w:type="dxa"/>
          </w:tcPr>
          <w:p w14:paraId="0E5CDF09" w14:textId="1C28558A" w:rsidR="009323BE" w:rsidRPr="009323BE" w:rsidRDefault="008D7780" w:rsidP="00FC43E8">
            <w:pPr>
              <w:jc w:val="left"/>
              <w:rPr>
                <w:rFonts w:cs="Arial"/>
                <w:sz w:val="20"/>
                <w:szCs w:val="20"/>
              </w:rPr>
            </w:pPr>
            <w:r w:rsidRPr="008D7780">
              <w:rPr>
                <w:rFonts w:cs="Arial"/>
                <w:sz w:val="20"/>
                <w:szCs w:val="20"/>
              </w:rPr>
              <w:t>P</w:t>
            </w:r>
            <w:r>
              <w:rPr>
                <w:rFonts w:cs="Arial"/>
                <w:sz w:val="20"/>
                <w:szCs w:val="20"/>
              </w:rPr>
              <w:t>ost</w:t>
            </w:r>
            <w:r w:rsidRPr="008D7780">
              <w:rPr>
                <w:rFonts w:cs="Arial"/>
                <w:sz w:val="20"/>
                <w:szCs w:val="20"/>
              </w:rPr>
              <w:t>-Control Risk Assessment</w:t>
            </w:r>
          </w:p>
        </w:tc>
        <w:tc>
          <w:tcPr>
            <w:tcW w:w="1411" w:type="dxa"/>
          </w:tcPr>
          <w:p w14:paraId="1BE50E40" w14:textId="02588DDC" w:rsidR="009323BE" w:rsidRPr="009323BE" w:rsidRDefault="008D7780" w:rsidP="00FC43E8">
            <w:pPr>
              <w:jc w:val="center"/>
              <w:rPr>
                <w:rFonts w:cs="Arial"/>
                <w:sz w:val="20"/>
                <w:szCs w:val="20"/>
              </w:rPr>
            </w:pPr>
            <w:r>
              <w:rPr>
                <w:rFonts w:cs="Arial"/>
                <w:sz w:val="20"/>
                <w:szCs w:val="20"/>
              </w:rPr>
              <w:t>1</w:t>
            </w:r>
            <w:r w:rsidR="00F622D6">
              <w:rPr>
                <w:rFonts w:cs="Arial"/>
                <w:sz w:val="20"/>
                <w:szCs w:val="20"/>
              </w:rPr>
              <w:t>1</w:t>
            </w:r>
          </w:p>
        </w:tc>
      </w:tr>
    </w:tbl>
    <w:p w14:paraId="72D092B3" w14:textId="543A617F" w:rsidR="009323BE" w:rsidRDefault="009323BE">
      <w:pPr>
        <w:spacing w:before="0" w:after="200" w:line="276" w:lineRule="auto"/>
        <w:jc w:val="left"/>
        <w:rPr>
          <w:rFonts w:cs="Arial"/>
          <w:b/>
          <w:bCs/>
          <w:kern w:val="32"/>
          <w:sz w:val="28"/>
          <w:szCs w:val="32"/>
        </w:rPr>
      </w:pPr>
      <w:bookmarkStart w:id="29" w:name="_Toc137806439"/>
      <w:bookmarkEnd w:id="21"/>
      <w:bookmarkEnd w:id="22"/>
      <w:bookmarkEnd w:id="23"/>
      <w:bookmarkEnd w:id="24"/>
      <w:bookmarkEnd w:id="25"/>
      <w:bookmarkEnd w:id="26"/>
      <w:bookmarkEnd w:id="27"/>
    </w:p>
    <w:p w14:paraId="4A559D5D" w14:textId="77777777" w:rsidR="003F6B32" w:rsidRDefault="003F6B32">
      <w:pPr>
        <w:spacing w:before="0" w:after="200" w:line="276" w:lineRule="auto"/>
        <w:jc w:val="left"/>
        <w:rPr>
          <w:rFonts w:cs="Arial"/>
          <w:b/>
          <w:bCs/>
          <w:kern w:val="32"/>
          <w:sz w:val="28"/>
          <w:szCs w:val="32"/>
        </w:rPr>
      </w:pPr>
      <w:bookmarkStart w:id="30" w:name="_Toc234948141"/>
      <w:r>
        <w:rPr>
          <w:sz w:val="28"/>
          <w:szCs w:val="32"/>
        </w:rPr>
        <w:br w:type="page"/>
      </w:r>
    </w:p>
    <w:p w14:paraId="28AA6BF1" w14:textId="5EBB165C" w:rsidR="00DA28B2" w:rsidRPr="009323BE" w:rsidRDefault="007F0255" w:rsidP="00361EFD">
      <w:pPr>
        <w:pStyle w:val="Heading1nonumber"/>
        <w:rPr>
          <w:sz w:val="28"/>
          <w:szCs w:val="32"/>
        </w:rPr>
      </w:pPr>
      <w:r w:rsidRPr="009323BE">
        <w:rPr>
          <w:sz w:val="28"/>
          <w:szCs w:val="32"/>
        </w:rPr>
        <w:lastRenderedPageBreak/>
        <w:t xml:space="preserve">List of </w:t>
      </w:r>
      <w:r w:rsidR="004C2C9C" w:rsidRPr="009323BE">
        <w:rPr>
          <w:sz w:val="28"/>
          <w:szCs w:val="32"/>
        </w:rPr>
        <w:t>A</w:t>
      </w:r>
      <w:r w:rsidRPr="009323BE">
        <w:rPr>
          <w:sz w:val="28"/>
          <w:szCs w:val="32"/>
        </w:rPr>
        <w:t>bbreviations</w:t>
      </w:r>
      <w:bookmarkEnd w:id="29"/>
      <w:bookmarkEnd w:id="3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4"/>
        <w:gridCol w:w="7140"/>
      </w:tblGrid>
      <w:tr w:rsidR="00D36170" w14:paraId="00E8BC79" w14:textId="77777777" w:rsidTr="00B902DD">
        <w:tc>
          <w:tcPr>
            <w:tcW w:w="1364" w:type="dxa"/>
          </w:tcPr>
          <w:p w14:paraId="323E630D" w14:textId="58792BD5" w:rsidR="00D36170" w:rsidRPr="004B5F1E" w:rsidRDefault="004B5F1E" w:rsidP="00B902DD">
            <w:pPr>
              <w:pStyle w:val="TableText"/>
              <w:rPr>
                <w:sz w:val="20"/>
                <w:szCs w:val="20"/>
              </w:rPr>
            </w:pPr>
            <w:r>
              <w:rPr>
                <w:sz w:val="20"/>
                <w:szCs w:val="20"/>
              </w:rPr>
              <w:t>ALARP</w:t>
            </w:r>
          </w:p>
        </w:tc>
        <w:tc>
          <w:tcPr>
            <w:tcW w:w="7140" w:type="dxa"/>
          </w:tcPr>
          <w:p w14:paraId="1E6AC3DD" w14:textId="345646F1" w:rsidR="00D36170" w:rsidRPr="004B5F1E" w:rsidRDefault="004B5F1E" w:rsidP="00B902DD">
            <w:pPr>
              <w:pStyle w:val="TableText"/>
              <w:rPr>
                <w:sz w:val="20"/>
                <w:szCs w:val="20"/>
              </w:rPr>
            </w:pPr>
            <w:r w:rsidRPr="004B5F1E">
              <w:rPr>
                <w:sz w:val="20"/>
                <w:szCs w:val="20"/>
              </w:rPr>
              <w:t>As Low as Reasonably Practicable</w:t>
            </w:r>
          </w:p>
        </w:tc>
      </w:tr>
      <w:tr w:rsidR="004C4AD3" w14:paraId="41BC40B9" w14:textId="77777777" w:rsidTr="00B902DD">
        <w:tc>
          <w:tcPr>
            <w:tcW w:w="1364" w:type="dxa"/>
          </w:tcPr>
          <w:p w14:paraId="194BEC40" w14:textId="56BB751E" w:rsidR="004C4AD3" w:rsidRDefault="004C4AD3" w:rsidP="00B902DD">
            <w:pPr>
              <w:pStyle w:val="TableText"/>
              <w:rPr>
                <w:sz w:val="20"/>
                <w:szCs w:val="20"/>
              </w:rPr>
            </w:pPr>
            <w:r>
              <w:rPr>
                <w:sz w:val="20"/>
                <w:szCs w:val="20"/>
              </w:rPr>
              <w:t xml:space="preserve">DSA </w:t>
            </w:r>
          </w:p>
        </w:tc>
        <w:tc>
          <w:tcPr>
            <w:tcW w:w="7140" w:type="dxa"/>
          </w:tcPr>
          <w:p w14:paraId="10B31869" w14:textId="0A0DA866" w:rsidR="004C4AD3" w:rsidRPr="004B5F1E" w:rsidRDefault="004C4AD3" w:rsidP="00B902DD">
            <w:pPr>
              <w:pStyle w:val="TableText"/>
              <w:rPr>
                <w:sz w:val="20"/>
                <w:szCs w:val="20"/>
              </w:rPr>
            </w:pPr>
            <w:r>
              <w:rPr>
                <w:sz w:val="20"/>
                <w:szCs w:val="20"/>
              </w:rPr>
              <w:t xml:space="preserve">Defence Safety Authority </w:t>
            </w:r>
          </w:p>
        </w:tc>
      </w:tr>
      <w:tr w:rsidR="00B902DD" w14:paraId="0AE06573" w14:textId="77777777" w:rsidTr="00B902DD">
        <w:tc>
          <w:tcPr>
            <w:tcW w:w="1364" w:type="dxa"/>
          </w:tcPr>
          <w:p w14:paraId="7177CC6D" w14:textId="37A760AA" w:rsidR="00B902DD" w:rsidRPr="004B5F1E" w:rsidRDefault="004B5F1E" w:rsidP="00B902DD">
            <w:pPr>
              <w:pStyle w:val="TableText"/>
              <w:rPr>
                <w:sz w:val="20"/>
                <w:szCs w:val="20"/>
              </w:rPr>
            </w:pPr>
            <w:proofErr w:type="spellStart"/>
            <w:r>
              <w:rPr>
                <w:sz w:val="20"/>
                <w:szCs w:val="20"/>
              </w:rPr>
              <w:t>HazID</w:t>
            </w:r>
            <w:proofErr w:type="spellEnd"/>
          </w:p>
        </w:tc>
        <w:tc>
          <w:tcPr>
            <w:tcW w:w="7140" w:type="dxa"/>
          </w:tcPr>
          <w:p w14:paraId="1BEA698F" w14:textId="304D1FC5" w:rsidR="00B902DD" w:rsidRPr="004B5F1E" w:rsidRDefault="004B5F1E" w:rsidP="00B902DD">
            <w:pPr>
              <w:pStyle w:val="TableText"/>
              <w:rPr>
                <w:sz w:val="20"/>
                <w:szCs w:val="20"/>
              </w:rPr>
            </w:pPr>
            <w:r w:rsidRPr="004B5F1E">
              <w:rPr>
                <w:sz w:val="20"/>
                <w:szCs w:val="20"/>
              </w:rPr>
              <w:t>Hazard Identification</w:t>
            </w:r>
          </w:p>
        </w:tc>
      </w:tr>
      <w:tr w:rsidR="003F6B32" w14:paraId="3A752578" w14:textId="77777777" w:rsidTr="00B902DD">
        <w:tc>
          <w:tcPr>
            <w:tcW w:w="1364" w:type="dxa"/>
          </w:tcPr>
          <w:p w14:paraId="2799F3D8" w14:textId="42C88A4C" w:rsidR="003F6B32" w:rsidRDefault="003F6B32" w:rsidP="00B902DD">
            <w:pPr>
              <w:pStyle w:val="TableText"/>
              <w:rPr>
                <w:sz w:val="20"/>
                <w:szCs w:val="20"/>
              </w:rPr>
            </w:pPr>
            <w:proofErr w:type="spellStart"/>
            <w:r>
              <w:rPr>
                <w:sz w:val="20"/>
                <w:szCs w:val="20"/>
              </w:rPr>
              <w:t>HazOp</w:t>
            </w:r>
            <w:proofErr w:type="spellEnd"/>
          </w:p>
        </w:tc>
        <w:tc>
          <w:tcPr>
            <w:tcW w:w="7140" w:type="dxa"/>
          </w:tcPr>
          <w:p w14:paraId="582C66EB" w14:textId="5A07BBEA" w:rsidR="003F6B32" w:rsidRPr="004B5F1E" w:rsidRDefault="003F6B32" w:rsidP="00B902DD">
            <w:pPr>
              <w:pStyle w:val="TableText"/>
              <w:rPr>
                <w:sz w:val="20"/>
                <w:szCs w:val="20"/>
              </w:rPr>
            </w:pPr>
            <w:r w:rsidRPr="003F6B32">
              <w:rPr>
                <w:sz w:val="20"/>
                <w:szCs w:val="20"/>
              </w:rPr>
              <w:t>Hazard and Operability Study</w:t>
            </w:r>
          </w:p>
        </w:tc>
      </w:tr>
      <w:tr w:rsidR="00B902DD" w14:paraId="40D477AD" w14:textId="77777777" w:rsidTr="00B902DD">
        <w:tc>
          <w:tcPr>
            <w:tcW w:w="1364" w:type="dxa"/>
          </w:tcPr>
          <w:p w14:paraId="5DA09FBA" w14:textId="695E12F1" w:rsidR="00B902DD" w:rsidRPr="004B5F1E" w:rsidRDefault="004B5F1E" w:rsidP="00B902DD">
            <w:pPr>
              <w:pStyle w:val="TableText"/>
              <w:rPr>
                <w:sz w:val="20"/>
                <w:szCs w:val="20"/>
              </w:rPr>
            </w:pPr>
            <w:r>
              <w:rPr>
                <w:sz w:val="20"/>
                <w:szCs w:val="20"/>
              </w:rPr>
              <w:t>HSE</w:t>
            </w:r>
          </w:p>
        </w:tc>
        <w:tc>
          <w:tcPr>
            <w:tcW w:w="7140" w:type="dxa"/>
          </w:tcPr>
          <w:p w14:paraId="761C9030" w14:textId="0A8C1602" w:rsidR="00B902DD" w:rsidRPr="004B5F1E" w:rsidRDefault="004B5F1E" w:rsidP="00B902DD">
            <w:pPr>
              <w:pStyle w:val="TableText"/>
              <w:rPr>
                <w:sz w:val="20"/>
                <w:szCs w:val="20"/>
              </w:rPr>
            </w:pPr>
            <w:r w:rsidRPr="004B5F1E">
              <w:rPr>
                <w:sz w:val="20"/>
                <w:szCs w:val="20"/>
              </w:rPr>
              <w:t>Health and Safety Executive</w:t>
            </w:r>
          </w:p>
        </w:tc>
      </w:tr>
      <w:tr w:rsidR="004B5F1E" w14:paraId="4846C4E2" w14:textId="77777777" w:rsidTr="00B902DD">
        <w:tc>
          <w:tcPr>
            <w:tcW w:w="1364" w:type="dxa"/>
          </w:tcPr>
          <w:p w14:paraId="2252210B" w14:textId="7A883795" w:rsidR="004B5F1E" w:rsidRDefault="004B5F1E" w:rsidP="00B902DD">
            <w:pPr>
              <w:pStyle w:val="TableText"/>
              <w:rPr>
                <w:sz w:val="20"/>
                <w:szCs w:val="20"/>
              </w:rPr>
            </w:pPr>
            <w:r>
              <w:rPr>
                <w:sz w:val="20"/>
                <w:szCs w:val="20"/>
              </w:rPr>
              <w:t>MTDS</w:t>
            </w:r>
          </w:p>
        </w:tc>
        <w:tc>
          <w:tcPr>
            <w:tcW w:w="7140" w:type="dxa"/>
          </w:tcPr>
          <w:p w14:paraId="43CA7066" w14:textId="43448F14" w:rsidR="004B5F1E" w:rsidRPr="004B5F1E" w:rsidRDefault="004B5F1E" w:rsidP="00B902DD">
            <w:pPr>
              <w:pStyle w:val="TableText"/>
              <w:rPr>
                <w:sz w:val="20"/>
                <w:szCs w:val="20"/>
              </w:rPr>
            </w:pPr>
            <w:r w:rsidRPr="004B5F1E">
              <w:rPr>
                <w:sz w:val="20"/>
                <w:szCs w:val="20"/>
              </w:rPr>
              <w:t>Manufacture to Target Disposal Sequence</w:t>
            </w:r>
          </w:p>
        </w:tc>
      </w:tr>
      <w:tr w:rsidR="004B5F1E" w14:paraId="63C07F81" w14:textId="77777777" w:rsidTr="00B902DD">
        <w:tc>
          <w:tcPr>
            <w:tcW w:w="1364" w:type="dxa"/>
          </w:tcPr>
          <w:p w14:paraId="3A52AC28" w14:textId="0258D236" w:rsidR="004B5F1E" w:rsidRDefault="004B5F1E" w:rsidP="00B902DD">
            <w:pPr>
              <w:pStyle w:val="TableText"/>
              <w:rPr>
                <w:sz w:val="20"/>
                <w:szCs w:val="20"/>
              </w:rPr>
            </w:pPr>
            <w:r>
              <w:rPr>
                <w:sz w:val="20"/>
                <w:szCs w:val="20"/>
              </w:rPr>
              <w:t>OME</w:t>
            </w:r>
          </w:p>
        </w:tc>
        <w:tc>
          <w:tcPr>
            <w:tcW w:w="7140" w:type="dxa"/>
          </w:tcPr>
          <w:p w14:paraId="10A34CA8" w14:textId="30B5A792" w:rsidR="004B5F1E" w:rsidRPr="004B5F1E" w:rsidRDefault="004B5F1E" w:rsidP="00B902DD">
            <w:pPr>
              <w:pStyle w:val="TableText"/>
              <w:rPr>
                <w:sz w:val="20"/>
                <w:szCs w:val="20"/>
              </w:rPr>
            </w:pPr>
            <w:r w:rsidRPr="004B5F1E">
              <w:rPr>
                <w:sz w:val="20"/>
                <w:szCs w:val="20"/>
              </w:rPr>
              <w:t>Ordnance, Munitions and Explosives</w:t>
            </w:r>
          </w:p>
        </w:tc>
      </w:tr>
      <w:tr w:rsidR="004B5F1E" w14:paraId="729E6F5F" w14:textId="77777777" w:rsidTr="00B902DD">
        <w:tc>
          <w:tcPr>
            <w:tcW w:w="1364" w:type="dxa"/>
          </w:tcPr>
          <w:p w14:paraId="6547C253" w14:textId="42810C49" w:rsidR="004B5F1E" w:rsidRDefault="004B5F1E" w:rsidP="00B902DD">
            <w:pPr>
              <w:pStyle w:val="TableText"/>
              <w:rPr>
                <w:sz w:val="20"/>
                <w:szCs w:val="20"/>
              </w:rPr>
            </w:pPr>
            <w:r>
              <w:rPr>
                <w:sz w:val="20"/>
                <w:szCs w:val="20"/>
              </w:rPr>
              <w:t>PPE</w:t>
            </w:r>
          </w:p>
        </w:tc>
        <w:tc>
          <w:tcPr>
            <w:tcW w:w="7140" w:type="dxa"/>
          </w:tcPr>
          <w:p w14:paraId="0CF6C98A" w14:textId="2E4C6636" w:rsidR="004B5F1E" w:rsidRPr="004B5F1E" w:rsidRDefault="004B5F1E" w:rsidP="00B902DD">
            <w:pPr>
              <w:pStyle w:val="TableText"/>
              <w:rPr>
                <w:sz w:val="20"/>
                <w:szCs w:val="20"/>
              </w:rPr>
            </w:pPr>
            <w:r w:rsidRPr="004B5F1E">
              <w:rPr>
                <w:sz w:val="20"/>
                <w:szCs w:val="20"/>
              </w:rPr>
              <w:t>Personal Protective Equipment</w:t>
            </w:r>
          </w:p>
        </w:tc>
      </w:tr>
      <w:tr w:rsidR="004B5F1E" w14:paraId="416C67AF" w14:textId="77777777" w:rsidTr="00B902DD">
        <w:tc>
          <w:tcPr>
            <w:tcW w:w="1364" w:type="dxa"/>
          </w:tcPr>
          <w:p w14:paraId="37E6A43E" w14:textId="77777777" w:rsidR="004B5F1E" w:rsidRDefault="004B5F1E" w:rsidP="00B902DD">
            <w:pPr>
              <w:pStyle w:val="TableText"/>
              <w:rPr>
                <w:sz w:val="20"/>
                <w:szCs w:val="20"/>
              </w:rPr>
            </w:pPr>
          </w:p>
        </w:tc>
        <w:tc>
          <w:tcPr>
            <w:tcW w:w="7140" w:type="dxa"/>
          </w:tcPr>
          <w:p w14:paraId="2637B01F" w14:textId="77777777" w:rsidR="004B5F1E" w:rsidRPr="004B5F1E" w:rsidRDefault="004B5F1E" w:rsidP="00B902DD">
            <w:pPr>
              <w:pStyle w:val="TableText"/>
              <w:rPr>
                <w:sz w:val="20"/>
                <w:szCs w:val="20"/>
              </w:rPr>
            </w:pPr>
          </w:p>
        </w:tc>
      </w:tr>
      <w:tr w:rsidR="004B5F1E" w14:paraId="2E761F57" w14:textId="77777777" w:rsidTr="00B902DD">
        <w:tc>
          <w:tcPr>
            <w:tcW w:w="1364" w:type="dxa"/>
          </w:tcPr>
          <w:p w14:paraId="5802B308" w14:textId="77777777" w:rsidR="004B5F1E" w:rsidRDefault="004B5F1E" w:rsidP="00B902DD">
            <w:pPr>
              <w:pStyle w:val="TableText"/>
              <w:rPr>
                <w:sz w:val="20"/>
                <w:szCs w:val="20"/>
              </w:rPr>
            </w:pPr>
          </w:p>
        </w:tc>
        <w:tc>
          <w:tcPr>
            <w:tcW w:w="7140" w:type="dxa"/>
          </w:tcPr>
          <w:p w14:paraId="7A9B2F65" w14:textId="77777777" w:rsidR="004B5F1E" w:rsidRPr="004B5F1E" w:rsidRDefault="004B5F1E" w:rsidP="00B902DD">
            <w:pPr>
              <w:pStyle w:val="TableText"/>
              <w:rPr>
                <w:sz w:val="20"/>
                <w:szCs w:val="20"/>
              </w:rPr>
            </w:pPr>
          </w:p>
        </w:tc>
      </w:tr>
    </w:tbl>
    <w:p w14:paraId="2C820ECF" w14:textId="77777777" w:rsidR="00DA28B2" w:rsidRDefault="00DA28B2" w:rsidP="009D637F">
      <w:pPr>
        <w:pStyle w:val="Heading1"/>
        <w:numPr>
          <w:ilvl w:val="0"/>
          <w:numId w:val="0"/>
        </w:numPr>
      </w:pPr>
    </w:p>
    <w:p w14:paraId="608F0BB9" w14:textId="77777777" w:rsidR="009D637F" w:rsidRDefault="009D637F" w:rsidP="009D637F"/>
    <w:p w14:paraId="22FABAC5" w14:textId="77777777" w:rsidR="009D637F" w:rsidRDefault="009D637F" w:rsidP="009D637F"/>
    <w:p w14:paraId="18481CCE" w14:textId="77777777" w:rsidR="009D637F" w:rsidRDefault="009D637F" w:rsidP="009D637F"/>
    <w:p w14:paraId="25C8735F" w14:textId="77777777" w:rsidR="009D637F" w:rsidRDefault="009D637F" w:rsidP="009D637F"/>
    <w:p w14:paraId="69514779" w14:textId="77777777" w:rsidR="009D637F" w:rsidRDefault="009D637F" w:rsidP="009D637F"/>
    <w:p w14:paraId="3F5F52EE" w14:textId="77777777" w:rsidR="009D637F" w:rsidRDefault="009D637F" w:rsidP="009D637F"/>
    <w:p w14:paraId="7D6FC020" w14:textId="77777777" w:rsidR="009D637F" w:rsidRDefault="009D637F" w:rsidP="009D637F"/>
    <w:p w14:paraId="525FD478" w14:textId="77777777" w:rsidR="009D637F" w:rsidRDefault="009D637F" w:rsidP="009D637F"/>
    <w:p w14:paraId="223D22A9" w14:textId="77777777" w:rsidR="009D637F" w:rsidRDefault="009D637F" w:rsidP="009D637F"/>
    <w:p w14:paraId="03268CB5" w14:textId="77777777" w:rsidR="009D637F" w:rsidRDefault="009D637F" w:rsidP="009D637F"/>
    <w:p w14:paraId="4545932F" w14:textId="77777777" w:rsidR="009D637F" w:rsidRDefault="009D637F" w:rsidP="009D637F"/>
    <w:p w14:paraId="546BD60A" w14:textId="77777777" w:rsidR="009D637F" w:rsidRDefault="009D637F" w:rsidP="009D637F"/>
    <w:p w14:paraId="220BB96C" w14:textId="77777777" w:rsidR="009D637F" w:rsidRDefault="009D637F" w:rsidP="009D637F"/>
    <w:p w14:paraId="6AB2BADE" w14:textId="77777777" w:rsidR="009D637F" w:rsidRDefault="009D637F" w:rsidP="009D637F"/>
    <w:p w14:paraId="16AA8BBE" w14:textId="77777777" w:rsidR="00DB1C19" w:rsidRDefault="00DB1C19">
      <w:pPr>
        <w:spacing w:before="0" w:after="200" w:line="276" w:lineRule="auto"/>
        <w:jc w:val="left"/>
        <w:rPr>
          <w:rFonts w:cs="Arial"/>
          <w:b/>
          <w:bCs/>
          <w:kern w:val="32"/>
          <w:sz w:val="32"/>
          <w:szCs w:val="32"/>
        </w:rPr>
      </w:pPr>
      <w:r>
        <w:br w:type="page"/>
      </w:r>
    </w:p>
    <w:p w14:paraId="1ACA3F4E" w14:textId="06449C84" w:rsidR="003F7EBC" w:rsidRPr="00C61652" w:rsidRDefault="00DB1C19" w:rsidP="003F7EBC">
      <w:pPr>
        <w:pStyle w:val="Heading1"/>
        <w:rPr>
          <w:sz w:val="28"/>
          <w:szCs w:val="28"/>
        </w:rPr>
      </w:pPr>
      <w:bookmarkStart w:id="31" w:name="_Toc51833420"/>
      <w:bookmarkStart w:id="32" w:name="_Toc290554258"/>
      <w:bookmarkStart w:id="33" w:name="_Toc299621223"/>
      <w:bookmarkStart w:id="34" w:name="_Toc299631448"/>
      <w:bookmarkStart w:id="35" w:name="_Toc299631510"/>
      <w:bookmarkStart w:id="36" w:name="_Toc299631600"/>
      <w:bookmarkStart w:id="37" w:name="_Toc299631676"/>
      <w:bookmarkStart w:id="38" w:name="_Toc137806476"/>
      <w:bookmarkStart w:id="39" w:name="_Toc234948142"/>
      <w:r w:rsidRPr="00C61652">
        <w:rPr>
          <w:sz w:val="28"/>
          <w:szCs w:val="28"/>
        </w:rPr>
        <w:lastRenderedPageBreak/>
        <w:t>Risk Assessment</w:t>
      </w:r>
      <w:bookmarkEnd w:id="39"/>
      <w:r w:rsidRPr="00C61652">
        <w:rPr>
          <w:sz w:val="28"/>
          <w:szCs w:val="28"/>
        </w:rPr>
        <w:t xml:space="preserve"> </w:t>
      </w:r>
    </w:p>
    <w:p w14:paraId="3D173113" w14:textId="04F227E4" w:rsidR="00DB1C19" w:rsidRPr="00C61652" w:rsidRDefault="00DB1C19" w:rsidP="00DB1C19">
      <w:pPr>
        <w:pStyle w:val="Heading2"/>
        <w:rPr>
          <w:sz w:val="24"/>
          <w:szCs w:val="24"/>
        </w:rPr>
      </w:pPr>
      <w:bookmarkStart w:id="40" w:name="_Toc234948143"/>
      <w:r w:rsidRPr="00C61652">
        <w:rPr>
          <w:sz w:val="24"/>
          <w:szCs w:val="24"/>
        </w:rPr>
        <w:t>Task/System Description</w:t>
      </w:r>
      <w:bookmarkEnd w:id="40"/>
      <w:r w:rsidRPr="00C61652">
        <w:rPr>
          <w:sz w:val="24"/>
          <w:szCs w:val="24"/>
        </w:rPr>
        <w:t xml:space="preserve"> </w:t>
      </w:r>
    </w:p>
    <w:p w14:paraId="28AACC40" w14:textId="7EA553D7"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This risk assessment considers a generic 115 mm large-calibre gun system. It is based only on open-source, non-proprietary and unclassified information and is not intended to represent a particular in-service weapon system.</w:t>
      </w:r>
    </w:p>
    <w:p w14:paraId="3B6A6A2C" w14:textId="77777777"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 xml:space="preserve">For this assessment, the system is assumed to include the main mechanical, energetic and electrical parts needed for operation. Credible hazards are considered across the Manufacture to Target Disposal Sequence (MTDS), including storage, transport, preparation for use, firing, post-firing activity, maintenance, misfire or </w:t>
      </w:r>
      <w:proofErr w:type="spellStart"/>
      <w:r w:rsidRPr="005A2BFE">
        <w:rPr>
          <w:rFonts w:cs="Arial"/>
          <w:color w:val="000000"/>
          <w:sz w:val="20"/>
          <w:szCs w:val="20"/>
          <w:lang w:eastAsia="en-GB"/>
        </w:rPr>
        <w:t>hangfire</w:t>
      </w:r>
      <w:proofErr w:type="spellEnd"/>
      <w:r w:rsidRPr="005A2BFE">
        <w:rPr>
          <w:rFonts w:cs="Arial"/>
          <w:color w:val="000000"/>
          <w:sz w:val="20"/>
          <w:szCs w:val="20"/>
          <w:lang w:eastAsia="en-GB"/>
        </w:rPr>
        <w:t xml:space="preserve"> response and disposal.</w:t>
      </w:r>
    </w:p>
    <w:p w14:paraId="0DA3A168" w14:textId="49E08958" w:rsidR="00272FFE" w:rsidRPr="00272FFE" w:rsidRDefault="00272FFE" w:rsidP="00272FFE">
      <w:pPr>
        <w:spacing w:before="100" w:beforeAutospacing="1" w:after="100" w:afterAutospacing="1" w:line="240" w:lineRule="auto"/>
        <w:jc w:val="left"/>
        <w:rPr>
          <w:rFonts w:cs="Arial"/>
          <w:color w:val="000000"/>
          <w:sz w:val="20"/>
          <w:szCs w:val="20"/>
          <w:lang w:eastAsia="en-GB"/>
        </w:rPr>
      </w:pPr>
      <w:r w:rsidRPr="00272FFE">
        <w:rPr>
          <w:rFonts w:cs="Arial"/>
          <w:color w:val="000000"/>
          <w:sz w:val="20"/>
          <w:szCs w:val="20"/>
          <w:lang w:eastAsia="en-GB"/>
        </w:rPr>
        <w:t>A large-calibre gun system contains several sources of hazard, including energetic material, high-pressure gas, moving mechanisms, electrical equipment, hot surfaces and noise. If these are not properly controlled, operators, maintainers, support staff and other nearby personnel could be injured. The six hazards taken forward into the risk assessment are explosion, electrical hazards, asphyxiant or toxic effects, high-pressure gas, heat and noise.</w:t>
      </w:r>
    </w:p>
    <w:p w14:paraId="21A38DE3" w14:textId="77777777"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A qualitative risk matrix is used to estimate the risk before and after controls are applied. The assessment remains high-level because detailed design and reliability information is not available. Even so, it identifies realistic accident routes and applies controls that are consistent with recognised safety practice.</w:t>
      </w:r>
    </w:p>
    <w:p w14:paraId="497D0C34" w14:textId="29854C39" w:rsidR="00EB52DE" w:rsidRPr="00C61652" w:rsidRDefault="005A2BFE" w:rsidP="00C61652">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Detailed manufacturing activities are outside the scope of this generic assessment. However, manufacture and storage are considered against the Explosives Regulations 2014, transport is considered against the relevant dangerous-goods carriage requirements, and DSA</w:t>
      </w:r>
      <w:r w:rsidR="003F6B32">
        <w:rPr>
          <w:rFonts w:cs="Arial"/>
          <w:color w:val="000000"/>
          <w:sz w:val="20"/>
          <w:szCs w:val="20"/>
          <w:lang w:eastAsia="en-GB"/>
        </w:rPr>
        <w:t>.</w:t>
      </w:r>
      <w:r w:rsidRPr="005A2BFE">
        <w:rPr>
          <w:rFonts w:cs="Arial"/>
          <w:color w:val="000000"/>
          <w:sz w:val="20"/>
          <w:szCs w:val="20"/>
          <w:lang w:eastAsia="en-GB"/>
        </w:rPr>
        <w:t>03 OME is used as defence good practice across acquisition, use, storage, movement and disposal. [1] [</w:t>
      </w:r>
      <w:r w:rsidR="00EA742A">
        <w:rPr>
          <w:rFonts w:cs="Arial"/>
          <w:color w:val="000000"/>
          <w:sz w:val="20"/>
          <w:szCs w:val="20"/>
          <w:lang w:eastAsia="en-GB"/>
        </w:rPr>
        <w:t>2</w:t>
      </w:r>
      <w:r w:rsidRPr="005A2BFE">
        <w:rPr>
          <w:rFonts w:cs="Arial"/>
          <w:color w:val="000000"/>
          <w:sz w:val="20"/>
          <w:szCs w:val="20"/>
          <w:lang w:eastAsia="en-GB"/>
        </w:rPr>
        <w:t>] [</w:t>
      </w:r>
      <w:r w:rsidR="00EA742A">
        <w:rPr>
          <w:rFonts w:cs="Arial"/>
          <w:color w:val="000000"/>
          <w:sz w:val="20"/>
          <w:szCs w:val="20"/>
          <w:lang w:eastAsia="en-GB"/>
        </w:rPr>
        <w:t>3</w:t>
      </w:r>
      <w:r w:rsidRPr="005A2BFE">
        <w:rPr>
          <w:rFonts w:cs="Arial"/>
          <w:color w:val="000000"/>
          <w:sz w:val="20"/>
          <w:szCs w:val="20"/>
          <w:lang w:eastAsia="en-GB"/>
        </w:rPr>
        <w:t>]</w:t>
      </w:r>
      <w:r w:rsidR="00EA742A">
        <w:rPr>
          <w:rFonts w:cs="Arial"/>
          <w:color w:val="000000"/>
          <w:sz w:val="20"/>
          <w:szCs w:val="20"/>
          <w:lang w:eastAsia="en-GB"/>
        </w:rPr>
        <w:t xml:space="preserve"> [4]</w:t>
      </w:r>
    </w:p>
    <w:p w14:paraId="7608C983" w14:textId="63F47877" w:rsidR="00DB1C19" w:rsidRPr="00C61652" w:rsidRDefault="00DB1C19" w:rsidP="00DB1C19">
      <w:pPr>
        <w:pStyle w:val="Heading2"/>
        <w:rPr>
          <w:sz w:val="24"/>
          <w:szCs w:val="24"/>
        </w:rPr>
      </w:pPr>
      <w:bookmarkStart w:id="41" w:name="_Toc234948144"/>
      <w:r w:rsidRPr="00C61652">
        <w:rPr>
          <w:sz w:val="24"/>
          <w:szCs w:val="24"/>
        </w:rPr>
        <w:t>Scope and Assumptions</w:t>
      </w:r>
      <w:bookmarkEnd w:id="41"/>
      <w:r w:rsidRPr="00C61652">
        <w:rPr>
          <w:sz w:val="24"/>
          <w:szCs w:val="24"/>
        </w:rPr>
        <w:t xml:space="preserve"> </w:t>
      </w:r>
    </w:p>
    <w:p w14:paraId="55FBD5DC" w14:textId="4A1C318B" w:rsid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Because only open-source, non-proprietary and unclassified information is available, this work is suitable as a high-level assessment rather than a detailed system safety case. [</w:t>
      </w:r>
      <w:r w:rsidR="00EA742A">
        <w:rPr>
          <w:rFonts w:cs="Arial"/>
          <w:color w:val="000000"/>
          <w:sz w:val="20"/>
          <w:szCs w:val="20"/>
          <w:lang w:eastAsia="en-GB"/>
        </w:rPr>
        <w:t>4</w:t>
      </w:r>
      <w:r w:rsidRPr="005A2BFE">
        <w:rPr>
          <w:rFonts w:cs="Arial"/>
          <w:color w:val="000000"/>
          <w:sz w:val="20"/>
          <w:szCs w:val="20"/>
          <w:lang w:eastAsia="en-GB"/>
        </w:rPr>
        <w:t>] [</w:t>
      </w:r>
      <w:r w:rsidR="00EA742A">
        <w:rPr>
          <w:rFonts w:cs="Arial"/>
          <w:color w:val="000000"/>
          <w:sz w:val="20"/>
          <w:szCs w:val="20"/>
          <w:lang w:eastAsia="en-GB"/>
        </w:rPr>
        <w:t>5</w:t>
      </w:r>
      <w:r w:rsidRPr="005A2BFE">
        <w:rPr>
          <w:rFonts w:cs="Arial"/>
          <w:color w:val="000000"/>
          <w:sz w:val="20"/>
          <w:szCs w:val="20"/>
          <w:lang w:eastAsia="en-GB"/>
        </w:rPr>
        <w:t>]</w:t>
      </w:r>
    </w:p>
    <w:p w14:paraId="5E9110A8" w14:textId="4E2FE4FA" w:rsidR="00272FFE" w:rsidRPr="005A2BFE" w:rsidRDefault="00272FFE" w:rsidP="005A2BFE">
      <w:pPr>
        <w:spacing w:before="100" w:beforeAutospacing="1" w:after="100" w:afterAutospacing="1" w:line="240" w:lineRule="auto"/>
        <w:jc w:val="left"/>
        <w:rPr>
          <w:rFonts w:cs="Arial"/>
          <w:color w:val="000000"/>
          <w:sz w:val="20"/>
          <w:szCs w:val="20"/>
          <w:lang w:eastAsia="en-GB"/>
        </w:rPr>
      </w:pPr>
      <w:r w:rsidRPr="00272FFE">
        <w:rPr>
          <w:rFonts w:cs="Arial"/>
          <w:color w:val="000000"/>
          <w:sz w:val="20"/>
          <w:szCs w:val="20"/>
          <w:lang w:eastAsia="en-GB"/>
        </w:rPr>
        <w:t>The intended audience is the operating authority, safety manager and personnel responsible for authorising, operating or maintaining the system. The assessment is written to show the main accident pathways, the controls required before operation and the evidence needed to demonstrate that those controls remain effective.</w:t>
      </w:r>
    </w:p>
    <w:p w14:paraId="39483576" w14:textId="4BFC3E66"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 xml:space="preserve">The assessment covers hazards that could affect operators, maintainers, support staff and other people nearby during both normal and abnormal activities. It does not include detailed modelling of explosive effects, toxic exposure, pressure release, noise propagation or electrical circuit behaviour. </w:t>
      </w:r>
      <w:r w:rsidR="00473D7E">
        <w:rPr>
          <w:rFonts w:cs="Arial"/>
          <w:color w:val="000000"/>
          <w:sz w:val="20"/>
          <w:szCs w:val="20"/>
          <w:lang w:eastAsia="en-GB"/>
        </w:rPr>
        <w:t>Because</w:t>
      </w:r>
      <w:r w:rsidRPr="005A2BFE">
        <w:rPr>
          <w:rFonts w:cs="Arial"/>
          <w:color w:val="000000"/>
          <w:sz w:val="20"/>
          <w:szCs w:val="20"/>
          <w:lang w:eastAsia="en-GB"/>
        </w:rPr>
        <w:t xml:space="preserve"> exact data is not available, conservative assumptions have been used to avoid understating the risk.</w:t>
      </w:r>
    </w:p>
    <w:p w14:paraId="2237AFDC" w14:textId="081F0392"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The system is assumed to be used in a controlled military or t</w:t>
      </w:r>
      <w:r w:rsidR="00A5713E">
        <w:rPr>
          <w:rFonts w:cs="Arial"/>
          <w:color w:val="000000"/>
          <w:sz w:val="20"/>
          <w:szCs w:val="20"/>
          <w:lang w:eastAsia="en-GB"/>
        </w:rPr>
        <w:t>est</w:t>
      </w:r>
      <w:r w:rsidRPr="005A2BFE">
        <w:rPr>
          <w:rFonts w:cs="Arial"/>
          <w:color w:val="000000"/>
          <w:sz w:val="20"/>
          <w:szCs w:val="20"/>
          <w:lang w:eastAsia="en-GB"/>
        </w:rPr>
        <w:t xml:space="preserve"> environment by authorised personnel. Training, procedures, maintenance and inspections are not included in the pre-control rating</w:t>
      </w:r>
      <w:r w:rsidR="00473D7E">
        <w:rPr>
          <w:rFonts w:cs="Arial"/>
          <w:color w:val="000000"/>
          <w:sz w:val="20"/>
          <w:szCs w:val="20"/>
          <w:lang w:eastAsia="en-GB"/>
        </w:rPr>
        <w:t>,</w:t>
      </w:r>
      <w:r w:rsidRPr="005A2BFE">
        <w:rPr>
          <w:rFonts w:cs="Arial"/>
          <w:color w:val="000000"/>
          <w:sz w:val="20"/>
          <w:szCs w:val="20"/>
          <w:lang w:eastAsia="en-GB"/>
        </w:rPr>
        <w:t xml:space="preserve"> they are only credited when the post-control risk is assessed. As no system-specific failure or incident data is available, the likelihood ratings are qualitative judgements and confidence in them is low. The assessment would need to be reviewed following any significant change to the system, ammunition, environment, maintenance condition or operating procedure.</w:t>
      </w:r>
    </w:p>
    <w:p w14:paraId="67BBCB27" w14:textId="144347D9" w:rsidR="00B92531" w:rsidRPr="00C61652" w:rsidRDefault="005A2BFE" w:rsidP="006A1963">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Safety-led design has been followed by considering elimination and engineered prevention before relying on procedures or personal protective equipment</w:t>
      </w:r>
      <w:r w:rsidR="00473D7E">
        <w:rPr>
          <w:rFonts w:cs="Arial"/>
          <w:color w:val="000000"/>
          <w:sz w:val="20"/>
          <w:szCs w:val="20"/>
          <w:lang w:eastAsia="en-GB"/>
        </w:rPr>
        <w:t xml:space="preserve"> (PPE)</w:t>
      </w:r>
      <w:r w:rsidRPr="005A2BFE">
        <w:rPr>
          <w:rFonts w:cs="Arial"/>
          <w:color w:val="000000"/>
          <w:sz w:val="20"/>
          <w:szCs w:val="20"/>
          <w:lang w:eastAsia="en-GB"/>
        </w:rPr>
        <w:t>. A Hazard and Operability Study (</w:t>
      </w:r>
      <w:proofErr w:type="spellStart"/>
      <w:r w:rsidRPr="005A2BFE">
        <w:rPr>
          <w:rFonts w:cs="Arial"/>
          <w:color w:val="000000"/>
          <w:sz w:val="20"/>
          <w:szCs w:val="20"/>
          <w:lang w:eastAsia="en-GB"/>
        </w:rPr>
        <w:t>HazOp</w:t>
      </w:r>
      <w:proofErr w:type="spellEnd"/>
      <w:r w:rsidRPr="005A2BFE">
        <w:rPr>
          <w:rFonts w:cs="Arial"/>
          <w:color w:val="000000"/>
          <w:sz w:val="20"/>
          <w:szCs w:val="20"/>
          <w:lang w:eastAsia="en-GB"/>
        </w:rPr>
        <w:t xml:space="preserve">) was not completed because the generic system description does not contain enough subsystem detail, process information or design data for the study to be meaningful. A </w:t>
      </w:r>
      <w:proofErr w:type="spellStart"/>
      <w:r w:rsidRPr="005A2BFE">
        <w:rPr>
          <w:rFonts w:cs="Arial"/>
          <w:color w:val="000000"/>
          <w:sz w:val="20"/>
          <w:szCs w:val="20"/>
          <w:lang w:eastAsia="en-GB"/>
        </w:rPr>
        <w:t>HazOp</w:t>
      </w:r>
      <w:proofErr w:type="spellEnd"/>
      <w:r w:rsidRPr="005A2BFE">
        <w:rPr>
          <w:rFonts w:cs="Arial"/>
          <w:color w:val="000000"/>
          <w:sz w:val="20"/>
          <w:szCs w:val="20"/>
          <w:lang w:eastAsia="en-GB"/>
        </w:rPr>
        <w:t xml:space="preserve"> should be carried out when the required information becomes available, and its findings should be used to update the Hazard Identification (</w:t>
      </w:r>
      <w:proofErr w:type="spellStart"/>
      <w:r w:rsidRPr="005A2BFE">
        <w:rPr>
          <w:rFonts w:cs="Arial"/>
          <w:color w:val="000000"/>
          <w:sz w:val="20"/>
          <w:szCs w:val="20"/>
          <w:lang w:eastAsia="en-GB"/>
        </w:rPr>
        <w:t>HazID</w:t>
      </w:r>
      <w:proofErr w:type="spellEnd"/>
      <w:r w:rsidRPr="005A2BFE">
        <w:rPr>
          <w:rFonts w:cs="Arial"/>
          <w:color w:val="000000"/>
          <w:sz w:val="20"/>
          <w:szCs w:val="20"/>
          <w:lang w:eastAsia="en-GB"/>
        </w:rPr>
        <w:t>) and risk assessment.</w:t>
      </w:r>
    </w:p>
    <w:p w14:paraId="06B2E16F" w14:textId="0A464160" w:rsidR="00DB1C19" w:rsidRPr="00C61652" w:rsidRDefault="00DB1C19" w:rsidP="00DB1C19">
      <w:pPr>
        <w:pStyle w:val="Heading2"/>
        <w:rPr>
          <w:sz w:val="24"/>
          <w:szCs w:val="24"/>
        </w:rPr>
      </w:pPr>
      <w:bookmarkStart w:id="42" w:name="_Toc234948145"/>
      <w:r w:rsidRPr="00C61652">
        <w:rPr>
          <w:sz w:val="24"/>
          <w:szCs w:val="24"/>
        </w:rPr>
        <w:lastRenderedPageBreak/>
        <w:t>Risk Assessment Method</w:t>
      </w:r>
      <w:bookmarkEnd w:id="42"/>
    </w:p>
    <w:p w14:paraId="4DC2F9F2" w14:textId="763027B0" w:rsidR="00BC77C8" w:rsidRPr="00BC77C8" w:rsidRDefault="005A2BFE" w:rsidP="00BC77C8">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The method separates each hazard from its top event, likely causes and possible consequences. Likelihood is based on how often the defined harmful event could occur, not simply on how often the hazard is present. For example, high-pressure gas is produced every time the weapon is fired, but the event being scored is an uncontrolled release or loss of containment</w:t>
      </w:r>
      <w:r w:rsidR="00BC77C8" w:rsidRPr="00BC77C8">
        <w:rPr>
          <w:rFonts w:cs="Arial"/>
          <w:color w:val="000000"/>
          <w:sz w:val="20"/>
          <w:szCs w:val="20"/>
          <w:lang w:eastAsia="en-GB"/>
        </w:rPr>
        <w:t>.</w:t>
      </w:r>
    </w:p>
    <w:p w14:paraId="32B36731" w14:textId="52EE4181" w:rsidR="00BC77C8" w:rsidRDefault="00353617" w:rsidP="00BC77C8">
      <w:pPr>
        <w:spacing w:before="100" w:beforeAutospacing="1" w:after="100" w:afterAutospacing="1" w:line="240" w:lineRule="auto"/>
        <w:jc w:val="left"/>
        <w:rPr>
          <w:rFonts w:cs="Arial"/>
          <w:color w:val="000000"/>
          <w:sz w:val="20"/>
          <w:szCs w:val="20"/>
          <w:lang w:eastAsia="en-GB"/>
        </w:rPr>
      </w:pPr>
      <w:r w:rsidRPr="00353617">
        <w:rPr>
          <w:rFonts w:cs="Arial"/>
          <w:color w:val="000000"/>
          <w:sz w:val="20"/>
          <w:szCs w:val="20"/>
          <w:lang w:eastAsia="en-GB"/>
        </w:rPr>
        <w:t xml:space="preserve">Each hazard is rated before and after controls. Likelihood is a cautious qualitative judgement based on exposure, credible causes, control independence and uncertainty, rather than a proven failure rate. Where two categories appear reasonable, the higher category is used. A post-control reduction is only accepted where controls can be checked through inspection, testing, maintenance or competence records. The risk class indicates tolerability but does not itself demonstrate </w:t>
      </w:r>
      <w:r w:rsidRPr="005A2BFE">
        <w:rPr>
          <w:rFonts w:cs="Arial"/>
          <w:color w:val="000000"/>
          <w:sz w:val="20"/>
          <w:szCs w:val="20"/>
          <w:lang w:eastAsia="en-GB"/>
        </w:rPr>
        <w:t>As Low as Reasonably Practicable (ALARP)</w:t>
      </w:r>
      <w:r>
        <w:rPr>
          <w:rFonts w:cs="Arial"/>
          <w:color w:val="000000"/>
          <w:sz w:val="20"/>
          <w:szCs w:val="20"/>
          <w:lang w:eastAsia="en-GB"/>
        </w:rPr>
        <w:t xml:space="preserve">. </w:t>
      </w:r>
      <w:r w:rsidR="00EA742A">
        <w:rPr>
          <w:rFonts w:cs="Arial"/>
          <w:color w:val="000000"/>
          <w:sz w:val="20"/>
          <w:szCs w:val="20"/>
          <w:lang w:eastAsia="en-GB"/>
        </w:rPr>
        <w:t>[4] [6] [7] [8]</w:t>
      </w:r>
    </w:p>
    <w:p w14:paraId="5118F979" w14:textId="0CBFBC9C" w:rsidR="00DB1C19" w:rsidRPr="00BC77C8" w:rsidRDefault="00DB1C19" w:rsidP="00A5713E">
      <w:pPr>
        <w:spacing w:before="100" w:beforeAutospacing="1" w:line="276" w:lineRule="auto"/>
        <w:jc w:val="left"/>
        <w:rPr>
          <w:rFonts w:cs="Arial"/>
          <w:b/>
          <w:bCs/>
          <w:color w:val="000000"/>
          <w:sz w:val="20"/>
          <w:szCs w:val="20"/>
          <w:lang w:eastAsia="en-GB"/>
        </w:rPr>
      </w:pPr>
      <w:r w:rsidRPr="00BC77C8">
        <w:rPr>
          <w:b/>
          <w:bCs/>
          <w:sz w:val="20"/>
          <w:szCs w:val="20"/>
          <w:lang w:eastAsia="en-GB"/>
        </w:rPr>
        <w:t xml:space="preserve">Severity Categories: </w:t>
      </w:r>
    </w:p>
    <w:tbl>
      <w:tblPr>
        <w:tblStyle w:val="TableGrid"/>
        <w:tblW w:w="0" w:type="auto"/>
        <w:jc w:val="center"/>
        <w:tblLook w:val="04A0" w:firstRow="1" w:lastRow="0" w:firstColumn="1" w:lastColumn="0" w:noHBand="0" w:noVBand="1"/>
      </w:tblPr>
      <w:tblGrid>
        <w:gridCol w:w="1980"/>
        <w:gridCol w:w="7036"/>
      </w:tblGrid>
      <w:tr w:rsidR="00DB1C19" w:rsidRPr="00E246AB" w14:paraId="7800F4AB" w14:textId="77777777" w:rsidTr="00975EE3">
        <w:trPr>
          <w:jc w:val="center"/>
        </w:trPr>
        <w:tc>
          <w:tcPr>
            <w:tcW w:w="1980" w:type="dxa"/>
            <w:vAlign w:val="center"/>
          </w:tcPr>
          <w:p w14:paraId="761DDA1E" w14:textId="05E14FD6" w:rsidR="00DB1C19" w:rsidRPr="00E246AB" w:rsidRDefault="00DB1C19" w:rsidP="00975EE3">
            <w:pPr>
              <w:spacing w:before="100" w:beforeAutospacing="1" w:after="100" w:afterAutospacing="1" w:line="240" w:lineRule="auto"/>
              <w:jc w:val="center"/>
              <w:rPr>
                <w:rFonts w:cs="Arial"/>
                <w:b/>
                <w:bCs/>
                <w:color w:val="000000"/>
                <w:sz w:val="20"/>
                <w:szCs w:val="20"/>
                <w:lang w:eastAsia="en-GB"/>
              </w:rPr>
            </w:pPr>
            <w:r w:rsidRPr="00E246AB">
              <w:rPr>
                <w:rFonts w:cs="Arial"/>
                <w:b/>
                <w:bCs/>
                <w:color w:val="000000"/>
                <w:sz w:val="20"/>
                <w:szCs w:val="20"/>
                <w:lang w:eastAsia="en-GB"/>
              </w:rPr>
              <w:t>Severity</w:t>
            </w:r>
          </w:p>
        </w:tc>
        <w:tc>
          <w:tcPr>
            <w:tcW w:w="7036" w:type="dxa"/>
            <w:vAlign w:val="center"/>
          </w:tcPr>
          <w:p w14:paraId="7245BA17" w14:textId="2FC065A3" w:rsidR="00DB1C19" w:rsidRPr="00E246AB" w:rsidRDefault="00DB1C19" w:rsidP="00975EE3">
            <w:pPr>
              <w:spacing w:before="100" w:beforeAutospacing="1" w:after="100" w:afterAutospacing="1" w:line="240" w:lineRule="auto"/>
              <w:jc w:val="center"/>
              <w:rPr>
                <w:rFonts w:cs="Arial"/>
                <w:b/>
                <w:bCs/>
                <w:color w:val="000000"/>
                <w:sz w:val="20"/>
                <w:szCs w:val="20"/>
                <w:lang w:eastAsia="en-GB"/>
              </w:rPr>
            </w:pPr>
            <w:r w:rsidRPr="00E246AB">
              <w:rPr>
                <w:rFonts w:cs="Arial"/>
                <w:b/>
                <w:bCs/>
                <w:color w:val="000000"/>
                <w:sz w:val="20"/>
                <w:szCs w:val="20"/>
                <w:lang w:eastAsia="en-GB"/>
              </w:rPr>
              <w:t>Description</w:t>
            </w:r>
          </w:p>
        </w:tc>
      </w:tr>
      <w:tr w:rsidR="00DB1C19" w:rsidRPr="00E246AB" w14:paraId="22B5E92C" w14:textId="77777777" w:rsidTr="00975EE3">
        <w:trPr>
          <w:jc w:val="center"/>
        </w:trPr>
        <w:tc>
          <w:tcPr>
            <w:tcW w:w="1980" w:type="dxa"/>
            <w:vAlign w:val="center"/>
          </w:tcPr>
          <w:p w14:paraId="57B74F1D" w14:textId="66AD90EF" w:rsidR="00DB1C19" w:rsidRPr="00E246AB" w:rsidRDefault="00DB1C19" w:rsidP="00975EE3">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Catastrophic</w:t>
            </w:r>
          </w:p>
        </w:tc>
        <w:tc>
          <w:tcPr>
            <w:tcW w:w="7036" w:type="dxa"/>
            <w:vAlign w:val="center"/>
          </w:tcPr>
          <w:p w14:paraId="2E62E347" w14:textId="666CC009" w:rsidR="00DB1C19" w:rsidRPr="00E246AB" w:rsidRDefault="00DB1C19" w:rsidP="00975EE3">
            <w:pPr>
              <w:spacing w:before="100" w:beforeAutospacing="1" w:after="100" w:afterAutospacing="1" w:line="240" w:lineRule="auto"/>
              <w:jc w:val="left"/>
              <w:rPr>
                <w:rFonts w:cs="Arial"/>
                <w:color w:val="000000"/>
                <w:sz w:val="20"/>
                <w:szCs w:val="20"/>
                <w:lang w:eastAsia="en-GB"/>
              </w:rPr>
            </w:pPr>
            <w:r w:rsidRPr="00E246AB">
              <w:rPr>
                <w:rFonts w:cs="Arial"/>
                <w:color w:val="000000"/>
                <w:sz w:val="20"/>
                <w:szCs w:val="20"/>
                <w:lang w:eastAsia="en-GB"/>
              </w:rPr>
              <w:t>Multiple fatalities, major system loss, long-term environmental impact or complete facility loss</w:t>
            </w:r>
          </w:p>
        </w:tc>
      </w:tr>
      <w:tr w:rsidR="00DB1C19" w:rsidRPr="00E246AB" w14:paraId="6BC3A3BD" w14:textId="77777777" w:rsidTr="00975EE3">
        <w:trPr>
          <w:jc w:val="center"/>
        </w:trPr>
        <w:tc>
          <w:tcPr>
            <w:tcW w:w="1980" w:type="dxa"/>
            <w:vAlign w:val="center"/>
          </w:tcPr>
          <w:p w14:paraId="37BEF050" w14:textId="7B63AECA" w:rsidR="00DB1C19" w:rsidRPr="00E246AB" w:rsidRDefault="00DB1C19" w:rsidP="00975EE3">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Critical</w:t>
            </w:r>
          </w:p>
        </w:tc>
        <w:tc>
          <w:tcPr>
            <w:tcW w:w="7036" w:type="dxa"/>
            <w:vAlign w:val="center"/>
          </w:tcPr>
          <w:p w14:paraId="3315F0CC" w14:textId="7420D3F8" w:rsidR="00DB1C19" w:rsidRPr="00E246AB" w:rsidRDefault="00DB1C19" w:rsidP="00975EE3">
            <w:pPr>
              <w:spacing w:before="100" w:beforeAutospacing="1" w:after="100" w:afterAutospacing="1" w:line="240" w:lineRule="auto"/>
              <w:jc w:val="left"/>
              <w:rPr>
                <w:rFonts w:cs="Arial"/>
                <w:color w:val="000000"/>
                <w:sz w:val="20"/>
                <w:szCs w:val="20"/>
                <w:lang w:eastAsia="en-GB"/>
              </w:rPr>
            </w:pPr>
            <w:r w:rsidRPr="00E246AB">
              <w:rPr>
                <w:rFonts w:cs="Arial"/>
                <w:color w:val="000000"/>
                <w:sz w:val="20"/>
                <w:szCs w:val="20"/>
                <w:lang w:eastAsia="en-GB"/>
              </w:rPr>
              <w:t>Single fatality or long-term injury</w:t>
            </w:r>
          </w:p>
        </w:tc>
      </w:tr>
      <w:tr w:rsidR="00DB1C19" w:rsidRPr="00E246AB" w14:paraId="071EB470" w14:textId="77777777" w:rsidTr="00975EE3">
        <w:trPr>
          <w:jc w:val="center"/>
        </w:trPr>
        <w:tc>
          <w:tcPr>
            <w:tcW w:w="1980" w:type="dxa"/>
            <w:vAlign w:val="center"/>
          </w:tcPr>
          <w:p w14:paraId="4B6D7D80" w14:textId="3A6C73F0" w:rsidR="00DB1C19" w:rsidRPr="00E246AB" w:rsidRDefault="00DB1C19" w:rsidP="00975EE3">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Marginal</w:t>
            </w:r>
          </w:p>
        </w:tc>
        <w:tc>
          <w:tcPr>
            <w:tcW w:w="7036" w:type="dxa"/>
            <w:vAlign w:val="center"/>
          </w:tcPr>
          <w:p w14:paraId="42746A4C" w14:textId="4F06400D" w:rsidR="00DB1C19" w:rsidRPr="00E246AB" w:rsidRDefault="00DB1C19" w:rsidP="00975EE3">
            <w:pPr>
              <w:spacing w:before="100" w:beforeAutospacing="1" w:after="100" w:afterAutospacing="1" w:line="240" w:lineRule="auto"/>
              <w:jc w:val="left"/>
              <w:rPr>
                <w:rFonts w:cs="Arial"/>
                <w:color w:val="000000"/>
                <w:sz w:val="20"/>
                <w:szCs w:val="20"/>
                <w:lang w:eastAsia="en-GB"/>
              </w:rPr>
            </w:pPr>
            <w:r w:rsidRPr="00E246AB">
              <w:rPr>
                <w:rFonts w:cs="Arial"/>
                <w:color w:val="000000"/>
                <w:sz w:val="20"/>
                <w:szCs w:val="20"/>
                <w:lang w:eastAsia="en-GB"/>
              </w:rPr>
              <w:t>Medium-term injury or short-term injury to non-associated personnel</w:t>
            </w:r>
          </w:p>
        </w:tc>
      </w:tr>
      <w:tr w:rsidR="00DB1C19" w:rsidRPr="00E246AB" w14:paraId="4A4FC30A" w14:textId="77777777" w:rsidTr="00975EE3">
        <w:trPr>
          <w:trHeight w:val="375"/>
          <w:jc w:val="center"/>
        </w:trPr>
        <w:tc>
          <w:tcPr>
            <w:tcW w:w="1980" w:type="dxa"/>
            <w:vAlign w:val="center"/>
          </w:tcPr>
          <w:p w14:paraId="3FFCE376" w14:textId="09E8AB51" w:rsidR="00DB1C19" w:rsidRPr="00E246AB" w:rsidRDefault="00DB1C19" w:rsidP="00975EE3">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Negligible</w:t>
            </w:r>
          </w:p>
        </w:tc>
        <w:tc>
          <w:tcPr>
            <w:tcW w:w="7036" w:type="dxa"/>
            <w:vAlign w:val="center"/>
          </w:tcPr>
          <w:p w14:paraId="63AEF73D" w14:textId="5A171617" w:rsidR="00DB1C19" w:rsidRPr="00E246AB" w:rsidRDefault="00DB1C19" w:rsidP="00975EE3">
            <w:pPr>
              <w:keepNext/>
              <w:spacing w:before="100" w:beforeAutospacing="1" w:after="100" w:afterAutospacing="1" w:line="240" w:lineRule="auto"/>
              <w:jc w:val="left"/>
              <w:rPr>
                <w:rFonts w:cs="Arial"/>
                <w:color w:val="000000"/>
                <w:sz w:val="20"/>
                <w:szCs w:val="20"/>
                <w:lang w:eastAsia="en-GB"/>
              </w:rPr>
            </w:pPr>
            <w:r w:rsidRPr="00E246AB">
              <w:rPr>
                <w:rFonts w:cs="Arial"/>
                <w:color w:val="000000"/>
                <w:sz w:val="20"/>
                <w:szCs w:val="20"/>
                <w:lang w:eastAsia="en-GB"/>
              </w:rPr>
              <w:t>Short-term injury or minor harm</w:t>
            </w:r>
          </w:p>
        </w:tc>
      </w:tr>
    </w:tbl>
    <w:p w14:paraId="3BAB2FD9" w14:textId="169CC2A7" w:rsidR="009323BE" w:rsidRPr="009323BE" w:rsidRDefault="009323BE" w:rsidP="009323BE">
      <w:pPr>
        <w:pStyle w:val="Caption"/>
        <w:jc w:val="center"/>
        <w:rPr>
          <w:sz w:val="16"/>
          <w:szCs w:val="16"/>
        </w:rPr>
      </w:pPr>
      <w:r w:rsidRPr="009323BE">
        <w:rPr>
          <w:sz w:val="16"/>
          <w:szCs w:val="16"/>
        </w:rPr>
        <w:t xml:space="preserve">Table </w:t>
      </w:r>
      <w:r w:rsidRPr="009323BE">
        <w:rPr>
          <w:sz w:val="16"/>
          <w:szCs w:val="16"/>
        </w:rPr>
        <w:fldChar w:fldCharType="begin"/>
      </w:r>
      <w:r w:rsidRPr="009323BE">
        <w:rPr>
          <w:sz w:val="16"/>
          <w:szCs w:val="16"/>
        </w:rPr>
        <w:instrText xml:space="preserve"> SEQ Table \* ARABIC </w:instrText>
      </w:r>
      <w:r w:rsidRPr="009323BE">
        <w:rPr>
          <w:sz w:val="16"/>
          <w:szCs w:val="16"/>
        </w:rPr>
        <w:fldChar w:fldCharType="separate"/>
      </w:r>
      <w:r>
        <w:rPr>
          <w:noProof/>
          <w:sz w:val="16"/>
          <w:szCs w:val="16"/>
        </w:rPr>
        <w:t>1</w:t>
      </w:r>
      <w:r w:rsidRPr="009323BE">
        <w:rPr>
          <w:sz w:val="16"/>
          <w:szCs w:val="16"/>
        </w:rPr>
        <w:fldChar w:fldCharType="end"/>
      </w:r>
      <w:r w:rsidRPr="009323BE">
        <w:rPr>
          <w:sz w:val="16"/>
          <w:szCs w:val="16"/>
        </w:rPr>
        <w:t xml:space="preserve"> - Severity Categories</w:t>
      </w:r>
    </w:p>
    <w:p w14:paraId="3F4577AC" w14:textId="5822F94F" w:rsidR="00DB1C19" w:rsidRPr="00C61652" w:rsidRDefault="00DB1C19" w:rsidP="00A5713E">
      <w:pPr>
        <w:pStyle w:val="Heading3"/>
        <w:numPr>
          <w:ilvl w:val="0"/>
          <w:numId w:val="0"/>
        </w:numPr>
        <w:rPr>
          <w:sz w:val="21"/>
          <w:szCs w:val="21"/>
          <w:lang w:eastAsia="en-GB"/>
        </w:rPr>
      </w:pPr>
      <w:bookmarkStart w:id="43" w:name="_Toc234948146"/>
      <w:r w:rsidRPr="00C61652">
        <w:rPr>
          <w:sz w:val="21"/>
          <w:szCs w:val="21"/>
          <w:lang w:eastAsia="en-GB"/>
        </w:rPr>
        <w:t>Likelihood Categories:</w:t>
      </w:r>
      <w:bookmarkEnd w:id="43"/>
    </w:p>
    <w:tbl>
      <w:tblPr>
        <w:tblStyle w:val="TableGrid"/>
        <w:tblW w:w="0" w:type="auto"/>
        <w:jc w:val="center"/>
        <w:tblLook w:val="04A0" w:firstRow="1" w:lastRow="0" w:firstColumn="1" w:lastColumn="0" w:noHBand="0" w:noVBand="1"/>
      </w:tblPr>
      <w:tblGrid>
        <w:gridCol w:w="1620"/>
        <w:gridCol w:w="1228"/>
        <w:gridCol w:w="6888"/>
      </w:tblGrid>
      <w:tr w:rsidR="002C5780" w:rsidRPr="00E246AB" w14:paraId="173BE80F" w14:textId="39F470C5" w:rsidTr="002C5780">
        <w:trPr>
          <w:jc w:val="center"/>
        </w:trPr>
        <w:tc>
          <w:tcPr>
            <w:tcW w:w="1620" w:type="dxa"/>
          </w:tcPr>
          <w:p w14:paraId="24E99AC5" w14:textId="30E1082B" w:rsidR="002C5780" w:rsidRPr="00E246AB" w:rsidRDefault="002C5780" w:rsidP="000250E2">
            <w:pPr>
              <w:spacing w:before="100" w:beforeAutospacing="1" w:after="100" w:afterAutospacing="1" w:line="240" w:lineRule="auto"/>
              <w:jc w:val="center"/>
              <w:rPr>
                <w:rFonts w:cs="Arial"/>
                <w:b/>
                <w:bCs/>
                <w:color w:val="000000"/>
                <w:sz w:val="20"/>
                <w:szCs w:val="20"/>
                <w:lang w:eastAsia="en-GB"/>
              </w:rPr>
            </w:pPr>
            <w:r w:rsidRPr="00E246AB">
              <w:rPr>
                <w:rFonts w:cs="Arial"/>
                <w:b/>
                <w:bCs/>
                <w:color w:val="000000"/>
                <w:sz w:val="20"/>
                <w:szCs w:val="20"/>
                <w:lang w:eastAsia="en-GB"/>
              </w:rPr>
              <w:t>Likelihood</w:t>
            </w:r>
          </w:p>
        </w:tc>
        <w:tc>
          <w:tcPr>
            <w:tcW w:w="1227" w:type="dxa"/>
          </w:tcPr>
          <w:p w14:paraId="30E33383" w14:textId="02CF0FDD" w:rsidR="002C5780" w:rsidRPr="00E246AB" w:rsidRDefault="002C5780" w:rsidP="000250E2">
            <w:pPr>
              <w:spacing w:before="100" w:beforeAutospacing="1" w:after="100" w:afterAutospacing="1" w:line="240" w:lineRule="auto"/>
              <w:jc w:val="center"/>
              <w:rPr>
                <w:rFonts w:cs="Arial"/>
                <w:b/>
                <w:bCs/>
                <w:color w:val="000000"/>
                <w:sz w:val="20"/>
                <w:szCs w:val="20"/>
                <w:lang w:eastAsia="en-GB"/>
              </w:rPr>
            </w:pPr>
            <w:r w:rsidRPr="00E246AB">
              <w:rPr>
                <w:rFonts w:cs="Arial"/>
                <w:b/>
                <w:bCs/>
                <w:color w:val="000000"/>
                <w:sz w:val="20"/>
                <w:szCs w:val="20"/>
                <w:lang w:eastAsia="en-GB"/>
              </w:rPr>
              <w:t xml:space="preserve">Frequency </w:t>
            </w:r>
          </w:p>
        </w:tc>
        <w:tc>
          <w:tcPr>
            <w:tcW w:w="6889" w:type="dxa"/>
          </w:tcPr>
          <w:p w14:paraId="7196F601" w14:textId="7BEF297F" w:rsidR="002C5780" w:rsidRPr="00E246AB" w:rsidRDefault="002C5780" w:rsidP="000250E2">
            <w:pPr>
              <w:spacing w:before="100" w:beforeAutospacing="1" w:after="100" w:afterAutospacing="1" w:line="240" w:lineRule="auto"/>
              <w:jc w:val="center"/>
              <w:rPr>
                <w:rFonts w:cs="Arial"/>
                <w:b/>
                <w:bCs/>
                <w:color w:val="000000"/>
                <w:sz w:val="20"/>
                <w:szCs w:val="20"/>
                <w:lang w:eastAsia="en-GB"/>
              </w:rPr>
            </w:pPr>
            <w:r>
              <w:rPr>
                <w:rFonts w:cs="Arial"/>
                <w:b/>
                <w:bCs/>
                <w:color w:val="000000"/>
                <w:sz w:val="20"/>
                <w:szCs w:val="20"/>
                <w:lang w:eastAsia="en-GB"/>
              </w:rPr>
              <w:t xml:space="preserve">Description </w:t>
            </w:r>
          </w:p>
        </w:tc>
      </w:tr>
      <w:tr w:rsidR="002C5780" w:rsidRPr="00E246AB" w14:paraId="4BFAF073" w14:textId="4768664B" w:rsidTr="002C5780">
        <w:trPr>
          <w:jc w:val="center"/>
        </w:trPr>
        <w:tc>
          <w:tcPr>
            <w:tcW w:w="1620" w:type="dxa"/>
          </w:tcPr>
          <w:p w14:paraId="70423527" w14:textId="12697E4B" w:rsidR="002C5780" w:rsidRPr="00E246AB" w:rsidRDefault="002C5780"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Frequent</w:t>
            </w:r>
          </w:p>
        </w:tc>
        <w:tc>
          <w:tcPr>
            <w:tcW w:w="1227" w:type="dxa"/>
            <w:vAlign w:val="center"/>
          </w:tcPr>
          <w:p w14:paraId="36FE11BA" w14:textId="04E98215" w:rsidR="002C5780" w:rsidRPr="00E246AB" w:rsidRDefault="002C5780" w:rsidP="002C5780">
            <w:pPr>
              <w:spacing w:before="100" w:beforeAutospacing="1" w:after="100" w:afterAutospacing="1" w:line="240" w:lineRule="auto"/>
              <w:jc w:val="center"/>
              <w:rPr>
                <w:rFonts w:cs="Arial"/>
                <w:color w:val="000000"/>
                <w:sz w:val="20"/>
                <w:szCs w:val="20"/>
                <w:vertAlign w:val="superscript"/>
                <w:lang w:eastAsia="en-GB"/>
              </w:rPr>
            </w:pPr>
            <w:r w:rsidRPr="00E246AB">
              <w:rPr>
                <w:rFonts w:cs="Arial"/>
                <w:color w:val="000000"/>
                <w:sz w:val="20"/>
                <w:szCs w:val="20"/>
                <w:lang w:eastAsia="en-GB"/>
              </w:rPr>
              <w:t>1.0 x 10</w:t>
            </w:r>
            <w:r w:rsidRPr="00E246AB">
              <w:rPr>
                <w:rFonts w:cs="Arial"/>
                <w:color w:val="000000"/>
                <w:sz w:val="20"/>
                <w:szCs w:val="20"/>
                <w:vertAlign w:val="superscript"/>
                <w:lang w:eastAsia="en-GB"/>
              </w:rPr>
              <w:t>-2</w:t>
            </w:r>
          </w:p>
        </w:tc>
        <w:tc>
          <w:tcPr>
            <w:tcW w:w="6889" w:type="dxa"/>
          </w:tcPr>
          <w:p w14:paraId="0B2934AC" w14:textId="6BE06DE4" w:rsidR="002C5780" w:rsidRPr="00E246AB" w:rsidRDefault="002C5780" w:rsidP="000250E2">
            <w:pPr>
              <w:spacing w:before="100" w:beforeAutospacing="1" w:after="100" w:afterAutospacing="1" w:line="240" w:lineRule="auto"/>
              <w:jc w:val="left"/>
              <w:rPr>
                <w:rFonts w:cs="Arial"/>
                <w:color w:val="000000"/>
                <w:sz w:val="20"/>
                <w:szCs w:val="20"/>
                <w:lang w:eastAsia="en-GB"/>
              </w:rPr>
            </w:pPr>
            <w:r w:rsidRPr="002C5780">
              <w:rPr>
                <w:rFonts w:cs="Arial"/>
                <w:color w:val="000000"/>
                <w:sz w:val="20"/>
                <w:szCs w:val="20"/>
                <w:lang w:eastAsia="en-GB"/>
              </w:rPr>
              <w:t>Likely to be continually experienced during the system life</w:t>
            </w:r>
          </w:p>
        </w:tc>
      </w:tr>
      <w:tr w:rsidR="002C5780" w:rsidRPr="00E246AB" w14:paraId="6492BEE5" w14:textId="46D673C4" w:rsidTr="002C5780">
        <w:trPr>
          <w:jc w:val="center"/>
        </w:trPr>
        <w:tc>
          <w:tcPr>
            <w:tcW w:w="1620" w:type="dxa"/>
          </w:tcPr>
          <w:p w14:paraId="74E74A7C" w14:textId="2C7EE46D" w:rsidR="002C5780" w:rsidRPr="00E246AB" w:rsidRDefault="002C5780"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Probable</w:t>
            </w:r>
          </w:p>
        </w:tc>
        <w:tc>
          <w:tcPr>
            <w:tcW w:w="1227" w:type="dxa"/>
            <w:vAlign w:val="center"/>
          </w:tcPr>
          <w:p w14:paraId="682167A9" w14:textId="09F66726" w:rsidR="002C5780" w:rsidRPr="00E246AB" w:rsidRDefault="002C5780" w:rsidP="002C5780">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1.0 x 10</w:t>
            </w:r>
            <w:r w:rsidRPr="00E246AB">
              <w:rPr>
                <w:rFonts w:cs="Arial"/>
                <w:color w:val="000000"/>
                <w:sz w:val="20"/>
                <w:szCs w:val="20"/>
                <w:vertAlign w:val="superscript"/>
                <w:lang w:eastAsia="en-GB"/>
              </w:rPr>
              <w:t>-3</w:t>
            </w:r>
          </w:p>
        </w:tc>
        <w:tc>
          <w:tcPr>
            <w:tcW w:w="6889" w:type="dxa"/>
          </w:tcPr>
          <w:p w14:paraId="2C23F268" w14:textId="3B6998FF" w:rsidR="002C5780" w:rsidRPr="00E246AB" w:rsidRDefault="002C5780" w:rsidP="000250E2">
            <w:pPr>
              <w:spacing w:before="100" w:beforeAutospacing="1" w:after="100" w:afterAutospacing="1" w:line="240" w:lineRule="auto"/>
              <w:jc w:val="left"/>
              <w:rPr>
                <w:rFonts w:cs="Arial"/>
                <w:color w:val="000000"/>
                <w:sz w:val="20"/>
                <w:szCs w:val="20"/>
                <w:lang w:eastAsia="en-GB"/>
              </w:rPr>
            </w:pPr>
            <w:r w:rsidRPr="002C5780">
              <w:rPr>
                <w:rFonts w:cs="Arial"/>
                <w:color w:val="000000"/>
                <w:sz w:val="20"/>
                <w:szCs w:val="20"/>
                <w:lang w:eastAsia="en-GB"/>
              </w:rPr>
              <w:t>Likely to occur often during the system life</w:t>
            </w:r>
          </w:p>
        </w:tc>
      </w:tr>
      <w:tr w:rsidR="002C5780" w:rsidRPr="00E246AB" w14:paraId="433EBD79" w14:textId="7A174F34" w:rsidTr="002C5780">
        <w:trPr>
          <w:jc w:val="center"/>
        </w:trPr>
        <w:tc>
          <w:tcPr>
            <w:tcW w:w="1620" w:type="dxa"/>
          </w:tcPr>
          <w:p w14:paraId="6CB244BC" w14:textId="1811B90C" w:rsidR="002C5780" w:rsidRPr="00E246AB" w:rsidRDefault="002C5780"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Occasional</w:t>
            </w:r>
          </w:p>
        </w:tc>
        <w:tc>
          <w:tcPr>
            <w:tcW w:w="1227" w:type="dxa"/>
            <w:vAlign w:val="center"/>
          </w:tcPr>
          <w:p w14:paraId="0E03CF92" w14:textId="432ED5D8" w:rsidR="002C5780" w:rsidRPr="00E246AB" w:rsidRDefault="002C5780" w:rsidP="002C5780">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1.0 x 10</w:t>
            </w:r>
            <w:r w:rsidRPr="00E246AB">
              <w:rPr>
                <w:rFonts w:cs="Arial"/>
                <w:color w:val="000000"/>
                <w:sz w:val="20"/>
                <w:szCs w:val="20"/>
                <w:vertAlign w:val="superscript"/>
                <w:lang w:eastAsia="en-GB"/>
              </w:rPr>
              <w:t>-4</w:t>
            </w:r>
          </w:p>
        </w:tc>
        <w:tc>
          <w:tcPr>
            <w:tcW w:w="6889" w:type="dxa"/>
          </w:tcPr>
          <w:p w14:paraId="6B466C68" w14:textId="2576E65E" w:rsidR="002C5780" w:rsidRPr="00E246AB" w:rsidRDefault="002C5780" w:rsidP="000250E2">
            <w:pPr>
              <w:spacing w:before="100" w:beforeAutospacing="1" w:after="100" w:afterAutospacing="1" w:line="240" w:lineRule="auto"/>
              <w:jc w:val="left"/>
              <w:rPr>
                <w:rFonts w:cs="Arial"/>
                <w:color w:val="000000"/>
                <w:sz w:val="20"/>
                <w:szCs w:val="20"/>
                <w:lang w:eastAsia="en-GB"/>
              </w:rPr>
            </w:pPr>
            <w:r w:rsidRPr="002C5780">
              <w:rPr>
                <w:rFonts w:cs="Arial"/>
                <w:color w:val="000000"/>
                <w:sz w:val="20"/>
                <w:szCs w:val="20"/>
                <w:lang w:eastAsia="en-GB"/>
              </w:rPr>
              <w:t>Likely to occur several times during the system life</w:t>
            </w:r>
          </w:p>
        </w:tc>
      </w:tr>
      <w:tr w:rsidR="002C5780" w:rsidRPr="00E246AB" w14:paraId="1A204603" w14:textId="07B9CEFD" w:rsidTr="002C5780">
        <w:trPr>
          <w:jc w:val="center"/>
        </w:trPr>
        <w:tc>
          <w:tcPr>
            <w:tcW w:w="1620" w:type="dxa"/>
          </w:tcPr>
          <w:p w14:paraId="58F7B5F4" w14:textId="7DF3B162" w:rsidR="002C5780" w:rsidRPr="00E246AB" w:rsidRDefault="002C5780"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Remote</w:t>
            </w:r>
          </w:p>
        </w:tc>
        <w:tc>
          <w:tcPr>
            <w:tcW w:w="1227" w:type="dxa"/>
            <w:vAlign w:val="center"/>
          </w:tcPr>
          <w:p w14:paraId="320C3A2B" w14:textId="6D49CF79" w:rsidR="002C5780" w:rsidRPr="00E246AB" w:rsidRDefault="002C5780" w:rsidP="002C5780">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1.0 x 10</w:t>
            </w:r>
            <w:r w:rsidRPr="00E246AB">
              <w:rPr>
                <w:rFonts w:cs="Arial"/>
                <w:color w:val="000000"/>
                <w:sz w:val="20"/>
                <w:szCs w:val="20"/>
                <w:vertAlign w:val="superscript"/>
                <w:lang w:eastAsia="en-GB"/>
              </w:rPr>
              <w:t>-5</w:t>
            </w:r>
          </w:p>
        </w:tc>
        <w:tc>
          <w:tcPr>
            <w:tcW w:w="6889" w:type="dxa"/>
          </w:tcPr>
          <w:p w14:paraId="7E468777" w14:textId="37809887" w:rsidR="002C5780" w:rsidRPr="00E246AB" w:rsidRDefault="002C5780" w:rsidP="000250E2">
            <w:pPr>
              <w:spacing w:before="100" w:beforeAutospacing="1" w:after="100" w:afterAutospacing="1" w:line="240" w:lineRule="auto"/>
              <w:jc w:val="left"/>
              <w:rPr>
                <w:rFonts w:cs="Arial"/>
                <w:color w:val="000000"/>
                <w:sz w:val="20"/>
                <w:szCs w:val="20"/>
                <w:lang w:eastAsia="en-GB"/>
              </w:rPr>
            </w:pPr>
            <w:r w:rsidRPr="002C5780">
              <w:rPr>
                <w:rFonts w:cs="Arial"/>
                <w:color w:val="000000"/>
                <w:sz w:val="20"/>
                <w:szCs w:val="20"/>
                <w:lang w:eastAsia="en-GB"/>
              </w:rPr>
              <w:t>Likely to occur at some point during the system life</w:t>
            </w:r>
          </w:p>
        </w:tc>
      </w:tr>
      <w:tr w:rsidR="002C5780" w:rsidRPr="00E246AB" w14:paraId="22151642" w14:textId="72C7CBF9" w:rsidTr="002C5780">
        <w:trPr>
          <w:jc w:val="center"/>
        </w:trPr>
        <w:tc>
          <w:tcPr>
            <w:tcW w:w="1620" w:type="dxa"/>
          </w:tcPr>
          <w:p w14:paraId="0B2A0CE1" w14:textId="5A971663" w:rsidR="002C5780" w:rsidRPr="00E246AB" w:rsidRDefault="002C5780"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Improbable</w:t>
            </w:r>
          </w:p>
        </w:tc>
        <w:tc>
          <w:tcPr>
            <w:tcW w:w="1227" w:type="dxa"/>
            <w:vAlign w:val="center"/>
          </w:tcPr>
          <w:p w14:paraId="673CC9C2" w14:textId="525D15D4" w:rsidR="002C5780" w:rsidRPr="00E246AB" w:rsidRDefault="002C5780" w:rsidP="002C5780">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1.0 x 10</w:t>
            </w:r>
            <w:r w:rsidRPr="00E246AB">
              <w:rPr>
                <w:rFonts w:cs="Arial"/>
                <w:color w:val="000000"/>
                <w:sz w:val="20"/>
                <w:szCs w:val="20"/>
                <w:vertAlign w:val="superscript"/>
                <w:lang w:eastAsia="en-GB"/>
              </w:rPr>
              <w:t>-6</w:t>
            </w:r>
          </w:p>
        </w:tc>
        <w:tc>
          <w:tcPr>
            <w:tcW w:w="6889" w:type="dxa"/>
          </w:tcPr>
          <w:p w14:paraId="75E9174D" w14:textId="718DE632" w:rsidR="002C5780" w:rsidRPr="00E246AB" w:rsidRDefault="002C5780" w:rsidP="000250E2">
            <w:pPr>
              <w:spacing w:before="100" w:beforeAutospacing="1" w:after="100" w:afterAutospacing="1" w:line="240" w:lineRule="auto"/>
              <w:jc w:val="left"/>
              <w:rPr>
                <w:rFonts w:cs="Arial"/>
                <w:color w:val="000000"/>
                <w:sz w:val="20"/>
                <w:szCs w:val="20"/>
                <w:lang w:eastAsia="en-GB"/>
              </w:rPr>
            </w:pPr>
            <w:r w:rsidRPr="002C5780">
              <w:rPr>
                <w:rFonts w:cs="Arial"/>
                <w:color w:val="000000"/>
                <w:sz w:val="20"/>
                <w:szCs w:val="20"/>
                <w:lang w:eastAsia="en-GB"/>
              </w:rPr>
              <w:t xml:space="preserve">Unlikely, but may </w:t>
            </w:r>
            <w:r>
              <w:rPr>
                <w:rFonts w:cs="Arial"/>
                <w:color w:val="000000"/>
                <w:sz w:val="20"/>
                <w:szCs w:val="20"/>
                <w:lang w:eastAsia="en-GB"/>
              </w:rPr>
              <w:t xml:space="preserve">still </w:t>
            </w:r>
            <w:r w:rsidRPr="002C5780">
              <w:rPr>
                <w:rFonts w:cs="Arial"/>
                <w:color w:val="000000"/>
                <w:sz w:val="20"/>
                <w:szCs w:val="20"/>
                <w:lang w:eastAsia="en-GB"/>
              </w:rPr>
              <w:t>occur</w:t>
            </w:r>
          </w:p>
        </w:tc>
      </w:tr>
      <w:tr w:rsidR="002C5780" w:rsidRPr="00E246AB" w14:paraId="4EF3B1DE" w14:textId="0A2FCAF4" w:rsidTr="002C5780">
        <w:trPr>
          <w:jc w:val="center"/>
        </w:trPr>
        <w:tc>
          <w:tcPr>
            <w:tcW w:w="1620" w:type="dxa"/>
          </w:tcPr>
          <w:p w14:paraId="68D6AE25" w14:textId="7142A808" w:rsidR="002C5780" w:rsidRPr="00E246AB" w:rsidRDefault="002C5780"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Incredible</w:t>
            </w:r>
          </w:p>
        </w:tc>
        <w:tc>
          <w:tcPr>
            <w:tcW w:w="1227" w:type="dxa"/>
            <w:vAlign w:val="center"/>
          </w:tcPr>
          <w:p w14:paraId="0EE3A9BF" w14:textId="2C41BA22" w:rsidR="002C5780" w:rsidRPr="00E246AB" w:rsidRDefault="002C5780" w:rsidP="002C5780">
            <w:pPr>
              <w:keepNext/>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1.0 x 10</w:t>
            </w:r>
            <w:r w:rsidRPr="00E246AB">
              <w:rPr>
                <w:rFonts w:cs="Arial"/>
                <w:color w:val="000000"/>
                <w:sz w:val="20"/>
                <w:szCs w:val="20"/>
                <w:vertAlign w:val="superscript"/>
                <w:lang w:eastAsia="en-GB"/>
              </w:rPr>
              <w:t>-9</w:t>
            </w:r>
          </w:p>
        </w:tc>
        <w:tc>
          <w:tcPr>
            <w:tcW w:w="6889" w:type="dxa"/>
          </w:tcPr>
          <w:p w14:paraId="6689AE5B" w14:textId="50D680B1" w:rsidR="002C5780" w:rsidRPr="00E246AB" w:rsidRDefault="002C5780" w:rsidP="009323BE">
            <w:pPr>
              <w:keepNext/>
              <w:spacing w:before="100" w:beforeAutospacing="1" w:after="100" w:afterAutospacing="1" w:line="240" w:lineRule="auto"/>
              <w:jc w:val="left"/>
              <w:rPr>
                <w:rFonts w:cs="Arial"/>
                <w:color w:val="000000"/>
                <w:sz w:val="20"/>
                <w:szCs w:val="20"/>
                <w:lang w:eastAsia="en-GB"/>
              </w:rPr>
            </w:pPr>
            <w:r w:rsidRPr="002C5780">
              <w:rPr>
                <w:rFonts w:cs="Arial"/>
                <w:color w:val="000000"/>
                <w:sz w:val="20"/>
                <w:szCs w:val="20"/>
                <w:lang w:eastAsia="en-GB"/>
              </w:rPr>
              <w:t>Extremely unlikely to occur during the system life</w:t>
            </w:r>
          </w:p>
        </w:tc>
      </w:tr>
    </w:tbl>
    <w:p w14:paraId="589D9103" w14:textId="6271C36B" w:rsidR="009323BE" w:rsidRDefault="009323BE" w:rsidP="009323BE">
      <w:pPr>
        <w:pStyle w:val="Caption"/>
        <w:jc w:val="center"/>
        <w:rPr>
          <w:sz w:val="16"/>
          <w:szCs w:val="13"/>
        </w:rPr>
      </w:pPr>
      <w:r w:rsidRPr="009323BE">
        <w:rPr>
          <w:sz w:val="16"/>
          <w:szCs w:val="13"/>
        </w:rPr>
        <w:t xml:space="preserve">Table </w:t>
      </w:r>
      <w:r w:rsidRPr="009323BE">
        <w:rPr>
          <w:sz w:val="16"/>
          <w:szCs w:val="13"/>
        </w:rPr>
        <w:fldChar w:fldCharType="begin"/>
      </w:r>
      <w:r w:rsidRPr="009323BE">
        <w:rPr>
          <w:sz w:val="16"/>
          <w:szCs w:val="13"/>
        </w:rPr>
        <w:instrText xml:space="preserve"> SEQ Table \* ARABIC </w:instrText>
      </w:r>
      <w:r w:rsidRPr="009323BE">
        <w:rPr>
          <w:sz w:val="16"/>
          <w:szCs w:val="13"/>
        </w:rPr>
        <w:fldChar w:fldCharType="separate"/>
      </w:r>
      <w:r>
        <w:rPr>
          <w:noProof/>
          <w:sz w:val="16"/>
          <w:szCs w:val="13"/>
        </w:rPr>
        <w:t>2</w:t>
      </w:r>
      <w:r w:rsidRPr="009323BE">
        <w:rPr>
          <w:sz w:val="16"/>
          <w:szCs w:val="13"/>
        </w:rPr>
        <w:fldChar w:fldCharType="end"/>
      </w:r>
      <w:r w:rsidRPr="009323BE">
        <w:rPr>
          <w:sz w:val="16"/>
          <w:szCs w:val="13"/>
        </w:rPr>
        <w:t xml:space="preserve"> - Likelihood Categories</w:t>
      </w:r>
    </w:p>
    <w:p w14:paraId="1924580B" w14:textId="31BFA540" w:rsidR="002C5780" w:rsidRDefault="006D2FBF" w:rsidP="002C5780">
      <w:pPr>
        <w:spacing w:before="100" w:beforeAutospacing="1" w:after="100" w:afterAutospacing="1" w:line="240" w:lineRule="auto"/>
        <w:jc w:val="left"/>
        <w:rPr>
          <w:rFonts w:cs="Arial"/>
          <w:color w:val="000000"/>
          <w:sz w:val="20"/>
          <w:szCs w:val="20"/>
          <w:lang w:eastAsia="en-GB"/>
        </w:rPr>
      </w:pPr>
      <w:bookmarkStart w:id="44" w:name="_Toc234948147"/>
      <w:r w:rsidRPr="006D2FBF">
        <w:rPr>
          <w:rFonts w:cs="Arial"/>
          <w:color w:val="000000"/>
          <w:sz w:val="20"/>
          <w:szCs w:val="20"/>
          <w:lang w:eastAsia="en-GB"/>
        </w:rPr>
        <w:t>The likelihood values in Table 2 were taken from the group risk assessment exercise completed in class and have been retained to maintain consistency with the original assessment. They are approximate values used to support the qualitative ranking, rather than calculated annual failure rates or probabilities per firing. If</w:t>
      </w:r>
      <w:r w:rsidR="004C4AD3">
        <w:rPr>
          <w:rFonts w:cs="Arial"/>
          <w:color w:val="000000"/>
          <w:sz w:val="20"/>
          <w:szCs w:val="20"/>
          <w:lang w:eastAsia="en-GB"/>
        </w:rPr>
        <w:t xml:space="preserve"> specific </w:t>
      </w:r>
      <w:r w:rsidRPr="006D2FBF">
        <w:rPr>
          <w:rFonts w:cs="Arial"/>
          <w:color w:val="000000"/>
          <w:sz w:val="20"/>
          <w:szCs w:val="20"/>
          <w:lang w:eastAsia="en-GB"/>
        </w:rPr>
        <w:t>incident data becomes available, both the category definitions and the selected likelihood ratings should be reviewed.</w:t>
      </w:r>
    </w:p>
    <w:p w14:paraId="5B5154E4" w14:textId="7140559A" w:rsidR="00DB1C19" w:rsidRPr="002C5780" w:rsidRDefault="00DB1C19" w:rsidP="002C5780">
      <w:pPr>
        <w:spacing w:before="100" w:beforeAutospacing="1" w:after="100" w:afterAutospacing="1" w:line="240" w:lineRule="auto"/>
        <w:jc w:val="left"/>
        <w:rPr>
          <w:rFonts w:cs="Arial"/>
          <w:b/>
          <w:bCs/>
          <w:color w:val="000000"/>
          <w:sz w:val="20"/>
          <w:szCs w:val="20"/>
          <w:lang w:eastAsia="en-GB"/>
        </w:rPr>
      </w:pPr>
      <w:r w:rsidRPr="002C5780">
        <w:rPr>
          <w:b/>
          <w:bCs/>
          <w:sz w:val="20"/>
          <w:szCs w:val="20"/>
          <w:lang w:eastAsia="en-GB"/>
        </w:rPr>
        <w:t>Risk Class:</w:t>
      </w:r>
      <w:bookmarkEnd w:id="44"/>
    </w:p>
    <w:p w14:paraId="641448F7" w14:textId="77777777" w:rsidR="00DB1C19" w:rsidRPr="00C61652" w:rsidRDefault="00DB1C19" w:rsidP="00DB1C19">
      <w:pPr>
        <w:spacing w:line="240" w:lineRule="auto"/>
        <w:jc w:val="left"/>
        <w:rPr>
          <w:sz w:val="20"/>
          <w:szCs w:val="20"/>
          <w:lang w:eastAsia="en-GB"/>
        </w:rPr>
      </w:pPr>
      <w:r w:rsidRPr="00C61652">
        <w:rPr>
          <w:sz w:val="20"/>
          <w:szCs w:val="20"/>
          <w:lang w:eastAsia="en-GB"/>
        </w:rPr>
        <w:t>The resulting risk class is assigned from A to D, where A represents the highest level of risk and D represents the lowest level of risk.</w:t>
      </w:r>
    </w:p>
    <w:p w14:paraId="24F20380" w14:textId="77777777" w:rsidR="009323BE" w:rsidRDefault="00DB1C19" w:rsidP="009323BE">
      <w:pPr>
        <w:keepNext/>
        <w:spacing w:line="240" w:lineRule="auto"/>
        <w:jc w:val="center"/>
      </w:pPr>
      <w:r w:rsidRPr="00DB1C19">
        <w:rPr>
          <w:noProof/>
          <w:sz w:val="22"/>
          <w:szCs w:val="22"/>
          <w:lang w:eastAsia="en-GB"/>
        </w:rPr>
        <w:drawing>
          <wp:inline distT="0" distB="0" distL="0" distR="0" wp14:anchorId="2DE619F2" wp14:editId="527F0771">
            <wp:extent cx="5654867" cy="1262358"/>
            <wp:effectExtent l="0" t="0" r="0" b="0"/>
            <wp:docPr id="1464452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452163" name=""/>
                    <pic:cNvPicPr/>
                  </pic:nvPicPr>
                  <pic:blipFill>
                    <a:blip r:embed="rId12"/>
                    <a:stretch>
                      <a:fillRect/>
                    </a:stretch>
                  </pic:blipFill>
                  <pic:spPr>
                    <a:xfrm>
                      <a:off x="0" y="0"/>
                      <a:ext cx="6211020" cy="1386510"/>
                    </a:xfrm>
                    <a:prstGeom prst="rect">
                      <a:avLst/>
                    </a:prstGeom>
                  </pic:spPr>
                </pic:pic>
              </a:graphicData>
            </a:graphic>
          </wp:inline>
        </w:drawing>
      </w:r>
    </w:p>
    <w:p w14:paraId="7E5DC91D" w14:textId="15DAD869" w:rsidR="006A73CA" w:rsidRPr="00473D7E" w:rsidRDefault="009323BE" w:rsidP="00473D7E">
      <w:pPr>
        <w:pStyle w:val="Caption"/>
        <w:jc w:val="center"/>
        <w:rPr>
          <w:sz w:val="16"/>
          <w:szCs w:val="16"/>
        </w:rPr>
      </w:pPr>
      <w:r w:rsidRPr="009323BE">
        <w:rPr>
          <w:sz w:val="16"/>
          <w:szCs w:val="16"/>
        </w:rPr>
        <w:t xml:space="preserve">Figure </w:t>
      </w:r>
      <w:r w:rsidRPr="009323BE">
        <w:rPr>
          <w:sz w:val="16"/>
          <w:szCs w:val="16"/>
        </w:rPr>
        <w:fldChar w:fldCharType="begin"/>
      </w:r>
      <w:r w:rsidRPr="009323BE">
        <w:rPr>
          <w:sz w:val="16"/>
          <w:szCs w:val="16"/>
        </w:rPr>
        <w:instrText xml:space="preserve"> SEQ Figure \* ARABIC </w:instrText>
      </w:r>
      <w:r w:rsidRPr="009323BE">
        <w:rPr>
          <w:sz w:val="16"/>
          <w:szCs w:val="16"/>
        </w:rPr>
        <w:fldChar w:fldCharType="separate"/>
      </w:r>
      <w:r w:rsidRPr="009323BE">
        <w:rPr>
          <w:noProof/>
          <w:sz w:val="16"/>
          <w:szCs w:val="16"/>
        </w:rPr>
        <w:t>1</w:t>
      </w:r>
      <w:r w:rsidRPr="009323BE">
        <w:rPr>
          <w:sz w:val="16"/>
          <w:szCs w:val="16"/>
        </w:rPr>
        <w:fldChar w:fldCharType="end"/>
      </w:r>
      <w:r w:rsidRPr="009323BE">
        <w:rPr>
          <w:sz w:val="16"/>
          <w:szCs w:val="16"/>
        </w:rPr>
        <w:t xml:space="preserve"> - Risk Matrix</w:t>
      </w:r>
    </w:p>
    <w:tbl>
      <w:tblPr>
        <w:tblStyle w:val="TableGrid"/>
        <w:tblW w:w="0" w:type="auto"/>
        <w:jc w:val="center"/>
        <w:tblLook w:val="04A0" w:firstRow="1" w:lastRow="0" w:firstColumn="1" w:lastColumn="0" w:noHBand="0" w:noVBand="1"/>
      </w:tblPr>
      <w:tblGrid>
        <w:gridCol w:w="1980"/>
        <w:gridCol w:w="7036"/>
      </w:tblGrid>
      <w:tr w:rsidR="00DB1C19" w:rsidRPr="00E246AB" w14:paraId="4AAFABD2" w14:textId="77777777" w:rsidTr="001B5645">
        <w:trPr>
          <w:jc w:val="center"/>
        </w:trPr>
        <w:tc>
          <w:tcPr>
            <w:tcW w:w="1980" w:type="dxa"/>
          </w:tcPr>
          <w:p w14:paraId="053AC52C" w14:textId="6CF83A65" w:rsidR="00DB1C19" w:rsidRPr="00E246AB" w:rsidRDefault="00DB1C19" w:rsidP="00DB1C19">
            <w:pPr>
              <w:spacing w:before="100" w:beforeAutospacing="1" w:after="100" w:afterAutospacing="1" w:line="240" w:lineRule="auto"/>
              <w:jc w:val="center"/>
              <w:rPr>
                <w:rFonts w:cs="Arial"/>
                <w:b/>
                <w:bCs/>
                <w:color w:val="000000"/>
                <w:sz w:val="20"/>
                <w:szCs w:val="20"/>
                <w:lang w:eastAsia="en-GB"/>
              </w:rPr>
            </w:pPr>
            <w:r w:rsidRPr="00E246AB">
              <w:rPr>
                <w:rFonts w:cs="Arial"/>
                <w:b/>
                <w:bCs/>
                <w:color w:val="000000"/>
                <w:sz w:val="20"/>
                <w:szCs w:val="20"/>
                <w:lang w:eastAsia="en-GB"/>
              </w:rPr>
              <w:lastRenderedPageBreak/>
              <w:t>Risk Class</w:t>
            </w:r>
          </w:p>
        </w:tc>
        <w:tc>
          <w:tcPr>
            <w:tcW w:w="7036" w:type="dxa"/>
          </w:tcPr>
          <w:p w14:paraId="3AAAEF6B" w14:textId="3D513DC4" w:rsidR="00DB1C19" w:rsidRPr="00E246AB" w:rsidRDefault="00DB1C19" w:rsidP="000250E2">
            <w:pPr>
              <w:spacing w:before="100" w:beforeAutospacing="1" w:after="100" w:afterAutospacing="1" w:line="240" w:lineRule="auto"/>
              <w:jc w:val="center"/>
              <w:rPr>
                <w:rFonts w:cs="Arial"/>
                <w:b/>
                <w:bCs/>
                <w:color w:val="000000"/>
                <w:sz w:val="20"/>
                <w:szCs w:val="20"/>
                <w:lang w:eastAsia="en-GB"/>
              </w:rPr>
            </w:pPr>
            <w:r w:rsidRPr="00E246AB">
              <w:rPr>
                <w:rFonts w:cs="Arial"/>
                <w:b/>
                <w:bCs/>
                <w:color w:val="000000"/>
                <w:sz w:val="20"/>
                <w:szCs w:val="20"/>
                <w:lang w:eastAsia="en-GB"/>
              </w:rPr>
              <w:t>Description</w:t>
            </w:r>
          </w:p>
        </w:tc>
      </w:tr>
      <w:tr w:rsidR="00DB1C19" w:rsidRPr="00E246AB" w14:paraId="2B3A9D64" w14:textId="77777777" w:rsidTr="001B5645">
        <w:trPr>
          <w:jc w:val="center"/>
        </w:trPr>
        <w:tc>
          <w:tcPr>
            <w:tcW w:w="1980" w:type="dxa"/>
          </w:tcPr>
          <w:p w14:paraId="505F69DC" w14:textId="2228F1D7" w:rsidR="00DB1C19" w:rsidRPr="00E246AB" w:rsidRDefault="00DB1C19"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A</w:t>
            </w:r>
          </w:p>
        </w:tc>
        <w:tc>
          <w:tcPr>
            <w:tcW w:w="7036" w:type="dxa"/>
          </w:tcPr>
          <w:p w14:paraId="776CFD34" w14:textId="5A44436C" w:rsidR="00DB1C19" w:rsidRPr="00E246AB" w:rsidRDefault="00DB1C19" w:rsidP="000250E2">
            <w:pPr>
              <w:spacing w:before="100" w:beforeAutospacing="1" w:after="100" w:afterAutospacing="1" w:line="240" w:lineRule="auto"/>
              <w:jc w:val="left"/>
              <w:rPr>
                <w:rFonts w:cs="Arial"/>
                <w:color w:val="000000"/>
                <w:sz w:val="20"/>
                <w:szCs w:val="20"/>
                <w:lang w:eastAsia="en-GB"/>
              </w:rPr>
            </w:pPr>
            <w:r w:rsidRPr="00E246AB">
              <w:rPr>
                <w:rFonts w:cs="Arial"/>
                <w:color w:val="000000"/>
                <w:sz w:val="20"/>
                <w:szCs w:val="20"/>
                <w:lang w:eastAsia="en-GB"/>
              </w:rPr>
              <w:t>Intolerable risk. The activity should not proceed unless there is critical operational necessity</w:t>
            </w:r>
          </w:p>
        </w:tc>
      </w:tr>
      <w:tr w:rsidR="00DB1C19" w:rsidRPr="00E246AB" w14:paraId="337A92A2" w14:textId="77777777" w:rsidTr="001B5645">
        <w:trPr>
          <w:jc w:val="center"/>
        </w:trPr>
        <w:tc>
          <w:tcPr>
            <w:tcW w:w="1980" w:type="dxa"/>
          </w:tcPr>
          <w:p w14:paraId="02B4D595" w14:textId="3B57A42B" w:rsidR="00DB1C19" w:rsidRPr="00E246AB" w:rsidRDefault="00DB1C19"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B</w:t>
            </w:r>
          </w:p>
        </w:tc>
        <w:tc>
          <w:tcPr>
            <w:tcW w:w="7036" w:type="dxa"/>
          </w:tcPr>
          <w:p w14:paraId="6E7256D8" w14:textId="3490E8A8" w:rsidR="00DB1C19" w:rsidRPr="00E246AB" w:rsidRDefault="00DB1C19" w:rsidP="000250E2">
            <w:pPr>
              <w:spacing w:before="100" w:beforeAutospacing="1" w:after="100" w:afterAutospacing="1" w:line="240" w:lineRule="auto"/>
              <w:jc w:val="left"/>
              <w:rPr>
                <w:rFonts w:cs="Arial"/>
                <w:color w:val="000000"/>
                <w:sz w:val="20"/>
                <w:szCs w:val="20"/>
                <w:lang w:eastAsia="en-GB"/>
              </w:rPr>
            </w:pPr>
            <w:r w:rsidRPr="00E246AB">
              <w:rPr>
                <w:rFonts w:cs="Arial"/>
                <w:color w:val="000000"/>
                <w:sz w:val="20"/>
                <w:szCs w:val="20"/>
                <w:lang w:eastAsia="en-GB"/>
              </w:rPr>
              <w:t>Tolerated only where further work is ongoing to reduce the risk through controls and mitigations</w:t>
            </w:r>
          </w:p>
        </w:tc>
      </w:tr>
      <w:tr w:rsidR="00DB1C19" w:rsidRPr="00E246AB" w14:paraId="583BAC39" w14:textId="77777777" w:rsidTr="001B5645">
        <w:trPr>
          <w:jc w:val="center"/>
        </w:trPr>
        <w:tc>
          <w:tcPr>
            <w:tcW w:w="1980" w:type="dxa"/>
          </w:tcPr>
          <w:p w14:paraId="00582C7E" w14:textId="00F3CBAA" w:rsidR="00DB1C19" w:rsidRPr="00E246AB" w:rsidRDefault="00DB1C19"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C</w:t>
            </w:r>
          </w:p>
        </w:tc>
        <w:tc>
          <w:tcPr>
            <w:tcW w:w="7036" w:type="dxa"/>
          </w:tcPr>
          <w:p w14:paraId="51AF96DE" w14:textId="06BB7681" w:rsidR="00DB1C19" w:rsidRPr="00E246AB" w:rsidRDefault="00DB1C19" w:rsidP="000250E2">
            <w:pPr>
              <w:spacing w:before="100" w:beforeAutospacing="1" w:after="100" w:afterAutospacing="1" w:line="240" w:lineRule="auto"/>
              <w:jc w:val="left"/>
              <w:rPr>
                <w:rFonts w:cs="Arial"/>
                <w:color w:val="000000"/>
                <w:sz w:val="20"/>
                <w:szCs w:val="20"/>
                <w:lang w:eastAsia="en-GB"/>
              </w:rPr>
            </w:pPr>
            <w:r w:rsidRPr="00E246AB">
              <w:rPr>
                <w:rFonts w:cs="Arial"/>
                <w:color w:val="000000"/>
                <w:sz w:val="20"/>
                <w:szCs w:val="20"/>
                <w:lang w:eastAsia="en-GB"/>
              </w:rPr>
              <w:t>Tolerated risk, although the severity may remain significant</w:t>
            </w:r>
          </w:p>
        </w:tc>
      </w:tr>
      <w:tr w:rsidR="00DB1C19" w:rsidRPr="00E246AB" w14:paraId="620927A1" w14:textId="77777777" w:rsidTr="001B5645">
        <w:trPr>
          <w:trHeight w:val="257"/>
          <w:jc w:val="center"/>
        </w:trPr>
        <w:tc>
          <w:tcPr>
            <w:tcW w:w="1980" w:type="dxa"/>
          </w:tcPr>
          <w:p w14:paraId="044AEC50" w14:textId="5CB0105C" w:rsidR="00DB1C19" w:rsidRPr="00E246AB" w:rsidRDefault="00DB1C19" w:rsidP="00DB1C19">
            <w:pPr>
              <w:spacing w:before="100" w:beforeAutospacing="1" w:after="100" w:afterAutospacing="1" w:line="240" w:lineRule="auto"/>
              <w:jc w:val="center"/>
              <w:rPr>
                <w:rFonts w:cs="Arial"/>
                <w:color w:val="000000"/>
                <w:sz w:val="20"/>
                <w:szCs w:val="20"/>
                <w:lang w:eastAsia="en-GB"/>
              </w:rPr>
            </w:pPr>
            <w:r w:rsidRPr="00E246AB">
              <w:rPr>
                <w:rFonts w:cs="Arial"/>
                <w:color w:val="000000"/>
                <w:sz w:val="20"/>
                <w:szCs w:val="20"/>
                <w:lang w:eastAsia="en-GB"/>
              </w:rPr>
              <w:t>D</w:t>
            </w:r>
          </w:p>
        </w:tc>
        <w:tc>
          <w:tcPr>
            <w:tcW w:w="7036" w:type="dxa"/>
          </w:tcPr>
          <w:p w14:paraId="4958783A" w14:textId="089BF37E" w:rsidR="00DB1C19" w:rsidRPr="00E246AB" w:rsidRDefault="00DB1C19" w:rsidP="009323BE">
            <w:pPr>
              <w:keepNext/>
              <w:spacing w:before="100" w:beforeAutospacing="1" w:after="100" w:afterAutospacing="1" w:line="240" w:lineRule="auto"/>
              <w:jc w:val="left"/>
              <w:rPr>
                <w:rFonts w:cs="Arial"/>
                <w:color w:val="000000"/>
                <w:sz w:val="20"/>
                <w:szCs w:val="20"/>
                <w:lang w:eastAsia="en-GB"/>
              </w:rPr>
            </w:pPr>
            <w:r w:rsidRPr="00E246AB">
              <w:rPr>
                <w:rFonts w:cs="Arial"/>
                <w:color w:val="000000"/>
                <w:sz w:val="20"/>
                <w:szCs w:val="20"/>
                <w:lang w:eastAsia="en-GB"/>
              </w:rPr>
              <w:t>Tolerated risk with low severity or very low likelihood</w:t>
            </w:r>
          </w:p>
        </w:tc>
      </w:tr>
    </w:tbl>
    <w:p w14:paraId="662F4326" w14:textId="3360992C" w:rsidR="009323BE" w:rsidRPr="009323BE" w:rsidRDefault="009323BE" w:rsidP="009323BE">
      <w:pPr>
        <w:pStyle w:val="Caption"/>
        <w:jc w:val="center"/>
        <w:rPr>
          <w:sz w:val="16"/>
          <w:szCs w:val="16"/>
        </w:rPr>
      </w:pPr>
      <w:r w:rsidRPr="009323BE">
        <w:rPr>
          <w:sz w:val="16"/>
          <w:szCs w:val="16"/>
        </w:rPr>
        <w:t xml:space="preserve">Table </w:t>
      </w:r>
      <w:r w:rsidRPr="009323BE">
        <w:rPr>
          <w:sz w:val="16"/>
          <w:szCs w:val="16"/>
        </w:rPr>
        <w:fldChar w:fldCharType="begin"/>
      </w:r>
      <w:r w:rsidRPr="009323BE">
        <w:rPr>
          <w:sz w:val="16"/>
          <w:szCs w:val="16"/>
        </w:rPr>
        <w:instrText xml:space="preserve"> SEQ Table \* ARABIC </w:instrText>
      </w:r>
      <w:r w:rsidRPr="009323BE">
        <w:rPr>
          <w:sz w:val="16"/>
          <w:szCs w:val="16"/>
        </w:rPr>
        <w:fldChar w:fldCharType="separate"/>
      </w:r>
      <w:r>
        <w:rPr>
          <w:noProof/>
          <w:sz w:val="16"/>
          <w:szCs w:val="16"/>
        </w:rPr>
        <w:t>3</w:t>
      </w:r>
      <w:r w:rsidRPr="009323BE">
        <w:rPr>
          <w:sz w:val="16"/>
          <w:szCs w:val="16"/>
        </w:rPr>
        <w:fldChar w:fldCharType="end"/>
      </w:r>
      <w:r w:rsidRPr="009323BE">
        <w:rPr>
          <w:sz w:val="16"/>
          <w:szCs w:val="16"/>
        </w:rPr>
        <w:t xml:space="preserve"> - Risk Class Categories</w:t>
      </w:r>
    </w:p>
    <w:p w14:paraId="3992A901" w14:textId="525E78E6" w:rsidR="00DB1C19" w:rsidRPr="00C61652" w:rsidRDefault="005A2BFE" w:rsidP="00742F11">
      <w:pPr>
        <w:spacing w:line="240" w:lineRule="auto"/>
        <w:jc w:val="left"/>
        <w:rPr>
          <w:rFonts w:cs="Arial"/>
          <w:color w:val="000000"/>
          <w:sz w:val="20"/>
          <w:szCs w:val="20"/>
        </w:rPr>
      </w:pPr>
      <w:r w:rsidRPr="005A2BFE">
        <w:rPr>
          <w:rFonts w:cs="Arial"/>
          <w:color w:val="000000"/>
          <w:sz w:val="20"/>
          <w:szCs w:val="20"/>
        </w:rPr>
        <w:t>Engineering controls are preferred where they are practicable because they are generally less dependent on individual behaviour. Procedures and administrative controls still have an important role, but they should support engineering protection rather than replace it. Evidence such as inspection results, maintenance records, functional tests, competence records and closed defect reports should be used to show that the controls work. Residual risk should only be accepted when the controls are in place, checked and maintained</w:t>
      </w:r>
      <w:r w:rsidR="00BC77C8" w:rsidRPr="00BC77C8">
        <w:rPr>
          <w:rFonts w:cs="Arial"/>
          <w:color w:val="000000"/>
          <w:sz w:val="20"/>
          <w:szCs w:val="20"/>
        </w:rPr>
        <w:t>.</w:t>
      </w:r>
    </w:p>
    <w:p w14:paraId="473068AE" w14:textId="63695681" w:rsidR="00DB1C19" w:rsidRPr="00C61652" w:rsidRDefault="00DB1C19" w:rsidP="00DB1C19">
      <w:pPr>
        <w:pStyle w:val="Heading2"/>
        <w:rPr>
          <w:sz w:val="24"/>
          <w:szCs w:val="24"/>
        </w:rPr>
      </w:pPr>
      <w:bookmarkStart w:id="45" w:name="_Toc234948148"/>
      <w:r w:rsidRPr="00C61652">
        <w:rPr>
          <w:sz w:val="24"/>
          <w:szCs w:val="24"/>
        </w:rPr>
        <w:t>Hazard Identification</w:t>
      </w:r>
      <w:bookmarkEnd w:id="45"/>
      <w:r w:rsidRPr="00C61652">
        <w:rPr>
          <w:sz w:val="24"/>
          <w:szCs w:val="24"/>
        </w:rPr>
        <w:t xml:space="preserve"> </w:t>
      </w:r>
    </w:p>
    <w:p w14:paraId="02788592" w14:textId="6596D4D2"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 xml:space="preserve">The </w:t>
      </w:r>
      <w:proofErr w:type="spellStart"/>
      <w:r w:rsidRPr="005A2BFE">
        <w:rPr>
          <w:rFonts w:cs="Arial"/>
          <w:color w:val="000000"/>
          <w:sz w:val="20"/>
          <w:szCs w:val="20"/>
          <w:lang w:eastAsia="en-GB"/>
        </w:rPr>
        <w:t>HazID</w:t>
      </w:r>
      <w:proofErr w:type="spellEnd"/>
      <w:r w:rsidRPr="005A2BFE">
        <w:rPr>
          <w:rFonts w:cs="Arial"/>
          <w:color w:val="000000"/>
          <w:sz w:val="20"/>
          <w:szCs w:val="20"/>
          <w:lang w:eastAsia="en-GB"/>
        </w:rPr>
        <w:t xml:space="preserve"> consider</w:t>
      </w:r>
      <w:r w:rsidR="00DE28E4">
        <w:rPr>
          <w:rFonts w:cs="Arial"/>
          <w:color w:val="000000"/>
          <w:sz w:val="20"/>
          <w:szCs w:val="20"/>
          <w:lang w:eastAsia="en-GB"/>
        </w:rPr>
        <w:t>s</w:t>
      </w:r>
      <w:r w:rsidRPr="005A2BFE">
        <w:rPr>
          <w:rFonts w:cs="Arial"/>
          <w:color w:val="000000"/>
          <w:sz w:val="20"/>
          <w:szCs w:val="20"/>
          <w:lang w:eastAsia="en-GB"/>
        </w:rPr>
        <w:t xml:space="preserve"> the physical properties and functions of the system, together with credible failures during</w:t>
      </w:r>
      <w:r w:rsidR="00DE28E4">
        <w:rPr>
          <w:rFonts w:cs="Arial"/>
          <w:color w:val="000000"/>
          <w:sz w:val="20"/>
          <w:szCs w:val="20"/>
          <w:lang w:eastAsia="en-GB"/>
        </w:rPr>
        <w:t xml:space="preserve"> M</w:t>
      </w:r>
      <w:r w:rsidR="003F6B32">
        <w:rPr>
          <w:rFonts w:cs="Arial"/>
          <w:color w:val="000000"/>
          <w:sz w:val="20"/>
          <w:szCs w:val="20"/>
          <w:lang w:eastAsia="en-GB"/>
        </w:rPr>
        <w:t>TD</w:t>
      </w:r>
      <w:r w:rsidR="00DE28E4">
        <w:rPr>
          <w:rFonts w:cs="Arial"/>
          <w:color w:val="000000"/>
          <w:sz w:val="20"/>
          <w:szCs w:val="20"/>
          <w:lang w:eastAsia="en-GB"/>
        </w:rPr>
        <w:t>S</w:t>
      </w:r>
      <w:r w:rsidRPr="005A2BFE">
        <w:rPr>
          <w:rFonts w:cs="Arial"/>
          <w:color w:val="000000"/>
          <w:sz w:val="20"/>
          <w:szCs w:val="20"/>
          <w:lang w:eastAsia="en-GB"/>
        </w:rPr>
        <w:t>. Inherent hazards, such as energetic material, pressure and electrical energy, were considered alongside hazards created during operation, such as noise and exposure to propellant gases. A hazard was taken forward where a credible event could cause injury, fatality, major system damage or escalation into another hazardous event. This separates the normal presence of a hazard from the accident being assessed. For example, high-pressure gas is expected during firing, whereas an uncontrolled release is not. [</w:t>
      </w:r>
      <w:r w:rsidR="00EA742A">
        <w:rPr>
          <w:rFonts w:cs="Arial"/>
          <w:color w:val="000000"/>
          <w:sz w:val="20"/>
          <w:szCs w:val="20"/>
          <w:lang w:eastAsia="en-GB"/>
        </w:rPr>
        <w:t>3</w:t>
      </w:r>
      <w:r w:rsidRPr="005A2BFE">
        <w:rPr>
          <w:rFonts w:cs="Arial"/>
          <w:color w:val="000000"/>
          <w:sz w:val="20"/>
          <w:szCs w:val="20"/>
          <w:lang w:eastAsia="en-GB"/>
        </w:rPr>
        <w:t>]</w:t>
      </w:r>
      <w:r w:rsidR="00EA742A">
        <w:rPr>
          <w:rFonts w:cs="Arial"/>
          <w:color w:val="000000"/>
          <w:sz w:val="20"/>
          <w:szCs w:val="20"/>
          <w:lang w:eastAsia="en-GB"/>
        </w:rPr>
        <w:t xml:space="preserve"> [4]</w:t>
      </w:r>
    </w:p>
    <w:p w14:paraId="4F265C8A" w14:textId="31AA1C31" w:rsidR="00DE28E4" w:rsidRPr="00DE28E4" w:rsidRDefault="00DE28E4" w:rsidP="00DE28E4">
      <w:pPr>
        <w:spacing w:before="100" w:beforeAutospacing="1" w:after="100" w:afterAutospacing="1" w:line="240" w:lineRule="auto"/>
        <w:jc w:val="left"/>
        <w:rPr>
          <w:rFonts w:cs="Arial"/>
          <w:color w:val="000000"/>
          <w:sz w:val="20"/>
          <w:szCs w:val="20"/>
          <w:lang w:eastAsia="en-GB"/>
        </w:rPr>
      </w:pPr>
      <w:r w:rsidRPr="00DE28E4">
        <w:rPr>
          <w:rFonts w:cs="Arial"/>
          <w:color w:val="000000"/>
          <w:sz w:val="20"/>
          <w:szCs w:val="20"/>
          <w:lang w:eastAsia="en-GB"/>
        </w:rPr>
        <w:t>The six top events were identified. Explosion covers unintended initiation caused by impact, heating, electrostatic discharge, electromagnetic radiation, hostile threats or an incorrect response to a misfire. This could result in blast, fragmentation, fire, multiple casualties and major system damage</w:t>
      </w:r>
      <w:r>
        <w:rPr>
          <w:rFonts w:cs="Arial"/>
          <w:color w:val="000000"/>
          <w:sz w:val="20"/>
          <w:szCs w:val="20"/>
          <w:lang w:eastAsia="en-GB"/>
        </w:rPr>
        <w:t xml:space="preserve">. </w:t>
      </w:r>
      <w:r w:rsidRPr="00DE28E4">
        <w:rPr>
          <w:rFonts w:cs="Arial"/>
          <w:color w:val="000000"/>
          <w:sz w:val="20"/>
          <w:szCs w:val="20"/>
          <w:lang w:eastAsia="en-GB"/>
        </w:rPr>
        <w:t>[1]</w:t>
      </w:r>
      <w:r>
        <w:rPr>
          <w:rFonts w:cs="Arial"/>
          <w:color w:val="000000"/>
          <w:sz w:val="20"/>
          <w:szCs w:val="20"/>
          <w:lang w:eastAsia="en-GB"/>
        </w:rPr>
        <w:t xml:space="preserve"> </w:t>
      </w:r>
      <w:r w:rsidRPr="00DE28E4">
        <w:rPr>
          <w:rFonts w:cs="Arial"/>
          <w:color w:val="000000"/>
          <w:sz w:val="20"/>
          <w:szCs w:val="20"/>
          <w:lang w:eastAsia="en-GB"/>
        </w:rPr>
        <w:t>[4]</w:t>
      </w:r>
    </w:p>
    <w:p w14:paraId="0DB902BC" w14:textId="684B21C7" w:rsidR="00DE28E4" w:rsidRPr="00DE28E4" w:rsidRDefault="00DE28E4" w:rsidP="00DE28E4">
      <w:pPr>
        <w:spacing w:before="100" w:beforeAutospacing="1" w:after="100" w:afterAutospacing="1" w:line="240" w:lineRule="auto"/>
        <w:jc w:val="left"/>
        <w:rPr>
          <w:rFonts w:cs="Arial"/>
          <w:color w:val="000000"/>
          <w:sz w:val="20"/>
          <w:szCs w:val="20"/>
          <w:lang w:eastAsia="en-GB"/>
        </w:rPr>
      </w:pPr>
      <w:r w:rsidRPr="00DE28E4">
        <w:rPr>
          <w:rFonts w:cs="Arial"/>
          <w:color w:val="000000"/>
          <w:sz w:val="20"/>
          <w:szCs w:val="20"/>
          <w:lang w:eastAsia="en-GB"/>
        </w:rPr>
        <w:t>The electrical event is a fault or unintended energisation caused by damaged cabling, water ingress, incorrect maintenance, lightning or electromagnetic interference. Possible outcomes include electric shock, arcing, overheating, an unintended firing signal or loss of a safety function</w:t>
      </w:r>
      <w:r>
        <w:rPr>
          <w:rFonts w:cs="Arial"/>
          <w:color w:val="000000"/>
          <w:sz w:val="20"/>
          <w:szCs w:val="20"/>
          <w:lang w:eastAsia="en-GB"/>
        </w:rPr>
        <w:t>.</w:t>
      </w:r>
      <w:r w:rsidRPr="00DE28E4">
        <w:rPr>
          <w:rFonts w:cs="Arial"/>
          <w:color w:val="000000"/>
          <w:sz w:val="20"/>
          <w:szCs w:val="20"/>
          <w:lang w:eastAsia="en-GB"/>
        </w:rPr>
        <w:t xml:space="preserve"> [9]</w:t>
      </w:r>
      <w:r>
        <w:rPr>
          <w:rFonts w:cs="Arial"/>
          <w:color w:val="000000"/>
          <w:sz w:val="20"/>
          <w:szCs w:val="20"/>
          <w:lang w:eastAsia="en-GB"/>
        </w:rPr>
        <w:t xml:space="preserve"> [10] [11] </w:t>
      </w:r>
      <w:r w:rsidRPr="00DE28E4">
        <w:rPr>
          <w:rFonts w:cs="Arial"/>
          <w:color w:val="000000"/>
          <w:sz w:val="20"/>
          <w:szCs w:val="20"/>
          <w:lang w:eastAsia="en-GB"/>
        </w:rPr>
        <w:t>[12]</w:t>
      </w:r>
    </w:p>
    <w:p w14:paraId="0DAAAFA8" w14:textId="49A7E12F" w:rsidR="00DE28E4" w:rsidRPr="00DE28E4" w:rsidRDefault="00DE28E4" w:rsidP="00DE28E4">
      <w:pPr>
        <w:spacing w:before="100" w:beforeAutospacing="1" w:after="100" w:afterAutospacing="1" w:line="240" w:lineRule="auto"/>
        <w:jc w:val="left"/>
        <w:rPr>
          <w:rFonts w:cs="Arial"/>
          <w:color w:val="000000"/>
          <w:sz w:val="20"/>
          <w:szCs w:val="20"/>
          <w:lang w:eastAsia="en-GB"/>
        </w:rPr>
      </w:pPr>
      <w:r w:rsidRPr="00DE28E4">
        <w:rPr>
          <w:rFonts w:cs="Arial"/>
          <w:color w:val="000000"/>
          <w:sz w:val="20"/>
          <w:szCs w:val="20"/>
          <w:lang w:eastAsia="en-GB"/>
        </w:rPr>
        <w:t>The asphyxiant or toxic event is harmful exposure to propellant gases, particularly during repeated firing or in poorly ventilated areas. This could cause breathing difficulties, irritation, toxic effects or asphyxiation</w:t>
      </w:r>
      <w:r>
        <w:rPr>
          <w:rFonts w:cs="Arial"/>
          <w:color w:val="000000"/>
          <w:sz w:val="20"/>
          <w:szCs w:val="20"/>
          <w:lang w:eastAsia="en-GB"/>
        </w:rPr>
        <w:t>.</w:t>
      </w:r>
      <w:r w:rsidRPr="00DE28E4">
        <w:rPr>
          <w:rFonts w:cs="Arial"/>
          <w:color w:val="000000"/>
          <w:sz w:val="20"/>
          <w:szCs w:val="20"/>
          <w:lang w:eastAsia="en-GB"/>
        </w:rPr>
        <w:t xml:space="preserve"> [14]</w:t>
      </w:r>
      <w:r>
        <w:rPr>
          <w:rFonts w:cs="Arial"/>
          <w:color w:val="000000"/>
          <w:sz w:val="20"/>
          <w:szCs w:val="20"/>
          <w:lang w:eastAsia="en-GB"/>
        </w:rPr>
        <w:t xml:space="preserve"> </w:t>
      </w:r>
      <w:r w:rsidRPr="00DE28E4">
        <w:rPr>
          <w:rFonts w:cs="Arial"/>
          <w:color w:val="000000"/>
          <w:sz w:val="20"/>
          <w:szCs w:val="20"/>
          <w:lang w:eastAsia="en-GB"/>
        </w:rPr>
        <w:t>[15]</w:t>
      </w:r>
    </w:p>
    <w:p w14:paraId="68216CD6" w14:textId="666F6975" w:rsidR="00DE28E4" w:rsidRPr="00DE28E4" w:rsidRDefault="00DE28E4" w:rsidP="00DE28E4">
      <w:pPr>
        <w:spacing w:before="100" w:beforeAutospacing="1" w:after="100" w:afterAutospacing="1" w:line="240" w:lineRule="auto"/>
        <w:jc w:val="left"/>
        <w:rPr>
          <w:rFonts w:cs="Arial"/>
          <w:color w:val="000000"/>
          <w:sz w:val="20"/>
          <w:szCs w:val="20"/>
          <w:lang w:eastAsia="en-GB"/>
        </w:rPr>
      </w:pPr>
      <w:r w:rsidRPr="00DE28E4">
        <w:rPr>
          <w:rFonts w:cs="Arial"/>
          <w:color w:val="000000"/>
          <w:sz w:val="20"/>
          <w:szCs w:val="20"/>
          <w:lang w:eastAsia="en-GB"/>
        </w:rPr>
        <w:t>The high-pressure gas event is a loss of containment caused by breech, seal or obturation failure, incorrect assembly, overheating or a misfire. The outcome could include burns, impact injuries, equipment failure or fatal injury</w:t>
      </w:r>
      <w:r>
        <w:rPr>
          <w:rFonts w:cs="Arial"/>
          <w:color w:val="000000"/>
          <w:sz w:val="20"/>
          <w:szCs w:val="20"/>
          <w:lang w:eastAsia="en-GB"/>
        </w:rPr>
        <w:t xml:space="preserve">. </w:t>
      </w:r>
      <w:r w:rsidRPr="00DE28E4">
        <w:rPr>
          <w:rFonts w:cs="Arial"/>
          <w:color w:val="000000"/>
          <w:sz w:val="20"/>
          <w:szCs w:val="20"/>
          <w:lang w:eastAsia="en-GB"/>
        </w:rPr>
        <w:t>[4]</w:t>
      </w:r>
      <w:r>
        <w:rPr>
          <w:rFonts w:cs="Arial"/>
          <w:color w:val="000000"/>
          <w:sz w:val="20"/>
          <w:szCs w:val="20"/>
          <w:lang w:eastAsia="en-GB"/>
        </w:rPr>
        <w:t xml:space="preserve"> </w:t>
      </w:r>
      <w:r w:rsidR="003F6B32">
        <w:rPr>
          <w:rFonts w:cs="Arial"/>
          <w:color w:val="000000"/>
          <w:sz w:val="20"/>
          <w:szCs w:val="20"/>
          <w:lang w:eastAsia="en-GB"/>
        </w:rPr>
        <w:t>[</w:t>
      </w:r>
      <w:r w:rsidRPr="00DE28E4">
        <w:rPr>
          <w:rFonts w:cs="Arial"/>
          <w:color w:val="000000"/>
          <w:sz w:val="20"/>
          <w:szCs w:val="20"/>
          <w:lang w:eastAsia="en-GB"/>
        </w:rPr>
        <w:t>16]</w:t>
      </w:r>
    </w:p>
    <w:p w14:paraId="65593F68" w14:textId="0C7E9B0D" w:rsidR="00DE28E4" w:rsidRPr="00DE28E4" w:rsidRDefault="00DE28E4" w:rsidP="00DE28E4">
      <w:pPr>
        <w:spacing w:before="100" w:beforeAutospacing="1" w:after="100" w:afterAutospacing="1" w:line="240" w:lineRule="auto"/>
        <w:jc w:val="left"/>
        <w:rPr>
          <w:rFonts w:cs="Arial"/>
          <w:color w:val="000000"/>
          <w:sz w:val="20"/>
          <w:szCs w:val="20"/>
          <w:lang w:eastAsia="en-GB"/>
        </w:rPr>
      </w:pPr>
      <w:r w:rsidRPr="00DE28E4">
        <w:rPr>
          <w:rFonts w:cs="Arial"/>
          <w:color w:val="000000"/>
          <w:sz w:val="20"/>
          <w:szCs w:val="20"/>
          <w:lang w:eastAsia="en-GB"/>
        </w:rPr>
        <w:t>The heat event is harmful contact with hot surfaces, casings</w:t>
      </w:r>
      <w:r>
        <w:rPr>
          <w:rFonts w:cs="Arial"/>
          <w:color w:val="000000"/>
          <w:sz w:val="20"/>
          <w:szCs w:val="20"/>
          <w:lang w:eastAsia="en-GB"/>
        </w:rPr>
        <w:t xml:space="preserve"> and </w:t>
      </w:r>
      <w:r w:rsidRPr="00DE28E4">
        <w:rPr>
          <w:rFonts w:cs="Arial"/>
          <w:color w:val="000000"/>
          <w:sz w:val="20"/>
          <w:szCs w:val="20"/>
          <w:lang w:eastAsia="en-GB"/>
        </w:rPr>
        <w:t>gase</w:t>
      </w:r>
      <w:r>
        <w:rPr>
          <w:rFonts w:cs="Arial"/>
          <w:color w:val="000000"/>
          <w:sz w:val="20"/>
          <w:szCs w:val="20"/>
          <w:lang w:eastAsia="en-GB"/>
        </w:rPr>
        <w:t>s</w:t>
      </w:r>
      <w:r w:rsidRPr="00DE28E4">
        <w:rPr>
          <w:rFonts w:cs="Arial"/>
          <w:color w:val="000000"/>
          <w:sz w:val="20"/>
          <w:szCs w:val="20"/>
          <w:lang w:eastAsia="en-GB"/>
        </w:rPr>
        <w:t>, or the ignition of nearby material. Repeated firing and insufficient cooling could cause burns, damage equipment or contribute to another hazard.</w:t>
      </w:r>
    </w:p>
    <w:p w14:paraId="64A8DA46" w14:textId="57ABC85E" w:rsidR="005A2BFE" w:rsidRPr="005A2BFE" w:rsidRDefault="00DE28E4" w:rsidP="005A2BFE">
      <w:pPr>
        <w:spacing w:before="100" w:beforeAutospacing="1" w:after="100" w:afterAutospacing="1" w:line="240" w:lineRule="auto"/>
        <w:jc w:val="left"/>
        <w:rPr>
          <w:rFonts w:cs="Arial"/>
          <w:color w:val="000000"/>
          <w:sz w:val="20"/>
          <w:szCs w:val="20"/>
          <w:lang w:eastAsia="en-GB"/>
        </w:rPr>
      </w:pPr>
      <w:r w:rsidRPr="00DE28E4">
        <w:rPr>
          <w:rFonts w:cs="Arial"/>
          <w:color w:val="000000"/>
          <w:sz w:val="20"/>
          <w:szCs w:val="20"/>
          <w:lang w:eastAsia="en-GB"/>
        </w:rPr>
        <w:t>The noise event is harmful exposure to impulse noise during firing, training or trials. This could cause hearing damage, acoustic trauma, communication difficulties and distraction</w:t>
      </w:r>
      <w:r>
        <w:rPr>
          <w:rFonts w:cs="Arial"/>
          <w:color w:val="000000"/>
          <w:sz w:val="20"/>
          <w:szCs w:val="20"/>
          <w:lang w:eastAsia="en-GB"/>
        </w:rPr>
        <w:t>.</w:t>
      </w:r>
      <w:r w:rsidRPr="00DE28E4">
        <w:rPr>
          <w:rFonts w:cs="Arial"/>
          <w:color w:val="000000"/>
          <w:sz w:val="20"/>
          <w:szCs w:val="20"/>
          <w:lang w:eastAsia="en-GB"/>
        </w:rPr>
        <w:t xml:space="preserve"> [13]</w:t>
      </w:r>
    </w:p>
    <w:p w14:paraId="3CCA9E07" w14:textId="6473312E"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 xml:space="preserve">The hazards can also affect one another. A misfire, for example, may leave both energetic material and residual pressure in </w:t>
      </w:r>
      <w:r w:rsidR="00473D7E" w:rsidRPr="005A2BFE">
        <w:rPr>
          <w:rFonts w:cs="Arial"/>
          <w:color w:val="000000"/>
          <w:sz w:val="20"/>
          <w:szCs w:val="20"/>
          <w:lang w:eastAsia="en-GB"/>
        </w:rPr>
        <w:t>a</w:t>
      </w:r>
      <w:r w:rsidRPr="005A2BFE">
        <w:rPr>
          <w:rFonts w:cs="Arial"/>
          <w:color w:val="000000"/>
          <w:sz w:val="20"/>
          <w:szCs w:val="20"/>
          <w:lang w:eastAsia="en-GB"/>
        </w:rPr>
        <w:t xml:space="preserve"> </w:t>
      </w:r>
      <w:r w:rsidR="00473D7E">
        <w:rPr>
          <w:rFonts w:cs="Arial"/>
          <w:color w:val="000000"/>
          <w:sz w:val="20"/>
          <w:szCs w:val="20"/>
          <w:lang w:eastAsia="en-GB"/>
        </w:rPr>
        <w:t xml:space="preserve">hazardous </w:t>
      </w:r>
      <w:r w:rsidRPr="005A2BFE">
        <w:rPr>
          <w:rFonts w:cs="Arial"/>
          <w:color w:val="000000"/>
          <w:sz w:val="20"/>
          <w:szCs w:val="20"/>
          <w:lang w:eastAsia="en-GB"/>
        </w:rPr>
        <w:t>condition. An electrical fault could produce heat, remove an interlock or create an unintended firing signal, while excessive heat could damage insulation, seals or ammunition. High noise levels may also make communication more difficult during an abnormal response. These links show why several layers of control are needed and why the system should not be treated as six completely separate hazards.</w:t>
      </w:r>
    </w:p>
    <w:p w14:paraId="4EC2D3A7" w14:textId="0A876086" w:rsidR="00742F11" w:rsidRPr="00E10B57" w:rsidRDefault="005A2BFE" w:rsidP="00E10B57">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Other issues, including manual handling, slips, vehicle movement and local site conditions, would need to be covered by a separate local assessment once the exact task and environment are known. Tables 4 and 5 record the relevant phases, causes, outcomes, controls and residual risk ratings for the hazards considered here</w:t>
      </w:r>
      <w:r>
        <w:rPr>
          <w:rFonts w:cs="Arial"/>
          <w:color w:val="000000"/>
          <w:sz w:val="20"/>
          <w:szCs w:val="20"/>
          <w:lang w:eastAsia="en-GB"/>
        </w:rPr>
        <w:t>.</w:t>
      </w:r>
    </w:p>
    <w:p w14:paraId="6D448B69" w14:textId="289B5B58" w:rsidR="00DB1C19" w:rsidRPr="00464DD7" w:rsidRDefault="00DB1C19" w:rsidP="00DB1C19">
      <w:pPr>
        <w:pStyle w:val="Heading2"/>
        <w:rPr>
          <w:sz w:val="24"/>
          <w:szCs w:val="24"/>
        </w:rPr>
      </w:pPr>
      <w:bookmarkStart w:id="46" w:name="_Toc234948149"/>
      <w:r w:rsidRPr="00464DD7">
        <w:rPr>
          <w:sz w:val="24"/>
          <w:szCs w:val="24"/>
        </w:rPr>
        <w:lastRenderedPageBreak/>
        <w:t>Risk Assessment</w:t>
      </w:r>
      <w:bookmarkEnd w:id="46"/>
      <w:r w:rsidRPr="00464DD7">
        <w:rPr>
          <w:sz w:val="24"/>
          <w:szCs w:val="24"/>
        </w:rPr>
        <w:t xml:space="preserve"> </w:t>
      </w:r>
    </w:p>
    <w:p w14:paraId="61D19386" w14:textId="700EF665" w:rsidR="004C4AD3" w:rsidRPr="00464DD7" w:rsidRDefault="005A2BFE" w:rsidP="00DB1C19">
      <w:pPr>
        <w:spacing w:line="240" w:lineRule="auto"/>
        <w:jc w:val="left"/>
        <w:rPr>
          <w:rFonts w:cs="Arial"/>
          <w:color w:val="000000"/>
          <w:sz w:val="20"/>
          <w:szCs w:val="20"/>
        </w:rPr>
      </w:pPr>
      <w:r w:rsidRPr="005A2BFE">
        <w:rPr>
          <w:rFonts w:cs="Arial"/>
          <w:color w:val="000000"/>
          <w:sz w:val="20"/>
          <w:szCs w:val="20"/>
        </w:rPr>
        <w:t xml:space="preserve">Table 4 takes the hazards identified during the </w:t>
      </w:r>
      <w:proofErr w:type="spellStart"/>
      <w:r w:rsidRPr="005A2BFE">
        <w:rPr>
          <w:rFonts w:cs="Arial"/>
          <w:color w:val="000000"/>
          <w:sz w:val="20"/>
          <w:szCs w:val="20"/>
        </w:rPr>
        <w:t>HazID</w:t>
      </w:r>
      <w:proofErr w:type="spellEnd"/>
      <w:r w:rsidRPr="005A2BFE">
        <w:rPr>
          <w:rFonts w:cs="Arial"/>
          <w:color w:val="000000"/>
          <w:sz w:val="20"/>
          <w:szCs w:val="20"/>
        </w:rPr>
        <w:t xml:space="preserve"> and gives each one a pre-control risk rating. Suitable controls and mitigations are then applied before the remaining post-control risk is reassessed in Table 5</w:t>
      </w:r>
      <w:r w:rsidR="00DB1C19" w:rsidRPr="00464DD7">
        <w:rPr>
          <w:rFonts w:cs="Arial"/>
          <w:color w:val="000000"/>
          <w:sz w:val="20"/>
          <w:szCs w:val="20"/>
        </w:rPr>
        <w:t xml:space="preserve">. </w:t>
      </w:r>
    </w:p>
    <w:p w14:paraId="0D83A930" w14:textId="1B81AA15" w:rsidR="00DB1C19" w:rsidRPr="00464DD7" w:rsidRDefault="00DB1C19" w:rsidP="00DB1C19">
      <w:pPr>
        <w:pStyle w:val="Heading3"/>
        <w:rPr>
          <w:sz w:val="24"/>
          <w:szCs w:val="24"/>
        </w:rPr>
      </w:pPr>
      <w:bookmarkStart w:id="47" w:name="_Toc234948150"/>
      <w:r w:rsidRPr="00464DD7">
        <w:rPr>
          <w:sz w:val="24"/>
          <w:szCs w:val="24"/>
        </w:rPr>
        <w:t>Pre-Control Risk Assessment</w:t>
      </w:r>
      <w:bookmarkEnd w:id="47"/>
    </w:p>
    <w:tbl>
      <w:tblPr>
        <w:tblStyle w:val="TableGrid"/>
        <w:tblW w:w="11194" w:type="dxa"/>
        <w:jc w:val="center"/>
        <w:tblLayout w:type="fixed"/>
        <w:tblLook w:val="04A0" w:firstRow="1" w:lastRow="0" w:firstColumn="1" w:lastColumn="0" w:noHBand="0" w:noVBand="1"/>
      </w:tblPr>
      <w:tblGrid>
        <w:gridCol w:w="1129"/>
        <w:gridCol w:w="1276"/>
        <w:gridCol w:w="1534"/>
        <w:gridCol w:w="2575"/>
        <w:gridCol w:w="1703"/>
        <w:gridCol w:w="1077"/>
        <w:gridCol w:w="1115"/>
        <w:gridCol w:w="785"/>
      </w:tblGrid>
      <w:tr w:rsidR="00090183" w:rsidRPr="00464DD7" w14:paraId="7C55A179" w14:textId="77777777" w:rsidTr="00284E97">
        <w:trPr>
          <w:trHeight w:val="1065"/>
          <w:jc w:val="center"/>
        </w:trPr>
        <w:tc>
          <w:tcPr>
            <w:tcW w:w="1129" w:type="dxa"/>
          </w:tcPr>
          <w:p w14:paraId="5B9876EB" w14:textId="41FF832F" w:rsidR="00DB1C19" w:rsidRPr="00464DD7" w:rsidRDefault="00DB1C19" w:rsidP="00DB1C19">
            <w:pPr>
              <w:spacing w:line="240" w:lineRule="auto"/>
              <w:jc w:val="center"/>
              <w:rPr>
                <w:rFonts w:cs="Arial"/>
                <w:b/>
                <w:bCs/>
                <w:sz w:val="16"/>
                <w:szCs w:val="16"/>
              </w:rPr>
            </w:pPr>
            <w:r w:rsidRPr="00464DD7">
              <w:rPr>
                <w:rFonts w:cs="Arial"/>
                <w:b/>
                <w:bCs/>
                <w:sz w:val="16"/>
                <w:szCs w:val="16"/>
              </w:rPr>
              <w:t>Hazard</w:t>
            </w:r>
          </w:p>
        </w:tc>
        <w:tc>
          <w:tcPr>
            <w:tcW w:w="1276" w:type="dxa"/>
            <w:hideMark/>
          </w:tcPr>
          <w:p w14:paraId="68A82FDB"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MTDS Phase</w:t>
            </w:r>
          </w:p>
        </w:tc>
        <w:tc>
          <w:tcPr>
            <w:tcW w:w="1534" w:type="dxa"/>
            <w:hideMark/>
          </w:tcPr>
          <w:p w14:paraId="2E1C4F74"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Hazard Description</w:t>
            </w:r>
          </w:p>
        </w:tc>
        <w:tc>
          <w:tcPr>
            <w:tcW w:w="2575" w:type="dxa"/>
            <w:hideMark/>
          </w:tcPr>
          <w:p w14:paraId="0F20F14E"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Main Causes / Causal Pathways</w:t>
            </w:r>
          </w:p>
        </w:tc>
        <w:tc>
          <w:tcPr>
            <w:tcW w:w="1703" w:type="dxa"/>
            <w:hideMark/>
          </w:tcPr>
          <w:p w14:paraId="7DD600D8"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Potential Accident Outcome</w:t>
            </w:r>
          </w:p>
        </w:tc>
        <w:tc>
          <w:tcPr>
            <w:tcW w:w="1077" w:type="dxa"/>
            <w:hideMark/>
          </w:tcPr>
          <w:p w14:paraId="15EB5190"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Pre-Control Likelihood</w:t>
            </w:r>
          </w:p>
        </w:tc>
        <w:tc>
          <w:tcPr>
            <w:tcW w:w="1115" w:type="dxa"/>
            <w:hideMark/>
          </w:tcPr>
          <w:p w14:paraId="7FA4B4C9"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Pre-Control Severity</w:t>
            </w:r>
          </w:p>
        </w:tc>
        <w:tc>
          <w:tcPr>
            <w:tcW w:w="785" w:type="dxa"/>
            <w:hideMark/>
          </w:tcPr>
          <w:p w14:paraId="6CB87B0D"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Pre-Control Risk Class</w:t>
            </w:r>
          </w:p>
        </w:tc>
      </w:tr>
      <w:tr w:rsidR="00090183" w:rsidRPr="00464DD7" w14:paraId="5042F534" w14:textId="77777777" w:rsidTr="00284E97">
        <w:trPr>
          <w:trHeight w:val="1792"/>
          <w:jc w:val="center"/>
        </w:trPr>
        <w:tc>
          <w:tcPr>
            <w:tcW w:w="1129" w:type="dxa"/>
          </w:tcPr>
          <w:p w14:paraId="23B84736" w14:textId="02587CF7" w:rsidR="00DB1C19" w:rsidRPr="00464DD7" w:rsidRDefault="00DB1C19" w:rsidP="00DB1C19">
            <w:pPr>
              <w:spacing w:line="240" w:lineRule="auto"/>
              <w:jc w:val="left"/>
              <w:rPr>
                <w:rFonts w:cs="Arial"/>
                <w:sz w:val="16"/>
                <w:szCs w:val="16"/>
              </w:rPr>
            </w:pPr>
            <w:r w:rsidRPr="00464DD7">
              <w:rPr>
                <w:rFonts w:cs="Arial"/>
                <w:sz w:val="16"/>
                <w:szCs w:val="16"/>
              </w:rPr>
              <w:t>Explosion</w:t>
            </w:r>
          </w:p>
        </w:tc>
        <w:tc>
          <w:tcPr>
            <w:tcW w:w="1276" w:type="dxa"/>
            <w:hideMark/>
          </w:tcPr>
          <w:p w14:paraId="08CC0D90" w14:textId="570BC872" w:rsidR="00DB1C19" w:rsidRPr="00464DD7" w:rsidRDefault="00DB1C19" w:rsidP="00DB1C19">
            <w:pPr>
              <w:spacing w:line="240" w:lineRule="auto"/>
              <w:jc w:val="left"/>
              <w:rPr>
                <w:rFonts w:cs="Arial"/>
                <w:sz w:val="16"/>
                <w:szCs w:val="16"/>
              </w:rPr>
            </w:pPr>
            <w:r w:rsidRPr="00464DD7">
              <w:rPr>
                <w:rFonts w:cs="Arial"/>
                <w:sz w:val="16"/>
                <w:szCs w:val="16"/>
              </w:rPr>
              <w:t>Storage;</w:t>
            </w:r>
            <w:r w:rsidR="00464DD7">
              <w:rPr>
                <w:rFonts w:cs="Arial"/>
                <w:sz w:val="16"/>
                <w:szCs w:val="16"/>
              </w:rPr>
              <w:t xml:space="preserve"> t</w:t>
            </w:r>
            <w:r w:rsidRPr="00464DD7">
              <w:rPr>
                <w:rFonts w:cs="Arial"/>
                <w:sz w:val="16"/>
                <w:szCs w:val="16"/>
              </w:rPr>
              <w:t>ransport; preparation; firing; misfire response; disposal</w:t>
            </w:r>
          </w:p>
        </w:tc>
        <w:tc>
          <w:tcPr>
            <w:tcW w:w="1534" w:type="dxa"/>
            <w:hideMark/>
          </w:tcPr>
          <w:p w14:paraId="4C5469F0" w14:textId="47B46503" w:rsidR="00DB1C19" w:rsidRPr="00464DD7" w:rsidRDefault="00DB1C19" w:rsidP="00DB1C19">
            <w:pPr>
              <w:spacing w:line="240" w:lineRule="auto"/>
              <w:jc w:val="left"/>
              <w:rPr>
                <w:rFonts w:cs="Arial"/>
                <w:sz w:val="16"/>
                <w:szCs w:val="16"/>
              </w:rPr>
            </w:pPr>
            <w:r w:rsidRPr="00464DD7">
              <w:rPr>
                <w:rFonts w:cs="Arial"/>
                <w:sz w:val="16"/>
                <w:szCs w:val="16"/>
              </w:rPr>
              <w:t>Unintended initiation of the munition or energetic material.</w:t>
            </w:r>
          </w:p>
        </w:tc>
        <w:tc>
          <w:tcPr>
            <w:tcW w:w="2575" w:type="dxa"/>
            <w:hideMark/>
          </w:tcPr>
          <w:p w14:paraId="5D70E970" w14:textId="0A3C6B7B" w:rsidR="00DB1C19" w:rsidRPr="00464DD7" w:rsidRDefault="00DB1C19" w:rsidP="00DB1C19">
            <w:pPr>
              <w:spacing w:line="240" w:lineRule="auto"/>
              <w:jc w:val="left"/>
              <w:rPr>
                <w:rFonts w:cs="Arial"/>
                <w:sz w:val="16"/>
                <w:szCs w:val="16"/>
              </w:rPr>
            </w:pPr>
            <w:r w:rsidRPr="00464DD7">
              <w:rPr>
                <w:rFonts w:cs="Arial"/>
                <w:sz w:val="16"/>
                <w:szCs w:val="16"/>
              </w:rPr>
              <w:t xml:space="preserve">Electrostatic discharge; low drop while unpackaged; electromagnetic radiation; insensitive munition threats; fragmentation attack; bullet impact; shaped charge jet; sympathetic reaction; slow/fast heating; </w:t>
            </w:r>
            <w:proofErr w:type="spellStart"/>
            <w:r w:rsidRPr="00464DD7">
              <w:rPr>
                <w:rFonts w:cs="Arial"/>
                <w:sz w:val="16"/>
                <w:szCs w:val="16"/>
              </w:rPr>
              <w:t>hangfire</w:t>
            </w:r>
            <w:proofErr w:type="spellEnd"/>
            <w:r w:rsidRPr="00464DD7">
              <w:rPr>
                <w:rFonts w:cs="Arial"/>
                <w:sz w:val="16"/>
                <w:szCs w:val="16"/>
              </w:rPr>
              <w:t xml:space="preserve"> or misfire.</w:t>
            </w:r>
          </w:p>
        </w:tc>
        <w:tc>
          <w:tcPr>
            <w:tcW w:w="1703" w:type="dxa"/>
            <w:hideMark/>
          </w:tcPr>
          <w:p w14:paraId="4FB851F1" w14:textId="6C83C78D" w:rsidR="00DB1C19" w:rsidRPr="00464DD7" w:rsidRDefault="00DB1C19" w:rsidP="00DB1C19">
            <w:pPr>
              <w:spacing w:line="240" w:lineRule="auto"/>
              <w:jc w:val="left"/>
              <w:rPr>
                <w:rFonts w:cs="Arial"/>
                <w:sz w:val="16"/>
                <w:szCs w:val="16"/>
              </w:rPr>
            </w:pPr>
            <w:r w:rsidRPr="00464DD7">
              <w:rPr>
                <w:rFonts w:cs="Arial"/>
                <w:sz w:val="16"/>
                <w:szCs w:val="16"/>
              </w:rPr>
              <w:t>Blast; fragmentation; fire; multiple casualties; major system damage or complete loss of the weapon system.</w:t>
            </w:r>
          </w:p>
        </w:tc>
        <w:tc>
          <w:tcPr>
            <w:tcW w:w="1077" w:type="dxa"/>
            <w:hideMark/>
          </w:tcPr>
          <w:p w14:paraId="6D2C65BC" w14:textId="77777777" w:rsidR="00DB1C19" w:rsidRPr="00464DD7" w:rsidRDefault="00DB1C19" w:rsidP="00DB1C19">
            <w:pPr>
              <w:spacing w:line="240" w:lineRule="auto"/>
              <w:jc w:val="left"/>
              <w:rPr>
                <w:rFonts w:cs="Arial"/>
                <w:sz w:val="16"/>
                <w:szCs w:val="16"/>
              </w:rPr>
            </w:pPr>
            <w:r w:rsidRPr="00464DD7">
              <w:rPr>
                <w:rFonts w:cs="Arial"/>
                <w:sz w:val="16"/>
                <w:szCs w:val="16"/>
              </w:rPr>
              <w:t>Remote</w:t>
            </w:r>
          </w:p>
        </w:tc>
        <w:tc>
          <w:tcPr>
            <w:tcW w:w="1115" w:type="dxa"/>
            <w:hideMark/>
          </w:tcPr>
          <w:p w14:paraId="5B47DFAC" w14:textId="77777777" w:rsidR="00DB1C19" w:rsidRPr="00464DD7" w:rsidRDefault="00DB1C19" w:rsidP="00DB1C19">
            <w:pPr>
              <w:spacing w:line="240" w:lineRule="auto"/>
              <w:jc w:val="left"/>
              <w:rPr>
                <w:rFonts w:cs="Arial"/>
                <w:sz w:val="16"/>
                <w:szCs w:val="16"/>
              </w:rPr>
            </w:pPr>
            <w:r w:rsidRPr="00464DD7">
              <w:rPr>
                <w:rFonts w:cs="Arial"/>
                <w:sz w:val="16"/>
                <w:szCs w:val="16"/>
              </w:rPr>
              <w:t>Catastrophic</w:t>
            </w:r>
          </w:p>
        </w:tc>
        <w:tc>
          <w:tcPr>
            <w:tcW w:w="785" w:type="dxa"/>
            <w:shd w:val="clear" w:color="auto" w:fill="FFC000"/>
            <w:hideMark/>
          </w:tcPr>
          <w:p w14:paraId="6F5CA56B" w14:textId="77777777" w:rsidR="00DB1C19" w:rsidRPr="00464DD7" w:rsidRDefault="00DB1C19" w:rsidP="00090183">
            <w:pPr>
              <w:spacing w:line="240" w:lineRule="auto"/>
              <w:jc w:val="center"/>
              <w:rPr>
                <w:rFonts w:cs="Arial"/>
                <w:b/>
                <w:bCs/>
                <w:sz w:val="16"/>
                <w:szCs w:val="16"/>
              </w:rPr>
            </w:pPr>
            <w:r w:rsidRPr="00464DD7">
              <w:rPr>
                <w:rFonts w:cs="Arial"/>
                <w:b/>
                <w:bCs/>
                <w:sz w:val="16"/>
                <w:szCs w:val="16"/>
              </w:rPr>
              <w:t>B</w:t>
            </w:r>
          </w:p>
        </w:tc>
      </w:tr>
      <w:tr w:rsidR="00090183" w:rsidRPr="00464DD7" w14:paraId="7E5B2399" w14:textId="77777777" w:rsidTr="00284E97">
        <w:trPr>
          <w:trHeight w:val="1534"/>
          <w:jc w:val="center"/>
        </w:trPr>
        <w:tc>
          <w:tcPr>
            <w:tcW w:w="1129" w:type="dxa"/>
          </w:tcPr>
          <w:p w14:paraId="1B9B3FB6" w14:textId="17BECFDF" w:rsidR="00DB1C19" w:rsidRPr="00464DD7" w:rsidRDefault="00DB1C19" w:rsidP="00DB1C19">
            <w:pPr>
              <w:spacing w:line="240" w:lineRule="auto"/>
              <w:jc w:val="left"/>
              <w:rPr>
                <w:rFonts w:cs="Arial"/>
                <w:sz w:val="16"/>
                <w:szCs w:val="16"/>
              </w:rPr>
            </w:pPr>
            <w:r w:rsidRPr="00464DD7">
              <w:rPr>
                <w:rFonts w:cs="Arial"/>
                <w:sz w:val="16"/>
                <w:szCs w:val="16"/>
              </w:rPr>
              <w:t>Electrical</w:t>
            </w:r>
          </w:p>
        </w:tc>
        <w:tc>
          <w:tcPr>
            <w:tcW w:w="1276" w:type="dxa"/>
            <w:hideMark/>
          </w:tcPr>
          <w:p w14:paraId="405709E6" w14:textId="77777777" w:rsidR="00DB1C19" w:rsidRPr="00464DD7" w:rsidRDefault="00DB1C19" w:rsidP="00DB1C19">
            <w:pPr>
              <w:spacing w:line="240" w:lineRule="auto"/>
              <w:jc w:val="left"/>
              <w:rPr>
                <w:rFonts w:cs="Arial"/>
                <w:sz w:val="16"/>
                <w:szCs w:val="16"/>
              </w:rPr>
            </w:pPr>
            <w:r w:rsidRPr="00464DD7">
              <w:rPr>
                <w:rFonts w:cs="Arial"/>
                <w:sz w:val="16"/>
                <w:szCs w:val="16"/>
              </w:rPr>
              <w:t>Storage; preparation; firing; maintenance; misfire response</w:t>
            </w:r>
          </w:p>
        </w:tc>
        <w:tc>
          <w:tcPr>
            <w:tcW w:w="1534" w:type="dxa"/>
            <w:hideMark/>
          </w:tcPr>
          <w:p w14:paraId="7EA96E39" w14:textId="3E3A8EF1" w:rsidR="00DB1C19" w:rsidRPr="00464DD7" w:rsidRDefault="00DB1C19" w:rsidP="00DB1C19">
            <w:pPr>
              <w:spacing w:line="240" w:lineRule="auto"/>
              <w:jc w:val="left"/>
              <w:rPr>
                <w:rFonts w:cs="Arial"/>
                <w:sz w:val="16"/>
                <w:szCs w:val="16"/>
              </w:rPr>
            </w:pPr>
            <w:r w:rsidRPr="00464DD7">
              <w:rPr>
                <w:rFonts w:cs="Arial"/>
                <w:sz w:val="16"/>
                <w:szCs w:val="16"/>
              </w:rPr>
              <w:t>E</w:t>
            </w:r>
            <w:r w:rsidR="00EB52DE" w:rsidRPr="00EB52DE">
              <w:rPr>
                <w:rFonts w:cs="Arial"/>
                <w:sz w:val="16"/>
                <w:szCs w:val="16"/>
              </w:rPr>
              <w:t>lectrical fault or unintended energisation during operation or maintenance.</w:t>
            </w:r>
          </w:p>
        </w:tc>
        <w:tc>
          <w:tcPr>
            <w:tcW w:w="2575" w:type="dxa"/>
            <w:hideMark/>
          </w:tcPr>
          <w:p w14:paraId="44F66FAD" w14:textId="77777777" w:rsidR="00DB1C19" w:rsidRPr="00464DD7" w:rsidRDefault="00DB1C19" w:rsidP="00DB1C19">
            <w:pPr>
              <w:spacing w:line="240" w:lineRule="auto"/>
              <w:jc w:val="left"/>
              <w:rPr>
                <w:rFonts w:cs="Arial"/>
                <w:sz w:val="16"/>
                <w:szCs w:val="16"/>
              </w:rPr>
            </w:pPr>
            <w:r w:rsidRPr="00464DD7">
              <w:rPr>
                <w:rFonts w:cs="Arial"/>
                <w:sz w:val="16"/>
                <w:szCs w:val="16"/>
              </w:rPr>
              <w:t>Animal damage; lightning; electromagnetic radiation; inclement weather; exposed cabling; degradation through maintenance or age; water ingress.</w:t>
            </w:r>
          </w:p>
        </w:tc>
        <w:tc>
          <w:tcPr>
            <w:tcW w:w="1703" w:type="dxa"/>
            <w:hideMark/>
          </w:tcPr>
          <w:p w14:paraId="3D271A23" w14:textId="77777777" w:rsidR="00DB1C19" w:rsidRPr="00464DD7" w:rsidRDefault="00DB1C19" w:rsidP="00DB1C19">
            <w:pPr>
              <w:spacing w:line="240" w:lineRule="auto"/>
              <w:jc w:val="left"/>
              <w:rPr>
                <w:rFonts w:cs="Arial"/>
                <w:sz w:val="16"/>
                <w:szCs w:val="16"/>
              </w:rPr>
            </w:pPr>
            <w:r w:rsidRPr="00464DD7">
              <w:rPr>
                <w:rFonts w:cs="Arial"/>
                <w:sz w:val="16"/>
                <w:szCs w:val="16"/>
              </w:rPr>
              <w:t>Electric shock; unintended firing signal; failure of safety interlocks; unsafe maintenance condition; serious injury or fatality.</w:t>
            </w:r>
          </w:p>
        </w:tc>
        <w:tc>
          <w:tcPr>
            <w:tcW w:w="1077" w:type="dxa"/>
            <w:hideMark/>
          </w:tcPr>
          <w:p w14:paraId="202285D6" w14:textId="42084514" w:rsidR="00DB1C19" w:rsidRPr="00464DD7" w:rsidRDefault="00EB52DE" w:rsidP="00DB1C19">
            <w:pPr>
              <w:spacing w:line="240" w:lineRule="auto"/>
              <w:jc w:val="left"/>
              <w:rPr>
                <w:rFonts w:cs="Arial"/>
                <w:sz w:val="16"/>
                <w:szCs w:val="16"/>
              </w:rPr>
            </w:pPr>
            <w:r>
              <w:rPr>
                <w:rFonts w:cs="Arial"/>
                <w:sz w:val="16"/>
                <w:szCs w:val="16"/>
              </w:rPr>
              <w:t>Occasional</w:t>
            </w:r>
          </w:p>
        </w:tc>
        <w:tc>
          <w:tcPr>
            <w:tcW w:w="1115" w:type="dxa"/>
            <w:hideMark/>
          </w:tcPr>
          <w:p w14:paraId="67752367" w14:textId="77777777" w:rsidR="00DB1C19" w:rsidRPr="00464DD7" w:rsidRDefault="00DB1C19" w:rsidP="00DB1C19">
            <w:pPr>
              <w:spacing w:line="240" w:lineRule="auto"/>
              <w:jc w:val="left"/>
              <w:rPr>
                <w:rFonts w:cs="Arial"/>
                <w:sz w:val="16"/>
                <w:szCs w:val="16"/>
              </w:rPr>
            </w:pPr>
            <w:r w:rsidRPr="00464DD7">
              <w:rPr>
                <w:rFonts w:cs="Arial"/>
                <w:sz w:val="16"/>
                <w:szCs w:val="16"/>
              </w:rPr>
              <w:t>Critical</w:t>
            </w:r>
          </w:p>
        </w:tc>
        <w:tc>
          <w:tcPr>
            <w:tcW w:w="785" w:type="dxa"/>
            <w:shd w:val="clear" w:color="auto" w:fill="FFC000"/>
            <w:hideMark/>
          </w:tcPr>
          <w:p w14:paraId="13DC1D42" w14:textId="38F09A0D" w:rsidR="00DB1C19" w:rsidRPr="00464DD7" w:rsidRDefault="00EB52DE" w:rsidP="00090183">
            <w:pPr>
              <w:spacing w:line="240" w:lineRule="auto"/>
              <w:jc w:val="center"/>
              <w:rPr>
                <w:rFonts w:cs="Arial"/>
                <w:b/>
                <w:bCs/>
                <w:sz w:val="16"/>
                <w:szCs w:val="16"/>
              </w:rPr>
            </w:pPr>
            <w:r>
              <w:rPr>
                <w:rFonts w:cs="Arial"/>
                <w:b/>
                <w:bCs/>
                <w:sz w:val="16"/>
                <w:szCs w:val="16"/>
              </w:rPr>
              <w:t>B</w:t>
            </w:r>
          </w:p>
        </w:tc>
      </w:tr>
      <w:tr w:rsidR="00090183" w:rsidRPr="00464DD7" w14:paraId="4F21308B" w14:textId="77777777" w:rsidTr="00284E97">
        <w:trPr>
          <w:trHeight w:val="1408"/>
          <w:jc w:val="center"/>
        </w:trPr>
        <w:tc>
          <w:tcPr>
            <w:tcW w:w="1129" w:type="dxa"/>
          </w:tcPr>
          <w:p w14:paraId="3584A82E" w14:textId="0E396413" w:rsidR="00DB1C19" w:rsidRPr="00464DD7" w:rsidRDefault="00DB1C19" w:rsidP="00DB1C19">
            <w:pPr>
              <w:spacing w:line="240" w:lineRule="auto"/>
              <w:jc w:val="left"/>
              <w:rPr>
                <w:rFonts w:cs="Arial"/>
                <w:sz w:val="16"/>
                <w:szCs w:val="16"/>
              </w:rPr>
            </w:pPr>
            <w:r w:rsidRPr="00464DD7">
              <w:rPr>
                <w:rFonts w:cs="Arial"/>
                <w:sz w:val="16"/>
                <w:szCs w:val="16"/>
              </w:rPr>
              <w:t>Asphyxiant / Toxicity</w:t>
            </w:r>
          </w:p>
        </w:tc>
        <w:tc>
          <w:tcPr>
            <w:tcW w:w="1276" w:type="dxa"/>
            <w:hideMark/>
          </w:tcPr>
          <w:p w14:paraId="64700B5C" w14:textId="77777777" w:rsidR="00DB1C19" w:rsidRPr="00464DD7" w:rsidRDefault="00DB1C19" w:rsidP="00DB1C19">
            <w:pPr>
              <w:spacing w:line="240" w:lineRule="auto"/>
              <w:jc w:val="left"/>
              <w:rPr>
                <w:rFonts w:cs="Arial"/>
                <w:sz w:val="16"/>
                <w:szCs w:val="16"/>
              </w:rPr>
            </w:pPr>
            <w:r w:rsidRPr="00464DD7">
              <w:rPr>
                <w:rFonts w:cs="Arial"/>
                <w:sz w:val="16"/>
                <w:szCs w:val="16"/>
              </w:rPr>
              <w:t>Firing; post-firing activity; maintenance</w:t>
            </w:r>
          </w:p>
        </w:tc>
        <w:tc>
          <w:tcPr>
            <w:tcW w:w="1534" w:type="dxa"/>
            <w:hideMark/>
          </w:tcPr>
          <w:p w14:paraId="31ABCEE6" w14:textId="0880C965" w:rsidR="00DB1C19" w:rsidRPr="00464DD7" w:rsidRDefault="00753DDC" w:rsidP="00DB1C19">
            <w:pPr>
              <w:spacing w:line="240" w:lineRule="auto"/>
              <w:jc w:val="left"/>
              <w:rPr>
                <w:rFonts w:cs="Arial"/>
                <w:sz w:val="16"/>
                <w:szCs w:val="16"/>
              </w:rPr>
            </w:pPr>
            <w:r w:rsidRPr="00753DDC">
              <w:rPr>
                <w:rFonts w:cs="Arial"/>
                <w:sz w:val="16"/>
                <w:szCs w:val="16"/>
              </w:rPr>
              <w:t>Harmful personnel exposure to propellant gases during or following firing.</w:t>
            </w:r>
          </w:p>
        </w:tc>
        <w:tc>
          <w:tcPr>
            <w:tcW w:w="2575" w:type="dxa"/>
            <w:hideMark/>
          </w:tcPr>
          <w:p w14:paraId="272D2A78" w14:textId="77777777" w:rsidR="00DB1C19" w:rsidRPr="00464DD7" w:rsidRDefault="00DB1C19" w:rsidP="00DB1C19">
            <w:pPr>
              <w:spacing w:line="240" w:lineRule="auto"/>
              <w:jc w:val="left"/>
              <w:rPr>
                <w:rFonts w:cs="Arial"/>
                <w:sz w:val="16"/>
                <w:szCs w:val="16"/>
              </w:rPr>
            </w:pPr>
            <w:r w:rsidRPr="00464DD7">
              <w:rPr>
                <w:rFonts w:cs="Arial"/>
                <w:sz w:val="16"/>
                <w:szCs w:val="16"/>
              </w:rPr>
              <w:t>Toxic propellant gases; poor ventilation; repeated firing; confined firing position; inadequate post-firing clearance.</w:t>
            </w:r>
          </w:p>
        </w:tc>
        <w:tc>
          <w:tcPr>
            <w:tcW w:w="1703" w:type="dxa"/>
            <w:hideMark/>
          </w:tcPr>
          <w:p w14:paraId="0AC2FA11" w14:textId="77777777" w:rsidR="00DB1C19" w:rsidRPr="00464DD7" w:rsidRDefault="00DB1C19" w:rsidP="00DB1C19">
            <w:pPr>
              <w:spacing w:line="240" w:lineRule="auto"/>
              <w:jc w:val="left"/>
              <w:rPr>
                <w:rFonts w:cs="Arial"/>
                <w:sz w:val="16"/>
                <w:szCs w:val="16"/>
              </w:rPr>
            </w:pPr>
            <w:r w:rsidRPr="00464DD7">
              <w:rPr>
                <w:rFonts w:cs="Arial"/>
                <w:sz w:val="16"/>
                <w:szCs w:val="16"/>
              </w:rPr>
              <w:t>Breathing difficulty; irritation; toxic exposure; asphyxiation or serious harm to personnel.</w:t>
            </w:r>
          </w:p>
        </w:tc>
        <w:tc>
          <w:tcPr>
            <w:tcW w:w="1077" w:type="dxa"/>
            <w:hideMark/>
          </w:tcPr>
          <w:p w14:paraId="750001B0" w14:textId="71C75632" w:rsidR="00DB1C19" w:rsidRPr="00464DD7" w:rsidRDefault="00753DDC" w:rsidP="00DB1C19">
            <w:pPr>
              <w:spacing w:line="240" w:lineRule="auto"/>
              <w:jc w:val="left"/>
              <w:rPr>
                <w:rFonts w:cs="Arial"/>
                <w:sz w:val="16"/>
                <w:szCs w:val="16"/>
              </w:rPr>
            </w:pPr>
            <w:r>
              <w:rPr>
                <w:rFonts w:cs="Arial"/>
                <w:sz w:val="16"/>
                <w:szCs w:val="16"/>
              </w:rPr>
              <w:t>Probable</w:t>
            </w:r>
          </w:p>
        </w:tc>
        <w:tc>
          <w:tcPr>
            <w:tcW w:w="1115" w:type="dxa"/>
            <w:hideMark/>
          </w:tcPr>
          <w:p w14:paraId="1C4DC0E4" w14:textId="77777777" w:rsidR="00DB1C19" w:rsidRPr="00464DD7" w:rsidRDefault="00DB1C19" w:rsidP="00DB1C19">
            <w:pPr>
              <w:spacing w:line="240" w:lineRule="auto"/>
              <w:jc w:val="left"/>
              <w:rPr>
                <w:rFonts w:cs="Arial"/>
                <w:sz w:val="16"/>
                <w:szCs w:val="16"/>
              </w:rPr>
            </w:pPr>
            <w:r w:rsidRPr="00464DD7">
              <w:rPr>
                <w:rFonts w:cs="Arial"/>
                <w:sz w:val="16"/>
                <w:szCs w:val="16"/>
              </w:rPr>
              <w:t>Critical</w:t>
            </w:r>
          </w:p>
        </w:tc>
        <w:tc>
          <w:tcPr>
            <w:tcW w:w="785" w:type="dxa"/>
            <w:shd w:val="clear" w:color="auto" w:fill="FF0000"/>
            <w:hideMark/>
          </w:tcPr>
          <w:p w14:paraId="6DED995B" w14:textId="77777777" w:rsidR="00DB1C19" w:rsidRPr="00464DD7" w:rsidRDefault="00DB1C19" w:rsidP="00090183">
            <w:pPr>
              <w:spacing w:line="240" w:lineRule="auto"/>
              <w:jc w:val="center"/>
              <w:rPr>
                <w:rFonts w:cs="Arial"/>
                <w:b/>
                <w:bCs/>
                <w:sz w:val="16"/>
                <w:szCs w:val="16"/>
              </w:rPr>
            </w:pPr>
            <w:r w:rsidRPr="00464DD7">
              <w:rPr>
                <w:rFonts w:cs="Arial"/>
                <w:b/>
                <w:bCs/>
                <w:sz w:val="16"/>
                <w:szCs w:val="16"/>
              </w:rPr>
              <w:t>A</w:t>
            </w:r>
          </w:p>
        </w:tc>
      </w:tr>
      <w:tr w:rsidR="00090183" w:rsidRPr="00464DD7" w14:paraId="4F109193" w14:textId="77777777" w:rsidTr="00284E97">
        <w:trPr>
          <w:trHeight w:val="1413"/>
          <w:jc w:val="center"/>
        </w:trPr>
        <w:tc>
          <w:tcPr>
            <w:tcW w:w="1129" w:type="dxa"/>
          </w:tcPr>
          <w:p w14:paraId="2D80D796" w14:textId="4AC0F103" w:rsidR="00DB1C19" w:rsidRPr="00464DD7" w:rsidRDefault="00DB1C19" w:rsidP="00DB1C19">
            <w:pPr>
              <w:spacing w:line="240" w:lineRule="auto"/>
              <w:jc w:val="left"/>
              <w:rPr>
                <w:rFonts w:cs="Arial"/>
                <w:sz w:val="16"/>
                <w:szCs w:val="16"/>
              </w:rPr>
            </w:pPr>
            <w:r w:rsidRPr="00464DD7">
              <w:rPr>
                <w:rFonts w:cs="Arial"/>
                <w:sz w:val="16"/>
                <w:szCs w:val="16"/>
              </w:rPr>
              <w:t>High-Pressure Gas</w:t>
            </w:r>
          </w:p>
        </w:tc>
        <w:tc>
          <w:tcPr>
            <w:tcW w:w="1276" w:type="dxa"/>
            <w:hideMark/>
          </w:tcPr>
          <w:p w14:paraId="681B95BD" w14:textId="77777777" w:rsidR="00DB1C19" w:rsidRPr="00464DD7" w:rsidRDefault="00DB1C19" w:rsidP="00DB1C19">
            <w:pPr>
              <w:spacing w:line="240" w:lineRule="auto"/>
              <w:jc w:val="left"/>
              <w:rPr>
                <w:rFonts w:cs="Arial"/>
                <w:sz w:val="16"/>
                <w:szCs w:val="16"/>
              </w:rPr>
            </w:pPr>
            <w:r w:rsidRPr="00464DD7">
              <w:rPr>
                <w:rFonts w:cs="Arial"/>
                <w:sz w:val="16"/>
                <w:szCs w:val="16"/>
              </w:rPr>
              <w:t>Preparation; firing; misfire response; maintenance</w:t>
            </w:r>
          </w:p>
        </w:tc>
        <w:tc>
          <w:tcPr>
            <w:tcW w:w="1534" w:type="dxa"/>
            <w:hideMark/>
          </w:tcPr>
          <w:p w14:paraId="5F3F8B64" w14:textId="666882BA" w:rsidR="00DB1C19" w:rsidRPr="00464DD7" w:rsidRDefault="00753DDC" w:rsidP="00DB1C19">
            <w:pPr>
              <w:spacing w:line="240" w:lineRule="auto"/>
              <w:jc w:val="left"/>
              <w:rPr>
                <w:rFonts w:cs="Arial"/>
                <w:sz w:val="16"/>
                <w:szCs w:val="16"/>
              </w:rPr>
            </w:pPr>
            <w:r w:rsidRPr="00753DDC">
              <w:rPr>
                <w:rFonts w:cs="Arial"/>
                <w:sz w:val="16"/>
                <w:szCs w:val="16"/>
              </w:rPr>
              <w:t>Loss of containment or uncontrolled release of high-pressure propellant gas during firing or abnormal response</w:t>
            </w:r>
            <w:r w:rsidR="00DB1C19" w:rsidRPr="00464DD7">
              <w:rPr>
                <w:rFonts w:cs="Arial"/>
                <w:sz w:val="16"/>
                <w:szCs w:val="16"/>
              </w:rPr>
              <w:t>.</w:t>
            </w:r>
          </w:p>
        </w:tc>
        <w:tc>
          <w:tcPr>
            <w:tcW w:w="2575" w:type="dxa"/>
            <w:hideMark/>
          </w:tcPr>
          <w:p w14:paraId="23D353AC" w14:textId="77777777" w:rsidR="00DB1C19" w:rsidRPr="00464DD7" w:rsidRDefault="00DB1C19" w:rsidP="00DB1C19">
            <w:pPr>
              <w:spacing w:line="240" w:lineRule="auto"/>
              <w:jc w:val="left"/>
              <w:rPr>
                <w:rFonts w:cs="Arial"/>
                <w:sz w:val="16"/>
                <w:szCs w:val="16"/>
              </w:rPr>
            </w:pPr>
            <w:r w:rsidRPr="00464DD7">
              <w:rPr>
                <w:rFonts w:cs="Arial"/>
                <w:sz w:val="16"/>
                <w:szCs w:val="16"/>
              </w:rPr>
              <w:t>Misfire; breech failure; obturation failure; firing at increased temperatures; damaged or aged munition; poor assembly; seal wear.</w:t>
            </w:r>
          </w:p>
        </w:tc>
        <w:tc>
          <w:tcPr>
            <w:tcW w:w="1703" w:type="dxa"/>
            <w:hideMark/>
          </w:tcPr>
          <w:p w14:paraId="7D3DA6E0" w14:textId="77777777" w:rsidR="00DB1C19" w:rsidRPr="00464DD7" w:rsidRDefault="00DB1C19" w:rsidP="00DB1C19">
            <w:pPr>
              <w:spacing w:line="240" w:lineRule="auto"/>
              <w:jc w:val="left"/>
              <w:rPr>
                <w:rFonts w:cs="Arial"/>
                <w:sz w:val="16"/>
                <w:szCs w:val="16"/>
              </w:rPr>
            </w:pPr>
            <w:r w:rsidRPr="00464DD7">
              <w:rPr>
                <w:rFonts w:cs="Arial"/>
                <w:sz w:val="16"/>
                <w:szCs w:val="16"/>
              </w:rPr>
              <w:t>High-pressure gas release; burns; impact injury; breech failure; serious injury or fatality.</w:t>
            </w:r>
          </w:p>
        </w:tc>
        <w:tc>
          <w:tcPr>
            <w:tcW w:w="1077" w:type="dxa"/>
            <w:hideMark/>
          </w:tcPr>
          <w:p w14:paraId="4137E4D3" w14:textId="6E62E3CE" w:rsidR="00DB1C19" w:rsidRPr="00464DD7" w:rsidRDefault="00284E97" w:rsidP="00DB1C19">
            <w:pPr>
              <w:spacing w:line="240" w:lineRule="auto"/>
              <w:jc w:val="left"/>
              <w:rPr>
                <w:rFonts w:cs="Arial"/>
                <w:sz w:val="16"/>
                <w:szCs w:val="16"/>
              </w:rPr>
            </w:pPr>
            <w:r>
              <w:rPr>
                <w:rFonts w:cs="Arial"/>
                <w:sz w:val="16"/>
                <w:szCs w:val="16"/>
              </w:rPr>
              <w:t>Occasional</w:t>
            </w:r>
          </w:p>
        </w:tc>
        <w:tc>
          <w:tcPr>
            <w:tcW w:w="1115" w:type="dxa"/>
            <w:hideMark/>
          </w:tcPr>
          <w:p w14:paraId="18523976" w14:textId="77777777" w:rsidR="00DB1C19" w:rsidRPr="00464DD7" w:rsidRDefault="00DB1C19" w:rsidP="00DB1C19">
            <w:pPr>
              <w:spacing w:line="240" w:lineRule="auto"/>
              <w:jc w:val="left"/>
              <w:rPr>
                <w:rFonts w:cs="Arial"/>
                <w:sz w:val="16"/>
                <w:szCs w:val="16"/>
              </w:rPr>
            </w:pPr>
            <w:r w:rsidRPr="00464DD7">
              <w:rPr>
                <w:rFonts w:cs="Arial"/>
                <w:sz w:val="16"/>
                <w:szCs w:val="16"/>
              </w:rPr>
              <w:t>Critical</w:t>
            </w:r>
          </w:p>
        </w:tc>
        <w:tc>
          <w:tcPr>
            <w:tcW w:w="785" w:type="dxa"/>
            <w:shd w:val="clear" w:color="auto" w:fill="FFC000"/>
            <w:hideMark/>
          </w:tcPr>
          <w:p w14:paraId="2573304C" w14:textId="2167BB04" w:rsidR="00DB1C19" w:rsidRPr="00570160" w:rsidRDefault="00570160" w:rsidP="00090183">
            <w:pPr>
              <w:spacing w:line="240" w:lineRule="auto"/>
              <w:jc w:val="center"/>
              <w:rPr>
                <w:rFonts w:cs="Arial"/>
                <w:b/>
                <w:bCs/>
                <w:sz w:val="16"/>
                <w:szCs w:val="16"/>
              </w:rPr>
            </w:pPr>
            <w:r w:rsidRPr="00570160">
              <w:rPr>
                <w:rFonts w:cs="Arial"/>
                <w:b/>
                <w:bCs/>
                <w:sz w:val="16"/>
                <w:szCs w:val="16"/>
              </w:rPr>
              <w:t>B</w:t>
            </w:r>
          </w:p>
        </w:tc>
      </w:tr>
      <w:tr w:rsidR="00090183" w:rsidRPr="00464DD7" w14:paraId="28D33BF1" w14:textId="77777777" w:rsidTr="00284E97">
        <w:trPr>
          <w:trHeight w:val="1688"/>
          <w:jc w:val="center"/>
        </w:trPr>
        <w:tc>
          <w:tcPr>
            <w:tcW w:w="1129" w:type="dxa"/>
          </w:tcPr>
          <w:p w14:paraId="7300D2F3" w14:textId="66EADE33" w:rsidR="00DB1C19" w:rsidRPr="00464DD7" w:rsidRDefault="00DB1C19" w:rsidP="00DB1C19">
            <w:pPr>
              <w:spacing w:line="240" w:lineRule="auto"/>
              <w:jc w:val="left"/>
              <w:rPr>
                <w:rFonts w:cs="Arial"/>
                <w:sz w:val="16"/>
                <w:szCs w:val="16"/>
              </w:rPr>
            </w:pPr>
            <w:r w:rsidRPr="00464DD7">
              <w:rPr>
                <w:rFonts w:cs="Arial"/>
                <w:sz w:val="16"/>
                <w:szCs w:val="16"/>
              </w:rPr>
              <w:t>Heat</w:t>
            </w:r>
          </w:p>
        </w:tc>
        <w:tc>
          <w:tcPr>
            <w:tcW w:w="1276" w:type="dxa"/>
            <w:hideMark/>
          </w:tcPr>
          <w:p w14:paraId="2375C3D8" w14:textId="77777777" w:rsidR="00DB1C19" w:rsidRPr="00464DD7" w:rsidRDefault="00DB1C19" w:rsidP="00DB1C19">
            <w:pPr>
              <w:spacing w:line="240" w:lineRule="auto"/>
              <w:jc w:val="left"/>
              <w:rPr>
                <w:rFonts w:cs="Arial"/>
                <w:sz w:val="16"/>
                <w:szCs w:val="16"/>
              </w:rPr>
            </w:pPr>
            <w:r w:rsidRPr="00464DD7">
              <w:rPr>
                <w:rFonts w:cs="Arial"/>
                <w:sz w:val="16"/>
                <w:szCs w:val="16"/>
              </w:rPr>
              <w:t>Firing; post-firing activity; maintenance</w:t>
            </w:r>
          </w:p>
        </w:tc>
        <w:tc>
          <w:tcPr>
            <w:tcW w:w="1534" w:type="dxa"/>
            <w:hideMark/>
          </w:tcPr>
          <w:p w14:paraId="70E23951" w14:textId="4EFB7A39" w:rsidR="00DB1C19" w:rsidRPr="00464DD7" w:rsidRDefault="00570160" w:rsidP="00DB1C19">
            <w:pPr>
              <w:spacing w:line="240" w:lineRule="auto"/>
              <w:jc w:val="left"/>
              <w:rPr>
                <w:rFonts w:cs="Arial"/>
                <w:sz w:val="16"/>
                <w:szCs w:val="16"/>
              </w:rPr>
            </w:pPr>
            <w:r w:rsidRPr="00570160">
              <w:rPr>
                <w:rFonts w:cs="Arial"/>
                <w:sz w:val="16"/>
                <w:szCs w:val="16"/>
              </w:rPr>
              <w:t>Uncontrolled contact with hot surfaces, casings, gases or particulate, or ignition of nearby material.</w:t>
            </w:r>
          </w:p>
        </w:tc>
        <w:tc>
          <w:tcPr>
            <w:tcW w:w="2575" w:type="dxa"/>
            <w:hideMark/>
          </w:tcPr>
          <w:p w14:paraId="31BDC35A" w14:textId="77777777" w:rsidR="00DB1C19" w:rsidRPr="00464DD7" w:rsidRDefault="00DB1C19" w:rsidP="00DB1C19">
            <w:pPr>
              <w:spacing w:line="240" w:lineRule="auto"/>
              <w:jc w:val="left"/>
              <w:rPr>
                <w:rFonts w:cs="Arial"/>
                <w:sz w:val="16"/>
                <w:szCs w:val="16"/>
              </w:rPr>
            </w:pPr>
            <w:r w:rsidRPr="00464DD7">
              <w:rPr>
                <w:rFonts w:cs="Arial"/>
                <w:sz w:val="16"/>
                <w:szCs w:val="16"/>
              </w:rPr>
              <w:t>Repeated firing; hot casing; residual heat in the system; electrical fault; hot gases and particulate.</w:t>
            </w:r>
          </w:p>
        </w:tc>
        <w:tc>
          <w:tcPr>
            <w:tcW w:w="1703" w:type="dxa"/>
            <w:hideMark/>
          </w:tcPr>
          <w:p w14:paraId="57FC0EF6" w14:textId="77777777" w:rsidR="00DB1C19" w:rsidRPr="00464DD7" w:rsidRDefault="00DB1C19" w:rsidP="00DB1C19">
            <w:pPr>
              <w:spacing w:line="240" w:lineRule="auto"/>
              <w:jc w:val="left"/>
              <w:rPr>
                <w:rFonts w:cs="Arial"/>
                <w:sz w:val="16"/>
                <w:szCs w:val="16"/>
              </w:rPr>
            </w:pPr>
            <w:r w:rsidRPr="00464DD7">
              <w:rPr>
                <w:rFonts w:cs="Arial"/>
                <w:sz w:val="16"/>
                <w:szCs w:val="16"/>
              </w:rPr>
              <w:t>Burns to personnel; ignition of nearby material; heat damage to equipment; secondary contribution to other hazards.</w:t>
            </w:r>
          </w:p>
        </w:tc>
        <w:tc>
          <w:tcPr>
            <w:tcW w:w="1077" w:type="dxa"/>
            <w:hideMark/>
          </w:tcPr>
          <w:p w14:paraId="7BD6E734" w14:textId="77777777" w:rsidR="00DB1C19" w:rsidRPr="00464DD7" w:rsidRDefault="00DB1C19" w:rsidP="00DB1C19">
            <w:pPr>
              <w:spacing w:line="240" w:lineRule="auto"/>
              <w:jc w:val="left"/>
              <w:rPr>
                <w:rFonts w:cs="Arial"/>
                <w:sz w:val="16"/>
                <w:szCs w:val="16"/>
              </w:rPr>
            </w:pPr>
            <w:r w:rsidRPr="00464DD7">
              <w:rPr>
                <w:rFonts w:cs="Arial"/>
                <w:sz w:val="16"/>
                <w:szCs w:val="16"/>
              </w:rPr>
              <w:t>Frequent</w:t>
            </w:r>
          </w:p>
        </w:tc>
        <w:tc>
          <w:tcPr>
            <w:tcW w:w="1115" w:type="dxa"/>
            <w:hideMark/>
          </w:tcPr>
          <w:p w14:paraId="7E70AF0C" w14:textId="77777777" w:rsidR="00DB1C19" w:rsidRPr="00464DD7" w:rsidRDefault="00DB1C19" w:rsidP="00DB1C19">
            <w:pPr>
              <w:spacing w:line="240" w:lineRule="auto"/>
              <w:jc w:val="left"/>
              <w:rPr>
                <w:rFonts w:cs="Arial"/>
                <w:sz w:val="16"/>
                <w:szCs w:val="16"/>
              </w:rPr>
            </w:pPr>
            <w:r w:rsidRPr="00464DD7">
              <w:rPr>
                <w:rFonts w:cs="Arial"/>
                <w:sz w:val="16"/>
                <w:szCs w:val="16"/>
              </w:rPr>
              <w:t>Marginal</w:t>
            </w:r>
          </w:p>
        </w:tc>
        <w:tc>
          <w:tcPr>
            <w:tcW w:w="785" w:type="dxa"/>
            <w:shd w:val="clear" w:color="auto" w:fill="FF0000"/>
            <w:hideMark/>
          </w:tcPr>
          <w:p w14:paraId="43F8549F" w14:textId="77777777" w:rsidR="00DB1C19" w:rsidRPr="00464DD7" w:rsidRDefault="00DB1C19" w:rsidP="00090183">
            <w:pPr>
              <w:spacing w:line="240" w:lineRule="auto"/>
              <w:jc w:val="center"/>
              <w:rPr>
                <w:rFonts w:cs="Arial"/>
                <w:b/>
                <w:bCs/>
                <w:sz w:val="16"/>
                <w:szCs w:val="16"/>
              </w:rPr>
            </w:pPr>
            <w:r w:rsidRPr="00464DD7">
              <w:rPr>
                <w:rFonts w:cs="Arial"/>
                <w:b/>
                <w:bCs/>
                <w:sz w:val="16"/>
                <w:szCs w:val="16"/>
              </w:rPr>
              <w:t>A</w:t>
            </w:r>
          </w:p>
        </w:tc>
      </w:tr>
      <w:tr w:rsidR="00090183" w:rsidRPr="00464DD7" w14:paraId="2AB73AC3" w14:textId="77777777" w:rsidTr="00284E97">
        <w:trPr>
          <w:trHeight w:val="1198"/>
          <w:jc w:val="center"/>
        </w:trPr>
        <w:tc>
          <w:tcPr>
            <w:tcW w:w="1129" w:type="dxa"/>
          </w:tcPr>
          <w:p w14:paraId="66A022E0" w14:textId="5B5B29C3" w:rsidR="00DB1C19" w:rsidRPr="00464DD7" w:rsidRDefault="00DB1C19" w:rsidP="00DB1C19">
            <w:pPr>
              <w:spacing w:line="240" w:lineRule="auto"/>
              <w:jc w:val="left"/>
              <w:rPr>
                <w:rFonts w:cs="Arial"/>
                <w:sz w:val="16"/>
                <w:szCs w:val="16"/>
              </w:rPr>
            </w:pPr>
            <w:r w:rsidRPr="00464DD7">
              <w:rPr>
                <w:rFonts w:cs="Arial"/>
                <w:sz w:val="16"/>
                <w:szCs w:val="16"/>
              </w:rPr>
              <w:t>Noise</w:t>
            </w:r>
          </w:p>
        </w:tc>
        <w:tc>
          <w:tcPr>
            <w:tcW w:w="1276" w:type="dxa"/>
            <w:hideMark/>
          </w:tcPr>
          <w:p w14:paraId="452045B3" w14:textId="77777777" w:rsidR="00DB1C19" w:rsidRPr="00464DD7" w:rsidRDefault="00DB1C19" w:rsidP="00DB1C19">
            <w:pPr>
              <w:spacing w:line="240" w:lineRule="auto"/>
              <w:jc w:val="left"/>
              <w:rPr>
                <w:rFonts w:cs="Arial"/>
                <w:sz w:val="16"/>
                <w:szCs w:val="16"/>
              </w:rPr>
            </w:pPr>
            <w:r w:rsidRPr="00464DD7">
              <w:rPr>
                <w:rFonts w:cs="Arial"/>
                <w:sz w:val="16"/>
                <w:szCs w:val="16"/>
              </w:rPr>
              <w:t>Firing; training; trials</w:t>
            </w:r>
          </w:p>
        </w:tc>
        <w:tc>
          <w:tcPr>
            <w:tcW w:w="1534" w:type="dxa"/>
            <w:hideMark/>
          </w:tcPr>
          <w:p w14:paraId="70A8DC58" w14:textId="5FF5446F" w:rsidR="00DB1C19" w:rsidRPr="00464DD7" w:rsidRDefault="00570160" w:rsidP="00DB1C19">
            <w:pPr>
              <w:spacing w:line="240" w:lineRule="auto"/>
              <w:jc w:val="left"/>
              <w:rPr>
                <w:rFonts w:cs="Arial"/>
                <w:sz w:val="16"/>
                <w:szCs w:val="16"/>
              </w:rPr>
            </w:pPr>
            <w:r w:rsidRPr="00570160">
              <w:rPr>
                <w:rFonts w:cs="Arial"/>
                <w:sz w:val="16"/>
                <w:szCs w:val="16"/>
              </w:rPr>
              <w:t>Personnel exposure to impulse noise above safe levels during firing, training or trials</w:t>
            </w:r>
            <w:r w:rsidR="00DB1C19" w:rsidRPr="00464DD7">
              <w:rPr>
                <w:rFonts w:cs="Arial"/>
                <w:sz w:val="16"/>
                <w:szCs w:val="16"/>
              </w:rPr>
              <w:t>.</w:t>
            </w:r>
          </w:p>
        </w:tc>
        <w:tc>
          <w:tcPr>
            <w:tcW w:w="2575" w:type="dxa"/>
            <w:hideMark/>
          </w:tcPr>
          <w:p w14:paraId="191A09AB" w14:textId="77777777" w:rsidR="00DB1C19" w:rsidRPr="00464DD7" w:rsidRDefault="00DB1C19" w:rsidP="00DB1C19">
            <w:pPr>
              <w:spacing w:line="240" w:lineRule="auto"/>
              <w:jc w:val="left"/>
              <w:rPr>
                <w:rFonts w:cs="Arial"/>
                <w:sz w:val="16"/>
                <w:szCs w:val="16"/>
              </w:rPr>
            </w:pPr>
            <w:r w:rsidRPr="00464DD7">
              <w:rPr>
                <w:rFonts w:cs="Arial"/>
                <w:sz w:val="16"/>
                <w:szCs w:val="16"/>
              </w:rPr>
              <w:t>Firing of the system; projectile explosion; breech mechanism noise.</w:t>
            </w:r>
          </w:p>
        </w:tc>
        <w:tc>
          <w:tcPr>
            <w:tcW w:w="1703" w:type="dxa"/>
            <w:hideMark/>
          </w:tcPr>
          <w:p w14:paraId="16F1AC88" w14:textId="537B4433" w:rsidR="00DB1C19" w:rsidRPr="00464DD7" w:rsidRDefault="00DB1C19" w:rsidP="00DB1C19">
            <w:pPr>
              <w:spacing w:line="240" w:lineRule="auto"/>
              <w:jc w:val="left"/>
              <w:rPr>
                <w:rFonts w:cs="Arial"/>
                <w:sz w:val="16"/>
                <w:szCs w:val="16"/>
              </w:rPr>
            </w:pPr>
            <w:r w:rsidRPr="00464DD7">
              <w:rPr>
                <w:rFonts w:cs="Arial"/>
                <w:sz w:val="16"/>
                <w:szCs w:val="16"/>
              </w:rPr>
              <w:t>Hearing damage; acoustic trauma; communication failure</w:t>
            </w:r>
            <w:r w:rsidR="003F6B32">
              <w:rPr>
                <w:rFonts w:cs="Arial"/>
                <w:sz w:val="16"/>
                <w:szCs w:val="16"/>
              </w:rPr>
              <w:t xml:space="preserve"> and </w:t>
            </w:r>
            <w:r w:rsidRPr="00464DD7">
              <w:rPr>
                <w:rFonts w:cs="Arial"/>
                <w:sz w:val="16"/>
                <w:szCs w:val="16"/>
              </w:rPr>
              <w:t>distraction/startle effect</w:t>
            </w:r>
            <w:r w:rsidR="003F6B32">
              <w:rPr>
                <w:rFonts w:cs="Arial"/>
                <w:sz w:val="16"/>
                <w:szCs w:val="16"/>
              </w:rPr>
              <w:t>.</w:t>
            </w:r>
          </w:p>
        </w:tc>
        <w:tc>
          <w:tcPr>
            <w:tcW w:w="1077" w:type="dxa"/>
            <w:hideMark/>
          </w:tcPr>
          <w:p w14:paraId="507494DA" w14:textId="77777777" w:rsidR="00DB1C19" w:rsidRPr="00464DD7" w:rsidRDefault="00DB1C19" w:rsidP="00DB1C19">
            <w:pPr>
              <w:spacing w:line="240" w:lineRule="auto"/>
              <w:jc w:val="left"/>
              <w:rPr>
                <w:rFonts w:cs="Arial"/>
                <w:sz w:val="16"/>
                <w:szCs w:val="16"/>
              </w:rPr>
            </w:pPr>
            <w:r w:rsidRPr="00464DD7">
              <w:rPr>
                <w:rFonts w:cs="Arial"/>
                <w:sz w:val="16"/>
                <w:szCs w:val="16"/>
              </w:rPr>
              <w:t>Frequent</w:t>
            </w:r>
          </w:p>
        </w:tc>
        <w:tc>
          <w:tcPr>
            <w:tcW w:w="1115" w:type="dxa"/>
            <w:hideMark/>
          </w:tcPr>
          <w:p w14:paraId="237F58EC" w14:textId="77777777" w:rsidR="00DB1C19" w:rsidRPr="00464DD7" w:rsidRDefault="00DB1C19" w:rsidP="00DB1C19">
            <w:pPr>
              <w:spacing w:line="240" w:lineRule="auto"/>
              <w:jc w:val="left"/>
              <w:rPr>
                <w:rFonts w:cs="Arial"/>
                <w:sz w:val="16"/>
                <w:szCs w:val="16"/>
              </w:rPr>
            </w:pPr>
            <w:r w:rsidRPr="00464DD7">
              <w:rPr>
                <w:rFonts w:cs="Arial"/>
                <w:sz w:val="16"/>
                <w:szCs w:val="16"/>
              </w:rPr>
              <w:t>Critical</w:t>
            </w:r>
          </w:p>
        </w:tc>
        <w:tc>
          <w:tcPr>
            <w:tcW w:w="785" w:type="dxa"/>
            <w:shd w:val="clear" w:color="auto" w:fill="FF0000"/>
            <w:hideMark/>
          </w:tcPr>
          <w:p w14:paraId="67831486" w14:textId="77777777" w:rsidR="00DB1C19" w:rsidRPr="00464DD7" w:rsidRDefault="00DB1C19" w:rsidP="009323BE">
            <w:pPr>
              <w:keepNext/>
              <w:spacing w:line="240" w:lineRule="auto"/>
              <w:jc w:val="center"/>
              <w:rPr>
                <w:rFonts w:cs="Arial"/>
                <w:b/>
                <w:bCs/>
                <w:sz w:val="16"/>
                <w:szCs w:val="16"/>
              </w:rPr>
            </w:pPr>
            <w:r w:rsidRPr="00464DD7">
              <w:rPr>
                <w:rFonts w:cs="Arial"/>
                <w:b/>
                <w:bCs/>
                <w:sz w:val="16"/>
                <w:szCs w:val="16"/>
              </w:rPr>
              <w:t>A</w:t>
            </w:r>
          </w:p>
        </w:tc>
      </w:tr>
    </w:tbl>
    <w:p w14:paraId="1F9B5079" w14:textId="3446C9CC" w:rsidR="005A2BFE" w:rsidRPr="00A5713E" w:rsidRDefault="009323BE" w:rsidP="00A5713E">
      <w:pPr>
        <w:pStyle w:val="Caption"/>
        <w:jc w:val="center"/>
        <w:rPr>
          <w:sz w:val="16"/>
          <w:szCs w:val="16"/>
        </w:rPr>
      </w:pPr>
      <w:r w:rsidRPr="009323BE">
        <w:rPr>
          <w:sz w:val="16"/>
          <w:szCs w:val="16"/>
        </w:rPr>
        <w:t xml:space="preserve">Table </w:t>
      </w:r>
      <w:r w:rsidRPr="009323BE">
        <w:rPr>
          <w:sz w:val="16"/>
          <w:szCs w:val="16"/>
        </w:rPr>
        <w:fldChar w:fldCharType="begin"/>
      </w:r>
      <w:r w:rsidRPr="009323BE">
        <w:rPr>
          <w:sz w:val="16"/>
          <w:szCs w:val="16"/>
        </w:rPr>
        <w:instrText xml:space="preserve"> SEQ Table \* ARABIC </w:instrText>
      </w:r>
      <w:r w:rsidRPr="009323BE">
        <w:rPr>
          <w:sz w:val="16"/>
          <w:szCs w:val="16"/>
        </w:rPr>
        <w:fldChar w:fldCharType="separate"/>
      </w:r>
      <w:r>
        <w:rPr>
          <w:noProof/>
          <w:sz w:val="16"/>
          <w:szCs w:val="16"/>
        </w:rPr>
        <w:t>4</w:t>
      </w:r>
      <w:r w:rsidRPr="009323BE">
        <w:rPr>
          <w:sz w:val="16"/>
          <w:szCs w:val="16"/>
        </w:rPr>
        <w:fldChar w:fldCharType="end"/>
      </w:r>
      <w:r w:rsidRPr="009323BE">
        <w:rPr>
          <w:sz w:val="16"/>
          <w:szCs w:val="16"/>
        </w:rPr>
        <w:t xml:space="preserve"> - Pre-Control Risk Assessment</w:t>
      </w:r>
    </w:p>
    <w:p w14:paraId="71ED3472" w14:textId="75861147" w:rsidR="00DB1C19" w:rsidRPr="00464DD7" w:rsidRDefault="00DB1C19" w:rsidP="00090183">
      <w:pPr>
        <w:pStyle w:val="Heading3"/>
      </w:pPr>
      <w:bookmarkStart w:id="48" w:name="_Toc234948151"/>
      <w:r w:rsidRPr="00090183">
        <w:rPr>
          <w:sz w:val="24"/>
          <w:szCs w:val="24"/>
        </w:rPr>
        <w:lastRenderedPageBreak/>
        <w:t>Controls, Mitigations and Post-Control Risk Assessment</w:t>
      </w:r>
      <w:bookmarkEnd w:id="48"/>
    </w:p>
    <w:tbl>
      <w:tblPr>
        <w:tblStyle w:val="TableGrid"/>
        <w:tblW w:w="11482" w:type="dxa"/>
        <w:jc w:val="center"/>
        <w:tblLayout w:type="fixed"/>
        <w:tblLook w:val="04A0" w:firstRow="1" w:lastRow="0" w:firstColumn="1" w:lastColumn="0" w:noHBand="0" w:noVBand="1"/>
      </w:tblPr>
      <w:tblGrid>
        <w:gridCol w:w="1001"/>
        <w:gridCol w:w="5231"/>
        <w:gridCol w:w="1134"/>
        <w:gridCol w:w="1134"/>
        <w:gridCol w:w="851"/>
        <w:gridCol w:w="2131"/>
      </w:tblGrid>
      <w:tr w:rsidR="00353617" w:rsidRPr="00464DD7" w14:paraId="045E2F6B" w14:textId="77777777" w:rsidTr="001F0816">
        <w:trPr>
          <w:trHeight w:val="792"/>
          <w:jc w:val="center"/>
        </w:trPr>
        <w:tc>
          <w:tcPr>
            <w:tcW w:w="1001" w:type="dxa"/>
            <w:hideMark/>
          </w:tcPr>
          <w:p w14:paraId="37999478"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Hazard</w:t>
            </w:r>
          </w:p>
        </w:tc>
        <w:tc>
          <w:tcPr>
            <w:tcW w:w="5231" w:type="dxa"/>
            <w:hideMark/>
          </w:tcPr>
          <w:p w14:paraId="19E18402"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Controls and Mitigations</w:t>
            </w:r>
          </w:p>
        </w:tc>
        <w:tc>
          <w:tcPr>
            <w:tcW w:w="1134" w:type="dxa"/>
            <w:hideMark/>
          </w:tcPr>
          <w:p w14:paraId="7B91EDFB"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Post-Control Likelihood</w:t>
            </w:r>
          </w:p>
        </w:tc>
        <w:tc>
          <w:tcPr>
            <w:tcW w:w="1134" w:type="dxa"/>
            <w:hideMark/>
          </w:tcPr>
          <w:p w14:paraId="2863AB4C"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Post-Control Severity</w:t>
            </w:r>
          </w:p>
        </w:tc>
        <w:tc>
          <w:tcPr>
            <w:tcW w:w="851" w:type="dxa"/>
            <w:hideMark/>
          </w:tcPr>
          <w:p w14:paraId="12AF58DB"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Post-Control Risk Class</w:t>
            </w:r>
          </w:p>
        </w:tc>
        <w:tc>
          <w:tcPr>
            <w:tcW w:w="2131" w:type="dxa"/>
            <w:hideMark/>
          </w:tcPr>
          <w:p w14:paraId="6BF07FA8" w14:textId="77777777" w:rsidR="00DB1C19" w:rsidRPr="00464DD7" w:rsidRDefault="00DB1C19" w:rsidP="00DB1C19">
            <w:pPr>
              <w:spacing w:line="240" w:lineRule="auto"/>
              <w:jc w:val="center"/>
              <w:rPr>
                <w:rFonts w:cs="Arial"/>
                <w:b/>
                <w:bCs/>
                <w:sz w:val="16"/>
                <w:szCs w:val="16"/>
              </w:rPr>
            </w:pPr>
            <w:r w:rsidRPr="00464DD7">
              <w:rPr>
                <w:rFonts w:cs="Arial"/>
                <w:b/>
                <w:bCs/>
                <w:sz w:val="16"/>
                <w:szCs w:val="16"/>
              </w:rPr>
              <w:t>Residual Risk Comment</w:t>
            </w:r>
          </w:p>
        </w:tc>
      </w:tr>
      <w:tr w:rsidR="00353617" w:rsidRPr="00464DD7" w14:paraId="06085BB6" w14:textId="77777777" w:rsidTr="001F0816">
        <w:trPr>
          <w:trHeight w:val="841"/>
          <w:jc w:val="center"/>
        </w:trPr>
        <w:tc>
          <w:tcPr>
            <w:tcW w:w="1001" w:type="dxa"/>
            <w:hideMark/>
          </w:tcPr>
          <w:p w14:paraId="416B8BBE" w14:textId="6837E0F9" w:rsidR="00DA6812" w:rsidRPr="00464DD7" w:rsidRDefault="00DB1C19" w:rsidP="00DB1C19">
            <w:pPr>
              <w:spacing w:line="240" w:lineRule="auto"/>
              <w:jc w:val="left"/>
              <w:rPr>
                <w:rFonts w:cs="Arial"/>
                <w:sz w:val="16"/>
                <w:szCs w:val="16"/>
              </w:rPr>
            </w:pPr>
            <w:r w:rsidRPr="00464DD7">
              <w:rPr>
                <w:rFonts w:cs="Arial"/>
                <w:sz w:val="16"/>
                <w:szCs w:val="16"/>
              </w:rPr>
              <w:t>Explosion</w:t>
            </w:r>
            <w:r w:rsidR="00DA6812">
              <w:rPr>
                <w:rFonts w:cs="Arial"/>
                <w:sz w:val="16"/>
                <w:szCs w:val="16"/>
              </w:rPr>
              <w:t xml:space="preserve"> [1] [</w:t>
            </w:r>
            <w:r w:rsidR="00EA742A">
              <w:rPr>
                <w:rFonts w:cs="Arial"/>
                <w:sz w:val="16"/>
                <w:szCs w:val="16"/>
              </w:rPr>
              <w:t>4</w:t>
            </w:r>
            <w:r w:rsidR="00DA6812">
              <w:rPr>
                <w:rFonts w:cs="Arial"/>
                <w:sz w:val="16"/>
                <w:szCs w:val="16"/>
              </w:rPr>
              <w:t>]</w:t>
            </w:r>
          </w:p>
        </w:tc>
        <w:tc>
          <w:tcPr>
            <w:tcW w:w="5231" w:type="dxa"/>
            <w:hideMark/>
          </w:tcPr>
          <w:p w14:paraId="5E22CE63" w14:textId="77777777" w:rsidR="00742F11" w:rsidRPr="00464DD7" w:rsidRDefault="00DB1C19" w:rsidP="00742F11">
            <w:pPr>
              <w:pStyle w:val="ListParagraph"/>
              <w:numPr>
                <w:ilvl w:val="0"/>
                <w:numId w:val="81"/>
              </w:numPr>
              <w:spacing w:line="240" w:lineRule="auto"/>
              <w:jc w:val="left"/>
              <w:rPr>
                <w:rFonts w:cs="Arial"/>
                <w:sz w:val="16"/>
                <w:szCs w:val="16"/>
              </w:rPr>
            </w:pPr>
            <w:r w:rsidRPr="00464DD7">
              <w:rPr>
                <w:rFonts w:cs="Arial"/>
                <w:sz w:val="16"/>
                <w:szCs w:val="16"/>
              </w:rPr>
              <w:t>Use approved handling and storage procedures</w:t>
            </w:r>
            <w:r w:rsidR="00742F11" w:rsidRPr="00464DD7">
              <w:rPr>
                <w:rFonts w:cs="Arial"/>
                <w:sz w:val="16"/>
                <w:szCs w:val="16"/>
              </w:rPr>
              <w:t>.</w:t>
            </w:r>
          </w:p>
          <w:p w14:paraId="02332722" w14:textId="77777777" w:rsidR="00742F11"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M</w:t>
            </w:r>
            <w:r w:rsidR="00DB1C19" w:rsidRPr="00464DD7">
              <w:rPr>
                <w:rFonts w:cs="Arial"/>
                <w:sz w:val="16"/>
                <w:szCs w:val="16"/>
              </w:rPr>
              <w:t>aintain appropriate separation distances and exclusion zones</w:t>
            </w:r>
            <w:r w:rsidRPr="00464DD7">
              <w:rPr>
                <w:rFonts w:cs="Arial"/>
                <w:sz w:val="16"/>
                <w:szCs w:val="16"/>
              </w:rPr>
              <w:t>.</w:t>
            </w:r>
          </w:p>
          <w:p w14:paraId="490D02EB" w14:textId="77777777" w:rsidR="00742F11"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authorised ammunition only</w:t>
            </w:r>
            <w:r w:rsidRPr="00464DD7">
              <w:rPr>
                <w:rFonts w:cs="Arial"/>
                <w:sz w:val="16"/>
                <w:szCs w:val="16"/>
              </w:rPr>
              <w:t>.</w:t>
            </w:r>
          </w:p>
          <w:p w14:paraId="7613062E" w14:textId="77777777" w:rsidR="00742F11"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C</w:t>
            </w:r>
            <w:r w:rsidR="00DB1C19" w:rsidRPr="00464DD7">
              <w:rPr>
                <w:rFonts w:cs="Arial"/>
                <w:sz w:val="16"/>
                <w:szCs w:val="16"/>
              </w:rPr>
              <w:t>onduct pre-use inspection for damage or degradation</w:t>
            </w:r>
            <w:r w:rsidRPr="00464DD7">
              <w:rPr>
                <w:rFonts w:cs="Arial"/>
                <w:sz w:val="16"/>
                <w:szCs w:val="16"/>
              </w:rPr>
              <w:t xml:space="preserve">. </w:t>
            </w:r>
          </w:p>
          <w:p w14:paraId="7C298B42" w14:textId="77777777" w:rsidR="00742F11"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A</w:t>
            </w:r>
            <w:r w:rsidR="00DB1C19" w:rsidRPr="00464DD7">
              <w:rPr>
                <w:rFonts w:cs="Arial"/>
                <w:sz w:val="16"/>
                <w:szCs w:val="16"/>
              </w:rPr>
              <w:t>pply electrostatic discharge controls</w:t>
            </w:r>
            <w:r w:rsidRPr="00464DD7">
              <w:rPr>
                <w:rFonts w:cs="Arial"/>
                <w:sz w:val="16"/>
                <w:szCs w:val="16"/>
              </w:rPr>
              <w:t>.</w:t>
            </w:r>
          </w:p>
          <w:p w14:paraId="065275D5" w14:textId="77777777" w:rsidR="00742F11"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C</w:t>
            </w:r>
            <w:r w:rsidR="00DB1C19" w:rsidRPr="00464DD7">
              <w:rPr>
                <w:rFonts w:cs="Arial"/>
                <w:sz w:val="16"/>
                <w:szCs w:val="16"/>
              </w:rPr>
              <w:t>ontrol sources of electromagnetic radiation</w:t>
            </w:r>
            <w:r w:rsidRPr="00464DD7">
              <w:rPr>
                <w:rFonts w:cs="Arial"/>
                <w:sz w:val="16"/>
                <w:szCs w:val="16"/>
              </w:rPr>
              <w:t>.</w:t>
            </w:r>
          </w:p>
          <w:p w14:paraId="6DBCF45E" w14:textId="77777777" w:rsidR="00742F11"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P</w:t>
            </w:r>
            <w:r w:rsidR="00DB1C19" w:rsidRPr="00464DD7">
              <w:rPr>
                <w:rFonts w:cs="Arial"/>
                <w:sz w:val="16"/>
                <w:szCs w:val="16"/>
              </w:rPr>
              <w:t>rotect munitions from impact, heat and incompatible storage conditions</w:t>
            </w:r>
            <w:r w:rsidRPr="00464DD7">
              <w:rPr>
                <w:rFonts w:cs="Arial"/>
                <w:sz w:val="16"/>
                <w:szCs w:val="16"/>
              </w:rPr>
              <w:t>.</w:t>
            </w:r>
          </w:p>
          <w:p w14:paraId="74E2C855" w14:textId="4AF40D13" w:rsidR="00742F11"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F</w:t>
            </w:r>
            <w:r w:rsidR="00DB1C19" w:rsidRPr="00464DD7">
              <w:rPr>
                <w:rFonts w:cs="Arial"/>
                <w:sz w:val="16"/>
                <w:szCs w:val="16"/>
              </w:rPr>
              <w:t>ollow misfire/</w:t>
            </w:r>
            <w:proofErr w:type="spellStart"/>
            <w:r w:rsidR="00DB1C19" w:rsidRPr="00464DD7">
              <w:rPr>
                <w:rFonts w:cs="Arial"/>
                <w:sz w:val="16"/>
                <w:szCs w:val="16"/>
              </w:rPr>
              <w:t>hangfire</w:t>
            </w:r>
            <w:proofErr w:type="spellEnd"/>
            <w:r w:rsidR="00DB1C19" w:rsidRPr="00464DD7">
              <w:rPr>
                <w:rFonts w:cs="Arial"/>
                <w:sz w:val="16"/>
                <w:szCs w:val="16"/>
              </w:rPr>
              <w:t xml:space="preserve"> procedures</w:t>
            </w:r>
            <w:r w:rsidRPr="00464DD7">
              <w:rPr>
                <w:rFonts w:cs="Arial"/>
                <w:sz w:val="16"/>
                <w:szCs w:val="16"/>
              </w:rPr>
              <w:t>.</w:t>
            </w:r>
          </w:p>
          <w:p w14:paraId="5CD40160" w14:textId="77777777" w:rsidR="00742F11"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E</w:t>
            </w:r>
            <w:r w:rsidR="00DB1C19" w:rsidRPr="00464DD7">
              <w:rPr>
                <w:rFonts w:cs="Arial"/>
                <w:sz w:val="16"/>
                <w:szCs w:val="16"/>
              </w:rPr>
              <w:t>nsure only trained and competent personnel handle the system</w:t>
            </w:r>
            <w:r w:rsidRPr="00464DD7">
              <w:rPr>
                <w:rFonts w:cs="Arial"/>
                <w:sz w:val="16"/>
                <w:szCs w:val="16"/>
              </w:rPr>
              <w:t>.</w:t>
            </w:r>
          </w:p>
          <w:p w14:paraId="51F74375" w14:textId="77777777" w:rsidR="00742F11"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emergency response and evacuation procedures</w:t>
            </w:r>
            <w:r w:rsidRPr="00464DD7">
              <w:rPr>
                <w:rFonts w:cs="Arial"/>
                <w:sz w:val="16"/>
                <w:szCs w:val="16"/>
              </w:rPr>
              <w:t>.</w:t>
            </w:r>
          </w:p>
          <w:p w14:paraId="55DCDDDA" w14:textId="15E3BC45" w:rsidR="00DB1C19" w:rsidRPr="00464DD7" w:rsidRDefault="00742F11" w:rsidP="00742F11">
            <w:pPr>
              <w:pStyle w:val="ListParagraph"/>
              <w:numPr>
                <w:ilvl w:val="0"/>
                <w:numId w:val="81"/>
              </w:numPr>
              <w:spacing w:line="240" w:lineRule="auto"/>
              <w:jc w:val="left"/>
              <w:rPr>
                <w:rFonts w:cs="Arial"/>
                <w:sz w:val="16"/>
                <w:szCs w:val="16"/>
              </w:rPr>
            </w:pPr>
            <w:r w:rsidRPr="00464DD7">
              <w:rPr>
                <w:rFonts w:cs="Arial"/>
                <w:sz w:val="16"/>
                <w:szCs w:val="16"/>
              </w:rPr>
              <w:t>D</w:t>
            </w:r>
            <w:r w:rsidR="00DB1C19" w:rsidRPr="00464DD7">
              <w:rPr>
                <w:rFonts w:cs="Arial"/>
                <w:sz w:val="16"/>
                <w:szCs w:val="16"/>
              </w:rPr>
              <w:t>isposal to be conducted by competent authorised personnel.</w:t>
            </w:r>
          </w:p>
        </w:tc>
        <w:tc>
          <w:tcPr>
            <w:tcW w:w="1134" w:type="dxa"/>
            <w:hideMark/>
          </w:tcPr>
          <w:p w14:paraId="1537C845" w14:textId="77777777" w:rsidR="00DB1C19" w:rsidRPr="00464DD7" w:rsidRDefault="00DB1C19" w:rsidP="00DB1C19">
            <w:pPr>
              <w:spacing w:line="240" w:lineRule="auto"/>
              <w:jc w:val="left"/>
              <w:rPr>
                <w:rFonts w:cs="Arial"/>
                <w:sz w:val="16"/>
                <w:szCs w:val="16"/>
              </w:rPr>
            </w:pPr>
            <w:r w:rsidRPr="00464DD7">
              <w:rPr>
                <w:rFonts w:cs="Arial"/>
                <w:sz w:val="16"/>
                <w:szCs w:val="16"/>
              </w:rPr>
              <w:t>Improbable</w:t>
            </w:r>
          </w:p>
        </w:tc>
        <w:tc>
          <w:tcPr>
            <w:tcW w:w="1134" w:type="dxa"/>
            <w:hideMark/>
          </w:tcPr>
          <w:p w14:paraId="180AAAE7" w14:textId="77777777" w:rsidR="00DB1C19" w:rsidRPr="00464DD7" w:rsidRDefault="00DB1C19" w:rsidP="00DB1C19">
            <w:pPr>
              <w:spacing w:line="240" w:lineRule="auto"/>
              <w:jc w:val="left"/>
              <w:rPr>
                <w:rFonts w:cs="Arial"/>
                <w:sz w:val="16"/>
                <w:szCs w:val="16"/>
              </w:rPr>
            </w:pPr>
            <w:r w:rsidRPr="00464DD7">
              <w:rPr>
                <w:rFonts w:cs="Arial"/>
                <w:sz w:val="16"/>
                <w:szCs w:val="16"/>
              </w:rPr>
              <w:t>Catastrophic</w:t>
            </w:r>
          </w:p>
        </w:tc>
        <w:tc>
          <w:tcPr>
            <w:tcW w:w="851" w:type="dxa"/>
            <w:shd w:val="clear" w:color="auto" w:fill="FFFF00"/>
            <w:hideMark/>
          </w:tcPr>
          <w:p w14:paraId="6C4B1D5B" w14:textId="77777777" w:rsidR="00DB1C19" w:rsidRPr="00464DD7" w:rsidRDefault="00DB1C19" w:rsidP="00090183">
            <w:pPr>
              <w:spacing w:line="240" w:lineRule="auto"/>
              <w:jc w:val="center"/>
              <w:rPr>
                <w:rFonts w:cs="Arial"/>
                <w:b/>
                <w:bCs/>
                <w:sz w:val="16"/>
                <w:szCs w:val="16"/>
              </w:rPr>
            </w:pPr>
            <w:r w:rsidRPr="00464DD7">
              <w:rPr>
                <w:rFonts w:cs="Arial"/>
                <w:b/>
                <w:bCs/>
                <w:sz w:val="16"/>
                <w:szCs w:val="16"/>
              </w:rPr>
              <w:t>C</w:t>
            </w:r>
          </w:p>
        </w:tc>
        <w:tc>
          <w:tcPr>
            <w:tcW w:w="2131" w:type="dxa"/>
            <w:hideMark/>
          </w:tcPr>
          <w:p w14:paraId="18B22A2A" w14:textId="74810C79" w:rsidR="00DB1C19" w:rsidRPr="00464DD7" w:rsidRDefault="00DB1C19" w:rsidP="00DB1C19">
            <w:pPr>
              <w:spacing w:line="240" w:lineRule="auto"/>
              <w:jc w:val="left"/>
              <w:rPr>
                <w:rFonts w:cs="Arial"/>
                <w:sz w:val="16"/>
                <w:szCs w:val="16"/>
              </w:rPr>
            </w:pPr>
            <w:r w:rsidRPr="00464DD7">
              <w:rPr>
                <w:rFonts w:cs="Arial"/>
                <w:sz w:val="16"/>
                <w:szCs w:val="16"/>
              </w:rPr>
              <w:t>The consequence of an explosive event remains catastrophic, but the likelihood is reduced by controlling handling, storage, environmental exposure, ignition sources and misfire response.</w:t>
            </w:r>
          </w:p>
        </w:tc>
      </w:tr>
      <w:tr w:rsidR="00284E97" w:rsidRPr="00464DD7" w14:paraId="37D941E1" w14:textId="77777777" w:rsidTr="001F0816">
        <w:trPr>
          <w:trHeight w:val="416"/>
          <w:jc w:val="center"/>
        </w:trPr>
        <w:tc>
          <w:tcPr>
            <w:tcW w:w="1001" w:type="dxa"/>
            <w:hideMark/>
          </w:tcPr>
          <w:p w14:paraId="3563151F" w14:textId="61C5DC9A" w:rsidR="00DB1C19" w:rsidRPr="00464DD7" w:rsidRDefault="00DB1C19" w:rsidP="00DB1C19">
            <w:pPr>
              <w:spacing w:line="240" w:lineRule="auto"/>
              <w:jc w:val="left"/>
              <w:rPr>
                <w:rFonts w:cs="Arial"/>
                <w:sz w:val="16"/>
                <w:szCs w:val="16"/>
              </w:rPr>
            </w:pPr>
            <w:r w:rsidRPr="00464DD7">
              <w:rPr>
                <w:rFonts w:cs="Arial"/>
                <w:sz w:val="16"/>
                <w:szCs w:val="16"/>
              </w:rPr>
              <w:t>Electrical</w:t>
            </w:r>
            <w:r w:rsidR="00DA6812">
              <w:rPr>
                <w:rFonts w:cs="Arial"/>
                <w:sz w:val="16"/>
                <w:szCs w:val="16"/>
              </w:rPr>
              <w:t xml:space="preserve"> [9]</w:t>
            </w:r>
            <w:r w:rsidR="00EA742A">
              <w:rPr>
                <w:rFonts w:cs="Arial"/>
                <w:sz w:val="16"/>
                <w:szCs w:val="16"/>
              </w:rPr>
              <w:t xml:space="preserve"> [10] [11] [12]</w:t>
            </w:r>
          </w:p>
        </w:tc>
        <w:tc>
          <w:tcPr>
            <w:tcW w:w="5231" w:type="dxa"/>
            <w:hideMark/>
          </w:tcPr>
          <w:p w14:paraId="5C083900" w14:textId="77777777" w:rsidR="00742F11" w:rsidRPr="00464DD7" w:rsidRDefault="00DB1C19" w:rsidP="00742F11">
            <w:pPr>
              <w:pStyle w:val="ListParagraph"/>
              <w:numPr>
                <w:ilvl w:val="0"/>
                <w:numId w:val="82"/>
              </w:numPr>
              <w:spacing w:line="240" w:lineRule="auto"/>
              <w:jc w:val="left"/>
              <w:rPr>
                <w:rFonts w:cs="Arial"/>
                <w:sz w:val="16"/>
                <w:szCs w:val="16"/>
              </w:rPr>
            </w:pPr>
            <w:r w:rsidRPr="00464DD7">
              <w:rPr>
                <w:rFonts w:cs="Arial"/>
                <w:sz w:val="16"/>
                <w:szCs w:val="16"/>
              </w:rPr>
              <w:t>Protect and route cabling to avoid damage from movement, heat, sharp edges or animals</w:t>
            </w:r>
            <w:r w:rsidR="00742F11" w:rsidRPr="00464DD7">
              <w:rPr>
                <w:rFonts w:cs="Arial"/>
                <w:sz w:val="16"/>
                <w:szCs w:val="16"/>
              </w:rPr>
              <w:t>.</w:t>
            </w:r>
          </w:p>
          <w:p w14:paraId="3150E683" w14:textId="77777777" w:rsidR="00742F11" w:rsidRPr="00464DD7" w:rsidRDefault="00742F11" w:rsidP="00742F11">
            <w:pPr>
              <w:pStyle w:val="ListParagraph"/>
              <w:numPr>
                <w:ilvl w:val="0"/>
                <w:numId w:val="82"/>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insulated cabling and sealed connectors to reduce water ingress</w:t>
            </w:r>
            <w:r w:rsidRPr="00464DD7">
              <w:rPr>
                <w:rFonts w:cs="Arial"/>
                <w:sz w:val="16"/>
                <w:szCs w:val="16"/>
              </w:rPr>
              <w:t>.</w:t>
            </w:r>
          </w:p>
          <w:p w14:paraId="74EAFB94" w14:textId="77777777" w:rsidR="00742F11" w:rsidRDefault="00742F11" w:rsidP="00742F11">
            <w:pPr>
              <w:pStyle w:val="ListParagraph"/>
              <w:numPr>
                <w:ilvl w:val="0"/>
                <w:numId w:val="82"/>
              </w:numPr>
              <w:spacing w:line="240" w:lineRule="auto"/>
              <w:jc w:val="left"/>
              <w:rPr>
                <w:rFonts w:cs="Arial"/>
                <w:sz w:val="16"/>
                <w:szCs w:val="16"/>
              </w:rPr>
            </w:pPr>
            <w:r w:rsidRPr="00464DD7">
              <w:rPr>
                <w:rFonts w:cs="Arial"/>
                <w:sz w:val="16"/>
                <w:szCs w:val="16"/>
              </w:rPr>
              <w:t>C</w:t>
            </w:r>
            <w:r w:rsidR="00DB1C19" w:rsidRPr="00464DD7">
              <w:rPr>
                <w:rFonts w:cs="Arial"/>
                <w:sz w:val="16"/>
                <w:szCs w:val="16"/>
              </w:rPr>
              <w:t>onduct pre-use and post-use electrical inspections</w:t>
            </w:r>
            <w:r w:rsidRPr="00464DD7">
              <w:rPr>
                <w:rFonts w:cs="Arial"/>
                <w:sz w:val="16"/>
                <w:szCs w:val="16"/>
              </w:rPr>
              <w:t>.</w:t>
            </w:r>
          </w:p>
          <w:p w14:paraId="23381B0C" w14:textId="608552CD" w:rsidR="00284E97" w:rsidRPr="00464DD7" w:rsidRDefault="00284E97" w:rsidP="00742F11">
            <w:pPr>
              <w:pStyle w:val="ListParagraph"/>
              <w:numPr>
                <w:ilvl w:val="0"/>
                <w:numId w:val="82"/>
              </w:numPr>
              <w:spacing w:line="240" w:lineRule="auto"/>
              <w:jc w:val="left"/>
              <w:rPr>
                <w:rFonts w:cs="Arial"/>
                <w:sz w:val="16"/>
                <w:szCs w:val="16"/>
              </w:rPr>
            </w:pPr>
            <w:r w:rsidRPr="00284E97">
              <w:rPr>
                <w:rFonts w:cs="Arial"/>
                <w:sz w:val="16"/>
                <w:szCs w:val="16"/>
              </w:rPr>
              <w:t>Functionally test safe-arm/fire interlocks and complete continuity or insulation checks where specified by the maintenance requirements.</w:t>
            </w:r>
          </w:p>
          <w:p w14:paraId="42A2CE0E" w14:textId="77777777" w:rsidR="00742F11" w:rsidRPr="00464DD7" w:rsidRDefault="00742F11" w:rsidP="00742F11">
            <w:pPr>
              <w:pStyle w:val="ListParagraph"/>
              <w:numPr>
                <w:ilvl w:val="0"/>
                <w:numId w:val="82"/>
              </w:numPr>
              <w:spacing w:line="240" w:lineRule="auto"/>
              <w:jc w:val="left"/>
              <w:rPr>
                <w:rFonts w:cs="Arial"/>
                <w:sz w:val="16"/>
                <w:szCs w:val="16"/>
              </w:rPr>
            </w:pPr>
            <w:r w:rsidRPr="00464DD7">
              <w:rPr>
                <w:rFonts w:cs="Arial"/>
                <w:sz w:val="16"/>
                <w:szCs w:val="16"/>
              </w:rPr>
              <w:t>A</w:t>
            </w:r>
            <w:r w:rsidR="00DB1C19" w:rsidRPr="00464DD7">
              <w:rPr>
                <w:rFonts w:cs="Arial"/>
                <w:sz w:val="16"/>
                <w:szCs w:val="16"/>
              </w:rPr>
              <w:t>pply isolation before maintenance</w:t>
            </w:r>
            <w:r w:rsidRPr="00464DD7">
              <w:rPr>
                <w:rFonts w:cs="Arial"/>
                <w:sz w:val="16"/>
                <w:szCs w:val="16"/>
              </w:rPr>
              <w:t>.</w:t>
            </w:r>
          </w:p>
          <w:p w14:paraId="013D4AA4" w14:textId="77777777" w:rsidR="00742F11" w:rsidRPr="00464DD7" w:rsidRDefault="00742F11" w:rsidP="00742F11">
            <w:pPr>
              <w:pStyle w:val="ListParagraph"/>
              <w:numPr>
                <w:ilvl w:val="0"/>
                <w:numId w:val="82"/>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earthing/bonding where required</w:t>
            </w:r>
            <w:r w:rsidRPr="00464DD7">
              <w:rPr>
                <w:rFonts w:cs="Arial"/>
                <w:sz w:val="16"/>
                <w:szCs w:val="16"/>
              </w:rPr>
              <w:t>.</w:t>
            </w:r>
          </w:p>
          <w:p w14:paraId="01EA630B" w14:textId="77777777" w:rsidR="00742F11" w:rsidRPr="00464DD7" w:rsidRDefault="00742F11" w:rsidP="00742F11">
            <w:pPr>
              <w:pStyle w:val="ListParagraph"/>
              <w:numPr>
                <w:ilvl w:val="0"/>
                <w:numId w:val="82"/>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circuit protection and safe-arm/fire interlocks</w:t>
            </w:r>
            <w:r w:rsidRPr="00464DD7">
              <w:rPr>
                <w:rFonts w:cs="Arial"/>
                <w:sz w:val="16"/>
                <w:szCs w:val="16"/>
              </w:rPr>
              <w:t>.</w:t>
            </w:r>
          </w:p>
          <w:p w14:paraId="45BDA732" w14:textId="77777777" w:rsidR="00742F11" w:rsidRPr="00464DD7" w:rsidRDefault="00742F11" w:rsidP="00742F11">
            <w:pPr>
              <w:pStyle w:val="ListParagraph"/>
              <w:numPr>
                <w:ilvl w:val="0"/>
                <w:numId w:val="82"/>
              </w:numPr>
              <w:spacing w:line="240" w:lineRule="auto"/>
              <w:jc w:val="left"/>
              <w:rPr>
                <w:rFonts w:cs="Arial"/>
                <w:sz w:val="16"/>
                <w:szCs w:val="16"/>
              </w:rPr>
            </w:pPr>
            <w:r w:rsidRPr="00464DD7">
              <w:rPr>
                <w:rFonts w:cs="Arial"/>
                <w:sz w:val="16"/>
                <w:szCs w:val="16"/>
              </w:rPr>
              <w:t>C</w:t>
            </w:r>
            <w:r w:rsidR="00DB1C19" w:rsidRPr="00464DD7">
              <w:rPr>
                <w:rFonts w:cs="Arial"/>
                <w:sz w:val="16"/>
                <w:szCs w:val="16"/>
              </w:rPr>
              <w:t>ontrol electromagnetic interference through shielding or separation where required</w:t>
            </w:r>
            <w:r w:rsidRPr="00464DD7">
              <w:rPr>
                <w:rFonts w:cs="Arial"/>
                <w:sz w:val="16"/>
                <w:szCs w:val="16"/>
              </w:rPr>
              <w:t>.</w:t>
            </w:r>
          </w:p>
          <w:p w14:paraId="51AB12EA" w14:textId="77777777" w:rsidR="00742F11" w:rsidRPr="00464DD7" w:rsidRDefault="00742F11" w:rsidP="00742F11">
            <w:pPr>
              <w:pStyle w:val="ListParagraph"/>
              <w:numPr>
                <w:ilvl w:val="0"/>
                <w:numId w:val="82"/>
              </w:numPr>
              <w:spacing w:line="240" w:lineRule="auto"/>
              <w:jc w:val="left"/>
              <w:rPr>
                <w:rFonts w:cs="Arial"/>
                <w:sz w:val="16"/>
                <w:szCs w:val="16"/>
              </w:rPr>
            </w:pPr>
            <w:r w:rsidRPr="00464DD7">
              <w:rPr>
                <w:rFonts w:cs="Arial"/>
                <w:sz w:val="16"/>
                <w:szCs w:val="16"/>
              </w:rPr>
              <w:t>R</w:t>
            </w:r>
            <w:r w:rsidR="00DB1C19" w:rsidRPr="00464DD7">
              <w:rPr>
                <w:rFonts w:cs="Arial"/>
                <w:sz w:val="16"/>
                <w:szCs w:val="16"/>
              </w:rPr>
              <w:t>estrict activity during lightning risk or severe weather</w:t>
            </w:r>
            <w:r w:rsidRPr="00464DD7">
              <w:rPr>
                <w:rFonts w:cs="Arial"/>
                <w:sz w:val="16"/>
                <w:szCs w:val="16"/>
              </w:rPr>
              <w:t>.</w:t>
            </w:r>
          </w:p>
          <w:p w14:paraId="2BF0A103" w14:textId="77777777" w:rsidR="00C61652" w:rsidRPr="00464DD7" w:rsidRDefault="00742F11" w:rsidP="00742F11">
            <w:pPr>
              <w:pStyle w:val="ListParagraph"/>
              <w:numPr>
                <w:ilvl w:val="0"/>
                <w:numId w:val="82"/>
              </w:numPr>
              <w:spacing w:line="240" w:lineRule="auto"/>
              <w:jc w:val="left"/>
              <w:rPr>
                <w:rFonts w:cs="Arial"/>
                <w:sz w:val="16"/>
                <w:szCs w:val="16"/>
              </w:rPr>
            </w:pPr>
            <w:r w:rsidRPr="00464DD7">
              <w:rPr>
                <w:rFonts w:cs="Arial"/>
                <w:sz w:val="16"/>
                <w:szCs w:val="16"/>
              </w:rPr>
              <w:t>M</w:t>
            </w:r>
            <w:r w:rsidR="00DB1C19" w:rsidRPr="00464DD7">
              <w:rPr>
                <w:rFonts w:cs="Arial"/>
                <w:sz w:val="16"/>
                <w:szCs w:val="16"/>
              </w:rPr>
              <w:t>aintain defect reporting and planned maintenance records</w:t>
            </w:r>
            <w:r w:rsidR="00C61652" w:rsidRPr="00464DD7">
              <w:rPr>
                <w:rFonts w:cs="Arial"/>
                <w:sz w:val="16"/>
                <w:szCs w:val="16"/>
              </w:rPr>
              <w:t>.</w:t>
            </w:r>
          </w:p>
          <w:p w14:paraId="352E2845" w14:textId="495DB267" w:rsidR="00DB1C19" w:rsidRPr="00464DD7" w:rsidRDefault="00C61652" w:rsidP="00742F11">
            <w:pPr>
              <w:pStyle w:val="ListParagraph"/>
              <w:numPr>
                <w:ilvl w:val="0"/>
                <w:numId w:val="82"/>
              </w:numPr>
              <w:spacing w:line="240" w:lineRule="auto"/>
              <w:jc w:val="left"/>
              <w:rPr>
                <w:rFonts w:cs="Arial"/>
                <w:sz w:val="16"/>
                <w:szCs w:val="16"/>
              </w:rPr>
            </w:pPr>
            <w:r w:rsidRPr="00464DD7">
              <w:rPr>
                <w:rFonts w:cs="Arial"/>
                <w:sz w:val="16"/>
                <w:szCs w:val="16"/>
              </w:rPr>
              <w:t>E</w:t>
            </w:r>
            <w:r w:rsidR="00DB1C19" w:rsidRPr="00464DD7">
              <w:rPr>
                <w:rFonts w:cs="Arial"/>
                <w:sz w:val="16"/>
                <w:szCs w:val="16"/>
              </w:rPr>
              <w:t>nsure operators and maintainers are trained and competent.</w:t>
            </w:r>
          </w:p>
        </w:tc>
        <w:tc>
          <w:tcPr>
            <w:tcW w:w="1134" w:type="dxa"/>
            <w:hideMark/>
          </w:tcPr>
          <w:p w14:paraId="46CBA905" w14:textId="586EB380" w:rsidR="00DB1C19" w:rsidRPr="00464DD7" w:rsidRDefault="00DB1C19" w:rsidP="00DB1C19">
            <w:pPr>
              <w:spacing w:line="240" w:lineRule="auto"/>
              <w:jc w:val="left"/>
              <w:rPr>
                <w:rFonts w:cs="Arial"/>
                <w:sz w:val="16"/>
                <w:szCs w:val="16"/>
              </w:rPr>
            </w:pPr>
            <w:r w:rsidRPr="00464DD7">
              <w:rPr>
                <w:rFonts w:cs="Arial"/>
                <w:sz w:val="16"/>
                <w:szCs w:val="16"/>
              </w:rPr>
              <w:t>I</w:t>
            </w:r>
            <w:r w:rsidR="00284E97">
              <w:rPr>
                <w:rFonts w:cs="Arial"/>
                <w:sz w:val="16"/>
                <w:szCs w:val="16"/>
              </w:rPr>
              <w:t>mprobable</w:t>
            </w:r>
          </w:p>
        </w:tc>
        <w:tc>
          <w:tcPr>
            <w:tcW w:w="1134" w:type="dxa"/>
            <w:hideMark/>
          </w:tcPr>
          <w:p w14:paraId="0E200960" w14:textId="77777777" w:rsidR="00DB1C19" w:rsidRPr="00464DD7" w:rsidRDefault="00DB1C19" w:rsidP="00DB1C19">
            <w:pPr>
              <w:spacing w:line="240" w:lineRule="auto"/>
              <w:jc w:val="left"/>
              <w:rPr>
                <w:rFonts w:cs="Arial"/>
                <w:sz w:val="16"/>
                <w:szCs w:val="16"/>
              </w:rPr>
            </w:pPr>
            <w:r w:rsidRPr="00464DD7">
              <w:rPr>
                <w:rFonts w:cs="Arial"/>
                <w:sz w:val="16"/>
                <w:szCs w:val="16"/>
              </w:rPr>
              <w:t>Critical</w:t>
            </w:r>
          </w:p>
        </w:tc>
        <w:tc>
          <w:tcPr>
            <w:tcW w:w="851" w:type="dxa"/>
            <w:shd w:val="clear" w:color="auto" w:fill="FFFF00"/>
            <w:hideMark/>
          </w:tcPr>
          <w:p w14:paraId="7E145235" w14:textId="6D96A76C" w:rsidR="00DB1C19" w:rsidRPr="00464DD7" w:rsidRDefault="00284E97" w:rsidP="00090183">
            <w:pPr>
              <w:spacing w:line="240" w:lineRule="auto"/>
              <w:jc w:val="center"/>
              <w:rPr>
                <w:rFonts w:cs="Arial"/>
                <w:b/>
                <w:bCs/>
                <w:sz w:val="16"/>
                <w:szCs w:val="16"/>
              </w:rPr>
            </w:pPr>
            <w:r>
              <w:rPr>
                <w:rFonts w:cs="Arial"/>
                <w:b/>
                <w:bCs/>
                <w:sz w:val="16"/>
                <w:szCs w:val="16"/>
              </w:rPr>
              <w:t>C</w:t>
            </w:r>
          </w:p>
        </w:tc>
        <w:tc>
          <w:tcPr>
            <w:tcW w:w="2131" w:type="dxa"/>
            <w:hideMark/>
          </w:tcPr>
          <w:p w14:paraId="6CA2AD24" w14:textId="5E00A58C" w:rsidR="00DB1C19" w:rsidRPr="00464DD7" w:rsidRDefault="00284E97" w:rsidP="00DB1C19">
            <w:pPr>
              <w:spacing w:line="240" w:lineRule="auto"/>
              <w:jc w:val="left"/>
              <w:rPr>
                <w:rFonts w:cs="Arial"/>
                <w:sz w:val="16"/>
                <w:szCs w:val="16"/>
              </w:rPr>
            </w:pPr>
            <w:r w:rsidRPr="00284E97">
              <w:rPr>
                <w:rFonts w:cs="Arial"/>
                <w:sz w:val="16"/>
                <w:szCs w:val="16"/>
              </w:rPr>
              <w:t>Critical harm remains credible, but protected routing, environmental protection, circuit protection, isolation, inspection, maintenance and competent operation reduce the likelihood of the hazardous event. The Improbable rating is a conservative qualitative judgement and must be supported by inspection, maintenance and functional-test records.</w:t>
            </w:r>
          </w:p>
        </w:tc>
      </w:tr>
      <w:tr w:rsidR="00353617" w:rsidRPr="00464DD7" w14:paraId="15BA72ED" w14:textId="77777777" w:rsidTr="001F0816">
        <w:trPr>
          <w:trHeight w:val="2177"/>
          <w:jc w:val="center"/>
        </w:trPr>
        <w:tc>
          <w:tcPr>
            <w:tcW w:w="1001" w:type="dxa"/>
            <w:hideMark/>
          </w:tcPr>
          <w:p w14:paraId="1F505608" w14:textId="1F8BDE1A" w:rsidR="00DB1C19" w:rsidRPr="00464DD7" w:rsidRDefault="00DB1C19" w:rsidP="00DB1C19">
            <w:pPr>
              <w:spacing w:line="240" w:lineRule="auto"/>
              <w:jc w:val="left"/>
              <w:rPr>
                <w:rFonts w:cs="Arial"/>
                <w:sz w:val="16"/>
                <w:szCs w:val="16"/>
              </w:rPr>
            </w:pPr>
            <w:r w:rsidRPr="00464DD7">
              <w:rPr>
                <w:rFonts w:cs="Arial"/>
                <w:sz w:val="16"/>
                <w:szCs w:val="16"/>
              </w:rPr>
              <w:t>Asphyxiant / Toxicity</w:t>
            </w:r>
            <w:r w:rsidR="00DA6812">
              <w:rPr>
                <w:rFonts w:cs="Arial"/>
                <w:sz w:val="16"/>
                <w:szCs w:val="16"/>
              </w:rPr>
              <w:t xml:space="preserve"> [1</w:t>
            </w:r>
            <w:r w:rsidR="00EA742A">
              <w:rPr>
                <w:rFonts w:cs="Arial"/>
                <w:sz w:val="16"/>
                <w:szCs w:val="16"/>
              </w:rPr>
              <w:t>4</w:t>
            </w:r>
            <w:r w:rsidR="00DA6812">
              <w:rPr>
                <w:rFonts w:cs="Arial"/>
                <w:sz w:val="16"/>
                <w:szCs w:val="16"/>
              </w:rPr>
              <w:t>]</w:t>
            </w:r>
            <w:r w:rsidR="00EA742A">
              <w:rPr>
                <w:rFonts w:cs="Arial"/>
                <w:sz w:val="16"/>
                <w:szCs w:val="16"/>
              </w:rPr>
              <w:t xml:space="preserve"> [15]</w:t>
            </w:r>
          </w:p>
        </w:tc>
        <w:tc>
          <w:tcPr>
            <w:tcW w:w="5231" w:type="dxa"/>
            <w:hideMark/>
          </w:tcPr>
          <w:p w14:paraId="5C74393E" w14:textId="77777777" w:rsidR="00C61652" w:rsidRPr="00464DD7" w:rsidRDefault="00DB1C19" w:rsidP="00C61652">
            <w:pPr>
              <w:pStyle w:val="ListParagraph"/>
              <w:numPr>
                <w:ilvl w:val="0"/>
                <w:numId w:val="83"/>
              </w:numPr>
              <w:spacing w:line="240" w:lineRule="auto"/>
              <w:jc w:val="left"/>
              <w:rPr>
                <w:rFonts w:cs="Arial"/>
                <w:sz w:val="16"/>
                <w:szCs w:val="16"/>
              </w:rPr>
            </w:pPr>
            <w:r w:rsidRPr="00464DD7">
              <w:rPr>
                <w:rFonts w:cs="Arial"/>
                <w:sz w:val="16"/>
                <w:szCs w:val="16"/>
              </w:rPr>
              <w:t>Conduct firing in open or well-ventilated areas where practicable</w:t>
            </w:r>
            <w:r w:rsidR="00C61652" w:rsidRPr="00464DD7">
              <w:rPr>
                <w:rFonts w:cs="Arial"/>
                <w:sz w:val="16"/>
                <w:szCs w:val="16"/>
              </w:rPr>
              <w:t>.</w:t>
            </w:r>
          </w:p>
          <w:p w14:paraId="5C066259" w14:textId="77777777" w:rsidR="00C61652" w:rsidRPr="00464DD7" w:rsidRDefault="00C61652" w:rsidP="00C61652">
            <w:pPr>
              <w:pStyle w:val="ListParagraph"/>
              <w:numPr>
                <w:ilvl w:val="0"/>
                <w:numId w:val="83"/>
              </w:numPr>
              <w:spacing w:line="240" w:lineRule="auto"/>
              <w:jc w:val="left"/>
              <w:rPr>
                <w:rFonts w:cs="Arial"/>
                <w:sz w:val="16"/>
                <w:szCs w:val="16"/>
              </w:rPr>
            </w:pPr>
            <w:r w:rsidRPr="00464DD7">
              <w:rPr>
                <w:rFonts w:cs="Arial"/>
                <w:sz w:val="16"/>
                <w:szCs w:val="16"/>
              </w:rPr>
              <w:t>A</w:t>
            </w:r>
            <w:r w:rsidR="00DB1C19" w:rsidRPr="00464DD7">
              <w:rPr>
                <w:rFonts w:cs="Arial"/>
                <w:sz w:val="16"/>
                <w:szCs w:val="16"/>
              </w:rPr>
              <w:t>void enclosed or poorly ventilated firing positions unless suitable extraction or monitoring is available</w:t>
            </w:r>
            <w:r w:rsidRPr="00464DD7">
              <w:rPr>
                <w:rFonts w:cs="Arial"/>
                <w:sz w:val="16"/>
                <w:szCs w:val="16"/>
              </w:rPr>
              <w:t>.</w:t>
            </w:r>
          </w:p>
          <w:p w14:paraId="7DD08CCD" w14:textId="77777777" w:rsidR="00C61652" w:rsidRPr="00464DD7" w:rsidRDefault="00C61652" w:rsidP="00C61652">
            <w:pPr>
              <w:pStyle w:val="ListParagraph"/>
              <w:numPr>
                <w:ilvl w:val="0"/>
                <w:numId w:val="83"/>
              </w:numPr>
              <w:spacing w:line="240" w:lineRule="auto"/>
              <w:jc w:val="left"/>
              <w:rPr>
                <w:rFonts w:cs="Arial"/>
                <w:sz w:val="16"/>
                <w:szCs w:val="16"/>
              </w:rPr>
            </w:pPr>
            <w:r w:rsidRPr="00464DD7">
              <w:rPr>
                <w:rFonts w:cs="Arial"/>
                <w:sz w:val="16"/>
                <w:szCs w:val="16"/>
              </w:rPr>
              <w:t>A</w:t>
            </w:r>
            <w:r w:rsidR="00DB1C19" w:rsidRPr="00464DD7">
              <w:rPr>
                <w:rFonts w:cs="Arial"/>
                <w:sz w:val="16"/>
                <w:szCs w:val="16"/>
              </w:rPr>
              <w:t xml:space="preserve">pply post-firing clearance time before </w:t>
            </w:r>
            <w:r w:rsidRPr="00464DD7">
              <w:rPr>
                <w:rFonts w:cs="Arial"/>
                <w:sz w:val="16"/>
                <w:szCs w:val="16"/>
              </w:rPr>
              <w:t>p</w:t>
            </w:r>
            <w:r w:rsidR="00DB1C19" w:rsidRPr="00464DD7">
              <w:rPr>
                <w:rFonts w:cs="Arial"/>
                <w:sz w:val="16"/>
                <w:szCs w:val="16"/>
              </w:rPr>
              <w:t>ersonnel approach</w:t>
            </w:r>
            <w:r w:rsidRPr="00464DD7">
              <w:rPr>
                <w:rFonts w:cs="Arial"/>
                <w:sz w:val="16"/>
                <w:szCs w:val="16"/>
              </w:rPr>
              <w:t>.</w:t>
            </w:r>
          </w:p>
          <w:p w14:paraId="3E5F3494" w14:textId="77777777" w:rsidR="00C61652" w:rsidRPr="00464DD7" w:rsidRDefault="00C61652" w:rsidP="00C61652">
            <w:pPr>
              <w:pStyle w:val="ListParagraph"/>
              <w:numPr>
                <w:ilvl w:val="0"/>
                <w:numId w:val="83"/>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gas monitoring where the environment increases exposure risk</w:t>
            </w:r>
            <w:r w:rsidRPr="00464DD7">
              <w:rPr>
                <w:rFonts w:cs="Arial"/>
                <w:sz w:val="16"/>
                <w:szCs w:val="16"/>
              </w:rPr>
              <w:t>.</w:t>
            </w:r>
          </w:p>
          <w:p w14:paraId="3A8CFA31" w14:textId="77777777" w:rsidR="00C61652" w:rsidRPr="00464DD7" w:rsidRDefault="00C61652" w:rsidP="00C61652">
            <w:pPr>
              <w:pStyle w:val="ListParagraph"/>
              <w:numPr>
                <w:ilvl w:val="0"/>
                <w:numId w:val="83"/>
              </w:numPr>
              <w:spacing w:line="240" w:lineRule="auto"/>
              <w:jc w:val="left"/>
              <w:rPr>
                <w:rFonts w:cs="Arial"/>
                <w:sz w:val="16"/>
                <w:szCs w:val="16"/>
              </w:rPr>
            </w:pPr>
            <w:r w:rsidRPr="00464DD7">
              <w:rPr>
                <w:rFonts w:cs="Arial"/>
                <w:sz w:val="16"/>
                <w:szCs w:val="16"/>
              </w:rPr>
              <w:t>P</w:t>
            </w:r>
            <w:r w:rsidR="00DB1C19" w:rsidRPr="00464DD7">
              <w:rPr>
                <w:rFonts w:cs="Arial"/>
                <w:sz w:val="16"/>
                <w:szCs w:val="16"/>
              </w:rPr>
              <w:t xml:space="preserve">rovide suitable </w:t>
            </w:r>
            <w:r w:rsidRPr="00464DD7">
              <w:rPr>
                <w:rFonts w:cs="Arial"/>
                <w:sz w:val="16"/>
                <w:szCs w:val="16"/>
              </w:rPr>
              <w:t>personal protective equipment (</w:t>
            </w:r>
            <w:r w:rsidR="00DB1C19" w:rsidRPr="00464DD7">
              <w:rPr>
                <w:rFonts w:cs="Arial"/>
                <w:sz w:val="16"/>
                <w:szCs w:val="16"/>
              </w:rPr>
              <w:t>PPE</w:t>
            </w:r>
            <w:r w:rsidRPr="00464DD7">
              <w:rPr>
                <w:rFonts w:cs="Arial"/>
                <w:sz w:val="16"/>
                <w:szCs w:val="16"/>
              </w:rPr>
              <w:t>)</w:t>
            </w:r>
            <w:r w:rsidR="00DB1C19" w:rsidRPr="00464DD7">
              <w:rPr>
                <w:rFonts w:cs="Arial"/>
                <w:sz w:val="16"/>
                <w:szCs w:val="16"/>
              </w:rPr>
              <w:t xml:space="preserve"> where identified by local assessment</w:t>
            </w:r>
            <w:r w:rsidRPr="00464DD7">
              <w:rPr>
                <w:rFonts w:cs="Arial"/>
                <w:sz w:val="16"/>
                <w:szCs w:val="16"/>
              </w:rPr>
              <w:t>.</w:t>
            </w:r>
          </w:p>
          <w:p w14:paraId="0A984EF9" w14:textId="77777777" w:rsidR="00C61652" w:rsidRPr="00464DD7" w:rsidRDefault="00C61652" w:rsidP="00C61652">
            <w:pPr>
              <w:pStyle w:val="ListParagraph"/>
              <w:numPr>
                <w:ilvl w:val="0"/>
                <w:numId w:val="83"/>
              </w:numPr>
              <w:spacing w:line="240" w:lineRule="auto"/>
              <w:jc w:val="left"/>
              <w:rPr>
                <w:rFonts w:cs="Arial"/>
                <w:sz w:val="16"/>
                <w:szCs w:val="16"/>
              </w:rPr>
            </w:pPr>
            <w:r w:rsidRPr="00464DD7">
              <w:rPr>
                <w:rFonts w:cs="Arial"/>
                <w:sz w:val="16"/>
                <w:szCs w:val="16"/>
              </w:rPr>
              <w:t>L</w:t>
            </w:r>
            <w:r w:rsidR="00DB1C19" w:rsidRPr="00464DD7">
              <w:rPr>
                <w:rFonts w:cs="Arial"/>
                <w:sz w:val="16"/>
                <w:szCs w:val="16"/>
              </w:rPr>
              <w:t>imit repeated exposure</w:t>
            </w:r>
            <w:r w:rsidRPr="00464DD7">
              <w:rPr>
                <w:rFonts w:cs="Arial"/>
                <w:sz w:val="16"/>
                <w:szCs w:val="16"/>
              </w:rPr>
              <w:t>.</w:t>
            </w:r>
          </w:p>
          <w:p w14:paraId="500A4CC9" w14:textId="77777777" w:rsidR="00C61652" w:rsidRPr="00464DD7" w:rsidRDefault="00C61652" w:rsidP="00C61652">
            <w:pPr>
              <w:pStyle w:val="ListParagraph"/>
              <w:numPr>
                <w:ilvl w:val="0"/>
                <w:numId w:val="83"/>
              </w:numPr>
              <w:spacing w:line="240" w:lineRule="auto"/>
              <w:jc w:val="left"/>
              <w:rPr>
                <w:rFonts w:cs="Arial"/>
                <w:sz w:val="16"/>
                <w:szCs w:val="16"/>
              </w:rPr>
            </w:pPr>
            <w:r w:rsidRPr="00464DD7">
              <w:rPr>
                <w:rFonts w:cs="Arial"/>
                <w:sz w:val="16"/>
                <w:szCs w:val="16"/>
              </w:rPr>
              <w:t>B</w:t>
            </w:r>
            <w:r w:rsidR="00DB1C19" w:rsidRPr="00464DD7">
              <w:rPr>
                <w:rFonts w:cs="Arial"/>
                <w:sz w:val="16"/>
                <w:szCs w:val="16"/>
              </w:rPr>
              <w:t>rief personnel on signs of toxic exposure</w:t>
            </w:r>
            <w:r w:rsidRPr="00464DD7">
              <w:rPr>
                <w:rFonts w:cs="Arial"/>
                <w:sz w:val="16"/>
                <w:szCs w:val="16"/>
              </w:rPr>
              <w:t>.</w:t>
            </w:r>
          </w:p>
          <w:p w14:paraId="680126A1" w14:textId="3630ABF0" w:rsidR="00DB1C19" w:rsidRPr="00464DD7" w:rsidRDefault="00C61652" w:rsidP="00C61652">
            <w:pPr>
              <w:pStyle w:val="ListParagraph"/>
              <w:numPr>
                <w:ilvl w:val="0"/>
                <w:numId w:val="83"/>
              </w:numPr>
              <w:spacing w:line="240" w:lineRule="auto"/>
              <w:jc w:val="left"/>
              <w:rPr>
                <w:rFonts w:cs="Arial"/>
                <w:sz w:val="16"/>
                <w:szCs w:val="16"/>
              </w:rPr>
            </w:pPr>
            <w:r w:rsidRPr="00464DD7">
              <w:rPr>
                <w:rFonts w:cs="Arial"/>
                <w:sz w:val="16"/>
                <w:szCs w:val="16"/>
              </w:rPr>
              <w:t>E</w:t>
            </w:r>
            <w:r w:rsidR="00DB1C19" w:rsidRPr="00464DD7">
              <w:rPr>
                <w:rFonts w:cs="Arial"/>
                <w:sz w:val="16"/>
                <w:szCs w:val="16"/>
              </w:rPr>
              <w:t>nsure emergency response and first aid arrangements are available.</w:t>
            </w:r>
          </w:p>
        </w:tc>
        <w:tc>
          <w:tcPr>
            <w:tcW w:w="1134" w:type="dxa"/>
            <w:hideMark/>
          </w:tcPr>
          <w:p w14:paraId="0F33D166" w14:textId="77777777" w:rsidR="00DB1C19" w:rsidRPr="00464DD7" w:rsidRDefault="00DB1C19" w:rsidP="00DB1C19">
            <w:pPr>
              <w:spacing w:line="240" w:lineRule="auto"/>
              <w:jc w:val="left"/>
              <w:rPr>
                <w:rFonts w:cs="Arial"/>
                <w:sz w:val="16"/>
                <w:szCs w:val="16"/>
              </w:rPr>
            </w:pPr>
            <w:r w:rsidRPr="00464DD7">
              <w:rPr>
                <w:rFonts w:cs="Arial"/>
                <w:sz w:val="16"/>
                <w:szCs w:val="16"/>
              </w:rPr>
              <w:t>Remote</w:t>
            </w:r>
          </w:p>
        </w:tc>
        <w:tc>
          <w:tcPr>
            <w:tcW w:w="1134" w:type="dxa"/>
            <w:hideMark/>
          </w:tcPr>
          <w:p w14:paraId="51F4E08A" w14:textId="2AA1A963" w:rsidR="00DB1C19" w:rsidRPr="00464DD7" w:rsidRDefault="00284E97" w:rsidP="00DB1C19">
            <w:pPr>
              <w:spacing w:line="240" w:lineRule="auto"/>
              <w:jc w:val="left"/>
              <w:rPr>
                <w:rFonts w:cs="Arial"/>
                <w:sz w:val="16"/>
                <w:szCs w:val="16"/>
              </w:rPr>
            </w:pPr>
            <w:r>
              <w:rPr>
                <w:rFonts w:cs="Arial"/>
                <w:sz w:val="16"/>
                <w:szCs w:val="16"/>
              </w:rPr>
              <w:t>Critical</w:t>
            </w:r>
          </w:p>
        </w:tc>
        <w:tc>
          <w:tcPr>
            <w:tcW w:w="851" w:type="dxa"/>
            <w:shd w:val="clear" w:color="auto" w:fill="FFFF00"/>
            <w:hideMark/>
          </w:tcPr>
          <w:p w14:paraId="3A56E799" w14:textId="77777777" w:rsidR="00DB1C19" w:rsidRPr="00464DD7" w:rsidRDefault="00DB1C19" w:rsidP="00090183">
            <w:pPr>
              <w:spacing w:line="240" w:lineRule="auto"/>
              <w:jc w:val="center"/>
              <w:rPr>
                <w:rFonts w:cs="Arial"/>
                <w:b/>
                <w:bCs/>
                <w:sz w:val="16"/>
                <w:szCs w:val="16"/>
              </w:rPr>
            </w:pPr>
            <w:r w:rsidRPr="00464DD7">
              <w:rPr>
                <w:rFonts w:cs="Arial"/>
                <w:b/>
                <w:bCs/>
                <w:sz w:val="16"/>
                <w:szCs w:val="16"/>
              </w:rPr>
              <w:t>C</w:t>
            </w:r>
          </w:p>
        </w:tc>
        <w:tc>
          <w:tcPr>
            <w:tcW w:w="2131" w:type="dxa"/>
            <w:hideMark/>
          </w:tcPr>
          <w:p w14:paraId="32FFADC7" w14:textId="6FA5E8AD" w:rsidR="00DB1C19" w:rsidRPr="00464DD7" w:rsidRDefault="00284E97" w:rsidP="00DB1C19">
            <w:pPr>
              <w:spacing w:line="240" w:lineRule="auto"/>
              <w:jc w:val="left"/>
              <w:rPr>
                <w:rFonts w:cs="Arial"/>
                <w:sz w:val="16"/>
                <w:szCs w:val="16"/>
              </w:rPr>
            </w:pPr>
            <w:r w:rsidRPr="00284E97">
              <w:rPr>
                <w:rFonts w:cs="Arial"/>
                <w:sz w:val="16"/>
                <w:szCs w:val="16"/>
              </w:rPr>
              <w:t>Ventilation, clearance time, exposure control and monitoring reduce the likelihood of harmful exposure. Severity remains Critical because failure of these controls in a confined or poorly ventilated position could still result in fatal or long-term harm.</w:t>
            </w:r>
          </w:p>
        </w:tc>
      </w:tr>
      <w:tr w:rsidR="00353617" w:rsidRPr="00464DD7" w14:paraId="45F1E54E" w14:textId="77777777" w:rsidTr="001F0816">
        <w:trPr>
          <w:trHeight w:val="1125"/>
          <w:jc w:val="center"/>
        </w:trPr>
        <w:tc>
          <w:tcPr>
            <w:tcW w:w="1001" w:type="dxa"/>
            <w:hideMark/>
          </w:tcPr>
          <w:p w14:paraId="6B18AB23" w14:textId="339D1A07" w:rsidR="00DB1C19" w:rsidRPr="00464DD7" w:rsidRDefault="00DB1C19" w:rsidP="00DB1C19">
            <w:pPr>
              <w:spacing w:line="240" w:lineRule="auto"/>
              <w:jc w:val="left"/>
              <w:rPr>
                <w:rFonts w:cs="Arial"/>
                <w:sz w:val="16"/>
                <w:szCs w:val="16"/>
              </w:rPr>
            </w:pPr>
            <w:r w:rsidRPr="00464DD7">
              <w:rPr>
                <w:rFonts w:cs="Arial"/>
                <w:sz w:val="16"/>
                <w:szCs w:val="16"/>
              </w:rPr>
              <w:t>High-Pressure Gas</w:t>
            </w:r>
            <w:r w:rsidR="00DA6812">
              <w:rPr>
                <w:rFonts w:cs="Arial"/>
                <w:sz w:val="16"/>
                <w:szCs w:val="16"/>
              </w:rPr>
              <w:t xml:space="preserve"> </w:t>
            </w:r>
            <w:r w:rsidR="00DA6812">
              <w:rPr>
                <w:rFonts w:cs="Arial"/>
                <w:sz w:val="16"/>
                <w:szCs w:val="16"/>
              </w:rPr>
              <w:br/>
            </w:r>
            <w:r w:rsidR="001F0816">
              <w:rPr>
                <w:rFonts w:cs="Arial"/>
                <w:sz w:val="16"/>
                <w:szCs w:val="16"/>
              </w:rPr>
              <w:t xml:space="preserve">[4] </w:t>
            </w:r>
            <w:r w:rsidR="00DA6812">
              <w:rPr>
                <w:rFonts w:cs="Arial"/>
                <w:sz w:val="16"/>
                <w:szCs w:val="16"/>
              </w:rPr>
              <w:t>[1</w:t>
            </w:r>
            <w:r w:rsidR="00EA742A">
              <w:rPr>
                <w:rFonts w:cs="Arial"/>
                <w:sz w:val="16"/>
                <w:szCs w:val="16"/>
              </w:rPr>
              <w:t>6</w:t>
            </w:r>
            <w:r w:rsidR="00DA6812">
              <w:rPr>
                <w:rFonts w:cs="Arial"/>
                <w:sz w:val="16"/>
                <w:szCs w:val="16"/>
              </w:rPr>
              <w:t>]</w:t>
            </w:r>
          </w:p>
        </w:tc>
        <w:tc>
          <w:tcPr>
            <w:tcW w:w="5231" w:type="dxa"/>
            <w:hideMark/>
          </w:tcPr>
          <w:p w14:paraId="75A26813" w14:textId="77777777" w:rsidR="00C61652" w:rsidRPr="00464DD7" w:rsidRDefault="00DB1C19" w:rsidP="00C61652">
            <w:pPr>
              <w:pStyle w:val="ListParagraph"/>
              <w:numPr>
                <w:ilvl w:val="0"/>
                <w:numId w:val="84"/>
              </w:numPr>
              <w:spacing w:line="240" w:lineRule="auto"/>
              <w:jc w:val="left"/>
              <w:rPr>
                <w:rFonts w:cs="Arial"/>
                <w:sz w:val="16"/>
                <w:szCs w:val="16"/>
              </w:rPr>
            </w:pPr>
            <w:r w:rsidRPr="00464DD7">
              <w:rPr>
                <w:rFonts w:cs="Arial"/>
                <w:sz w:val="16"/>
                <w:szCs w:val="16"/>
              </w:rPr>
              <w:t>Inspect breech, seals and obturation-related components before use</w:t>
            </w:r>
            <w:r w:rsidR="00C61652" w:rsidRPr="00464DD7">
              <w:rPr>
                <w:rFonts w:cs="Arial"/>
                <w:sz w:val="16"/>
                <w:szCs w:val="16"/>
              </w:rPr>
              <w:t>.</w:t>
            </w:r>
          </w:p>
          <w:p w14:paraId="63A60B71" w14:textId="77777777" w:rsidR="00C61652" w:rsidRPr="00464DD7" w:rsidRDefault="00C61652" w:rsidP="00C61652">
            <w:pPr>
              <w:pStyle w:val="ListParagraph"/>
              <w:numPr>
                <w:ilvl w:val="0"/>
                <w:numId w:val="84"/>
              </w:numPr>
              <w:spacing w:line="240" w:lineRule="auto"/>
              <w:jc w:val="left"/>
              <w:rPr>
                <w:rFonts w:cs="Arial"/>
                <w:sz w:val="16"/>
                <w:szCs w:val="16"/>
              </w:rPr>
            </w:pPr>
            <w:r w:rsidRPr="00464DD7">
              <w:rPr>
                <w:rFonts w:cs="Arial"/>
                <w:sz w:val="16"/>
                <w:szCs w:val="16"/>
              </w:rPr>
              <w:t>E</w:t>
            </w:r>
            <w:r w:rsidR="00DB1C19" w:rsidRPr="00464DD7">
              <w:rPr>
                <w:rFonts w:cs="Arial"/>
                <w:sz w:val="16"/>
                <w:szCs w:val="16"/>
              </w:rPr>
              <w:t>nsure correct assembly and maintenance</w:t>
            </w:r>
            <w:r w:rsidRPr="00464DD7">
              <w:rPr>
                <w:rFonts w:cs="Arial"/>
                <w:sz w:val="16"/>
                <w:szCs w:val="16"/>
              </w:rPr>
              <w:t xml:space="preserve">. </w:t>
            </w:r>
          </w:p>
          <w:p w14:paraId="2E3569CC" w14:textId="77777777" w:rsidR="00C61652" w:rsidRPr="00464DD7" w:rsidRDefault="00C61652" w:rsidP="00C61652">
            <w:pPr>
              <w:pStyle w:val="ListParagraph"/>
              <w:numPr>
                <w:ilvl w:val="0"/>
                <w:numId w:val="84"/>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only serviceable and authorised ammunition</w:t>
            </w:r>
            <w:r w:rsidRPr="00464DD7">
              <w:rPr>
                <w:rFonts w:cs="Arial"/>
                <w:sz w:val="16"/>
                <w:szCs w:val="16"/>
              </w:rPr>
              <w:t>.</w:t>
            </w:r>
          </w:p>
          <w:p w14:paraId="43A3B2A6" w14:textId="77777777" w:rsidR="00C61652" w:rsidRPr="00464DD7" w:rsidRDefault="00C61652" w:rsidP="00C61652">
            <w:pPr>
              <w:pStyle w:val="ListParagraph"/>
              <w:numPr>
                <w:ilvl w:val="0"/>
                <w:numId w:val="84"/>
              </w:numPr>
              <w:spacing w:line="240" w:lineRule="auto"/>
              <w:jc w:val="left"/>
              <w:rPr>
                <w:rFonts w:cs="Arial"/>
                <w:sz w:val="16"/>
                <w:szCs w:val="16"/>
              </w:rPr>
            </w:pPr>
            <w:r w:rsidRPr="00464DD7">
              <w:rPr>
                <w:rFonts w:cs="Arial"/>
                <w:sz w:val="16"/>
                <w:szCs w:val="16"/>
              </w:rPr>
              <w:t>C</w:t>
            </w:r>
            <w:r w:rsidR="00DB1C19" w:rsidRPr="00464DD7">
              <w:rPr>
                <w:rFonts w:cs="Arial"/>
                <w:sz w:val="16"/>
                <w:szCs w:val="16"/>
              </w:rPr>
              <w:t>ontrol firing when components are overheated or damaged</w:t>
            </w:r>
            <w:r w:rsidRPr="00464DD7">
              <w:rPr>
                <w:rFonts w:cs="Arial"/>
                <w:sz w:val="16"/>
                <w:szCs w:val="16"/>
              </w:rPr>
              <w:t>.</w:t>
            </w:r>
          </w:p>
          <w:p w14:paraId="3B1DD7D4" w14:textId="77777777" w:rsidR="00C61652" w:rsidRPr="00464DD7" w:rsidRDefault="00C61652" w:rsidP="00C61652">
            <w:pPr>
              <w:pStyle w:val="ListParagraph"/>
              <w:numPr>
                <w:ilvl w:val="0"/>
                <w:numId w:val="84"/>
              </w:numPr>
              <w:spacing w:line="240" w:lineRule="auto"/>
              <w:jc w:val="left"/>
              <w:rPr>
                <w:rFonts w:cs="Arial"/>
                <w:sz w:val="16"/>
                <w:szCs w:val="16"/>
              </w:rPr>
            </w:pPr>
            <w:r w:rsidRPr="00464DD7">
              <w:rPr>
                <w:rFonts w:cs="Arial"/>
                <w:sz w:val="16"/>
                <w:szCs w:val="16"/>
              </w:rPr>
              <w:t>M</w:t>
            </w:r>
            <w:r w:rsidR="00DB1C19" w:rsidRPr="00464DD7">
              <w:rPr>
                <w:rFonts w:cs="Arial"/>
                <w:sz w:val="16"/>
                <w:szCs w:val="16"/>
              </w:rPr>
              <w:t>aintain safe positions and exclusion zones during firing</w:t>
            </w:r>
            <w:r w:rsidRPr="00464DD7">
              <w:rPr>
                <w:rFonts w:cs="Arial"/>
                <w:sz w:val="16"/>
                <w:szCs w:val="16"/>
              </w:rPr>
              <w:t>.</w:t>
            </w:r>
          </w:p>
          <w:p w14:paraId="4A27B791" w14:textId="0FA65F02" w:rsidR="00C61652" w:rsidRPr="00464DD7" w:rsidRDefault="00C61652" w:rsidP="00C61652">
            <w:pPr>
              <w:pStyle w:val="ListParagraph"/>
              <w:numPr>
                <w:ilvl w:val="0"/>
                <w:numId w:val="84"/>
              </w:numPr>
              <w:spacing w:line="240" w:lineRule="auto"/>
              <w:jc w:val="left"/>
              <w:rPr>
                <w:rFonts w:cs="Arial"/>
                <w:sz w:val="16"/>
                <w:szCs w:val="16"/>
              </w:rPr>
            </w:pPr>
            <w:r w:rsidRPr="00464DD7">
              <w:rPr>
                <w:rFonts w:cs="Arial"/>
                <w:sz w:val="16"/>
                <w:szCs w:val="16"/>
              </w:rPr>
              <w:t>F</w:t>
            </w:r>
            <w:r w:rsidR="00DB1C19" w:rsidRPr="00464DD7">
              <w:rPr>
                <w:rFonts w:cs="Arial"/>
                <w:sz w:val="16"/>
                <w:szCs w:val="16"/>
              </w:rPr>
              <w:t xml:space="preserve">ollow misfire and </w:t>
            </w:r>
            <w:proofErr w:type="spellStart"/>
            <w:r w:rsidR="00DB1C19" w:rsidRPr="00464DD7">
              <w:rPr>
                <w:rFonts w:cs="Arial"/>
                <w:sz w:val="16"/>
                <w:szCs w:val="16"/>
              </w:rPr>
              <w:t>hangfire</w:t>
            </w:r>
            <w:proofErr w:type="spellEnd"/>
            <w:r w:rsidR="00DB1C19" w:rsidRPr="00464DD7">
              <w:rPr>
                <w:rFonts w:cs="Arial"/>
                <w:sz w:val="16"/>
                <w:szCs w:val="16"/>
              </w:rPr>
              <w:t xml:space="preserve"> drills</w:t>
            </w:r>
            <w:r w:rsidRPr="00464DD7">
              <w:rPr>
                <w:rFonts w:cs="Arial"/>
                <w:sz w:val="16"/>
                <w:szCs w:val="16"/>
              </w:rPr>
              <w:t>.</w:t>
            </w:r>
          </w:p>
          <w:p w14:paraId="5A51BCAD" w14:textId="77777777" w:rsidR="00C61652" w:rsidRPr="00464DD7" w:rsidRDefault="00C61652" w:rsidP="00C61652">
            <w:pPr>
              <w:pStyle w:val="ListParagraph"/>
              <w:numPr>
                <w:ilvl w:val="0"/>
                <w:numId w:val="84"/>
              </w:numPr>
              <w:spacing w:line="240" w:lineRule="auto"/>
              <w:jc w:val="left"/>
              <w:rPr>
                <w:rFonts w:cs="Arial"/>
                <w:sz w:val="16"/>
                <w:szCs w:val="16"/>
              </w:rPr>
            </w:pPr>
            <w:r w:rsidRPr="00464DD7">
              <w:rPr>
                <w:rFonts w:cs="Arial"/>
                <w:sz w:val="16"/>
                <w:szCs w:val="16"/>
              </w:rPr>
              <w:t>E</w:t>
            </w:r>
            <w:r w:rsidR="00DB1C19" w:rsidRPr="00464DD7">
              <w:rPr>
                <w:rFonts w:cs="Arial"/>
                <w:sz w:val="16"/>
                <w:szCs w:val="16"/>
              </w:rPr>
              <w:t>nsure worn seals/components are replaced</w:t>
            </w:r>
            <w:r w:rsidRPr="00464DD7">
              <w:rPr>
                <w:rFonts w:cs="Arial"/>
                <w:sz w:val="16"/>
                <w:szCs w:val="16"/>
              </w:rPr>
              <w:t>.</w:t>
            </w:r>
          </w:p>
          <w:p w14:paraId="3745452F" w14:textId="77777777" w:rsidR="00C61652" w:rsidRPr="00464DD7" w:rsidRDefault="00C61652" w:rsidP="00C61652">
            <w:pPr>
              <w:pStyle w:val="ListParagraph"/>
              <w:numPr>
                <w:ilvl w:val="0"/>
                <w:numId w:val="84"/>
              </w:numPr>
              <w:spacing w:line="240" w:lineRule="auto"/>
              <w:jc w:val="left"/>
              <w:rPr>
                <w:rFonts w:cs="Arial"/>
                <w:sz w:val="16"/>
                <w:szCs w:val="16"/>
              </w:rPr>
            </w:pPr>
            <w:r w:rsidRPr="00464DD7">
              <w:rPr>
                <w:rFonts w:cs="Arial"/>
                <w:sz w:val="16"/>
                <w:szCs w:val="16"/>
              </w:rPr>
              <w:t>R</w:t>
            </w:r>
            <w:r w:rsidR="00DB1C19" w:rsidRPr="00464DD7">
              <w:rPr>
                <w:rFonts w:cs="Arial"/>
                <w:sz w:val="16"/>
                <w:szCs w:val="16"/>
              </w:rPr>
              <w:t>ecord maintenance and defects</w:t>
            </w:r>
            <w:r w:rsidRPr="00464DD7">
              <w:rPr>
                <w:rFonts w:cs="Arial"/>
                <w:sz w:val="16"/>
                <w:szCs w:val="16"/>
              </w:rPr>
              <w:t>.</w:t>
            </w:r>
          </w:p>
          <w:p w14:paraId="2C6A43FE" w14:textId="66B8E4A8" w:rsidR="00DB1C19" w:rsidRPr="00464DD7" w:rsidRDefault="00C61652" w:rsidP="00C61652">
            <w:pPr>
              <w:pStyle w:val="ListParagraph"/>
              <w:numPr>
                <w:ilvl w:val="0"/>
                <w:numId w:val="84"/>
              </w:numPr>
              <w:spacing w:line="240" w:lineRule="auto"/>
              <w:jc w:val="left"/>
              <w:rPr>
                <w:rFonts w:cs="Arial"/>
                <w:sz w:val="16"/>
                <w:szCs w:val="16"/>
              </w:rPr>
            </w:pPr>
            <w:r w:rsidRPr="00464DD7">
              <w:rPr>
                <w:rFonts w:cs="Arial"/>
                <w:sz w:val="16"/>
                <w:szCs w:val="16"/>
              </w:rPr>
              <w:t>E</w:t>
            </w:r>
            <w:r w:rsidR="00DB1C19" w:rsidRPr="00464DD7">
              <w:rPr>
                <w:rFonts w:cs="Arial"/>
                <w:sz w:val="16"/>
                <w:szCs w:val="16"/>
              </w:rPr>
              <w:t>nsure operators are trained in abnormal firing indications and safe response actions.</w:t>
            </w:r>
          </w:p>
        </w:tc>
        <w:tc>
          <w:tcPr>
            <w:tcW w:w="1134" w:type="dxa"/>
            <w:hideMark/>
          </w:tcPr>
          <w:p w14:paraId="03BF3EDE" w14:textId="77777777" w:rsidR="00DB1C19" w:rsidRPr="00464DD7" w:rsidRDefault="00DB1C19" w:rsidP="00DB1C19">
            <w:pPr>
              <w:spacing w:line="240" w:lineRule="auto"/>
              <w:jc w:val="left"/>
              <w:rPr>
                <w:rFonts w:cs="Arial"/>
                <w:sz w:val="16"/>
                <w:szCs w:val="16"/>
              </w:rPr>
            </w:pPr>
            <w:r w:rsidRPr="00464DD7">
              <w:rPr>
                <w:rFonts w:cs="Arial"/>
                <w:sz w:val="16"/>
                <w:szCs w:val="16"/>
              </w:rPr>
              <w:t>Remote</w:t>
            </w:r>
          </w:p>
        </w:tc>
        <w:tc>
          <w:tcPr>
            <w:tcW w:w="1134" w:type="dxa"/>
            <w:hideMark/>
          </w:tcPr>
          <w:p w14:paraId="5ADB8B16" w14:textId="77777777" w:rsidR="00DB1C19" w:rsidRPr="00464DD7" w:rsidRDefault="00DB1C19" w:rsidP="00DB1C19">
            <w:pPr>
              <w:spacing w:line="240" w:lineRule="auto"/>
              <w:jc w:val="left"/>
              <w:rPr>
                <w:rFonts w:cs="Arial"/>
                <w:sz w:val="16"/>
                <w:szCs w:val="16"/>
              </w:rPr>
            </w:pPr>
            <w:r w:rsidRPr="00464DD7">
              <w:rPr>
                <w:rFonts w:cs="Arial"/>
                <w:sz w:val="16"/>
                <w:szCs w:val="16"/>
              </w:rPr>
              <w:t>Critical</w:t>
            </w:r>
          </w:p>
        </w:tc>
        <w:tc>
          <w:tcPr>
            <w:tcW w:w="851" w:type="dxa"/>
            <w:shd w:val="clear" w:color="auto" w:fill="FFFF00"/>
            <w:hideMark/>
          </w:tcPr>
          <w:p w14:paraId="3373ACED" w14:textId="77777777" w:rsidR="00DB1C19" w:rsidRPr="00464DD7" w:rsidRDefault="00DB1C19" w:rsidP="00090183">
            <w:pPr>
              <w:spacing w:line="240" w:lineRule="auto"/>
              <w:jc w:val="center"/>
              <w:rPr>
                <w:rFonts w:cs="Arial"/>
                <w:b/>
                <w:bCs/>
                <w:sz w:val="16"/>
                <w:szCs w:val="16"/>
              </w:rPr>
            </w:pPr>
            <w:r w:rsidRPr="00464DD7">
              <w:rPr>
                <w:rFonts w:cs="Arial"/>
                <w:b/>
                <w:bCs/>
                <w:sz w:val="16"/>
                <w:szCs w:val="16"/>
              </w:rPr>
              <w:t>C</w:t>
            </w:r>
          </w:p>
        </w:tc>
        <w:tc>
          <w:tcPr>
            <w:tcW w:w="2131" w:type="dxa"/>
            <w:hideMark/>
          </w:tcPr>
          <w:p w14:paraId="77BDC315" w14:textId="16C86149" w:rsidR="00DB1C19" w:rsidRPr="00464DD7" w:rsidRDefault="00284E97" w:rsidP="00DB1C19">
            <w:pPr>
              <w:spacing w:line="240" w:lineRule="auto"/>
              <w:jc w:val="left"/>
              <w:rPr>
                <w:rFonts w:cs="Arial"/>
                <w:sz w:val="16"/>
                <w:szCs w:val="16"/>
              </w:rPr>
            </w:pPr>
            <w:r w:rsidRPr="00284E97">
              <w:rPr>
                <w:rFonts w:cs="Arial"/>
                <w:sz w:val="16"/>
                <w:szCs w:val="16"/>
              </w:rPr>
              <w:t>Inspection, correct assembly, authorised ammunition, component-life control and misfire procedures reduce the likelihood of loss of containment. Severity remains Critical because a breech or obturation failure could still cause fatal or long-term harm</w:t>
            </w:r>
            <w:r w:rsidR="00DB1C19" w:rsidRPr="00464DD7">
              <w:rPr>
                <w:rFonts w:cs="Arial"/>
                <w:sz w:val="16"/>
                <w:szCs w:val="16"/>
              </w:rPr>
              <w:t>.</w:t>
            </w:r>
          </w:p>
        </w:tc>
      </w:tr>
      <w:tr w:rsidR="00353617" w:rsidRPr="00464DD7" w14:paraId="395D061A" w14:textId="77777777" w:rsidTr="001F0816">
        <w:trPr>
          <w:trHeight w:val="2475"/>
          <w:jc w:val="center"/>
        </w:trPr>
        <w:tc>
          <w:tcPr>
            <w:tcW w:w="1001" w:type="dxa"/>
            <w:hideMark/>
          </w:tcPr>
          <w:p w14:paraId="720D4F50" w14:textId="77777777" w:rsidR="00DB1C19" w:rsidRPr="00464DD7" w:rsidRDefault="00DB1C19" w:rsidP="00DB1C19">
            <w:pPr>
              <w:spacing w:line="240" w:lineRule="auto"/>
              <w:jc w:val="left"/>
              <w:rPr>
                <w:rFonts w:cs="Arial"/>
                <w:sz w:val="16"/>
                <w:szCs w:val="16"/>
              </w:rPr>
            </w:pPr>
            <w:r w:rsidRPr="00464DD7">
              <w:rPr>
                <w:rFonts w:cs="Arial"/>
                <w:sz w:val="16"/>
                <w:szCs w:val="16"/>
              </w:rPr>
              <w:lastRenderedPageBreak/>
              <w:t>Heat</w:t>
            </w:r>
          </w:p>
        </w:tc>
        <w:tc>
          <w:tcPr>
            <w:tcW w:w="5231" w:type="dxa"/>
            <w:hideMark/>
          </w:tcPr>
          <w:p w14:paraId="08DC3D09" w14:textId="77777777" w:rsidR="00C61652" w:rsidRPr="00464DD7" w:rsidRDefault="00DB1C19" w:rsidP="00C61652">
            <w:pPr>
              <w:pStyle w:val="ListParagraph"/>
              <w:numPr>
                <w:ilvl w:val="0"/>
                <w:numId w:val="85"/>
              </w:numPr>
              <w:spacing w:line="240" w:lineRule="auto"/>
              <w:jc w:val="left"/>
              <w:rPr>
                <w:rFonts w:cs="Arial"/>
                <w:sz w:val="16"/>
                <w:szCs w:val="16"/>
              </w:rPr>
            </w:pPr>
            <w:r w:rsidRPr="00464DD7">
              <w:rPr>
                <w:rFonts w:cs="Arial"/>
                <w:sz w:val="16"/>
                <w:szCs w:val="16"/>
              </w:rPr>
              <w:t>Apply cooling periods after repeated firing</w:t>
            </w:r>
            <w:r w:rsidR="00C61652" w:rsidRPr="00464DD7">
              <w:rPr>
                <w:rFonts w:cs="Arial"/>
                <w:sz w:val="16"/>
                <w:szCs w:val="16"/>
              </w:rPr>
              <w:t>.</w:t>
            </w:r>
          </w:p>
          <w:p w14:paraId="5CD50F11" w14:textId="77777777" w:rsidR="00C61652" w:rsidRPr="00464DD7" w:rsidRDefault="00C61652" w:rsidP="00C61652">
            <w:pPr>
              <w:pStyle w:val="ListParagraph"/>
              <w:numPr>
                <w:ilvl w:val="0"/>
                <w:numId w:val="85"/>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thermal gloves, tools or handling aids for hot components and casings</w:t>
            </w:r>
            <w:r w:rsidRPr="00464DD7">
              <w:rPr>
                <w:rFonts w:cs="Arial"/>
                <w:sz w:val="16"/>
                <w:szCs w:val="16"/>
              </w:rPr>
              <w:t>.</w:t>
            </w:r>
          </w:p>
          <w:p w14:paraId="44989216" w14:textId="77777777" w:rsidR="00C61652" w:rsidRPr="00464DD7" w:rsidRDefault="00C61652" w:rsidP="00C61652">
            <w:pPr>
              <w:pStyle w:val="ListParagraph"/>
              <w:numPr>
                <w:ilvl w:val="0"/>
                <w:numId w:val="85"/>
              </w:numPr>
              <w:spacing w:line="240" w:lineRule="auto"/>
              <w:jc w:val="left"/>
              <w:rPr>
                <w:rFonts w:cs="Arial"/>
                <w:sz w:val="16"/>
                <w:szCs w:val="16"/>
              </w:rPr>
            </w:pPr>
            <w:r w:rsidRPr="00464DD7">
              <w:rPr>
                <w:rFonts w:cs="Arial"/>
                <w:sz w:val="16"/>
                <w:szCs w:val="16"/>
              </w:rPr>
              <w:t>I</w:t>
            </w:r>
            <w:r w:rsidR="00DB1C19" w:rsidRPr="00464DD7">
              <w:rPr>
                <w:rFonts w:cs="Arial"/>
                <w:sz w:val="16"/>
                <w:szCs w:val="16"/>
              </w:rPr>
              <w:t>dentify hot surfaces through training and warning procedures</w:t>
            </w:r>
            <w:r w:rsidRPr="00464DD7">
              <w:rPr>
                <w:rFonts w:cs="Arial"/>
                <w:sz w:val="16"/>
                <w:szCs w:val="16"/>
              </w:rPr>
              <w:t>.</w:t>
            </w:r>
          </w:p>
          <w:p w14:paraId="6FFD8CD9" w14:textId="77777777" w:rsidR="00C61652" w:rsidRPr="00464DD7" w:rsidRDefault="00C61652" w:rsidP="00C61652">
            <w:pPr>
              <w:pStyle w:val="ListParagraph"/>
              <w:numPr>
                <w:ilvl w:val="0"/>
                <w:numId w:val="85"/>
              </w:numPr>
              <w:spacing w:line="240" w:lineRule="auto"/>
              <w:jc w:val="left"/>
              <w:rPr>
                <w:rFonts w:cs="Arial"/>
                <w:sz w:val="16"/>
                <w:szCs w:val="16"/>
              </w:rPr>
            </w:pPr>
            <w:r w:rsidRPr="00464DD7">
              <w:rPr>
                <w:rFonts w:cs="Arial"/>
                <w:sz w:val="16"/>
                <w:szCs w:val="16"/>
              </w:rPr>
              <w:t>K</w:t>
            </w:r>
            <w:r w:rsidR="00DB1C19" w:rsidRPr="00464DD7">
              <w:rPr>
                <w:rFonts w:cs="Arial"/>
                <w:sz w:val="16"/>
                <w:szCs w:val="16"/>
              </w:rPr>
              <w:t>eep flammable material away from hot areas</w:t>
            </w:r>
            <w:r w:rsidRPr="00464DD7">
              <w:rPr>
                <w:rFonts w:cs="Arial"/>
                <w:sz w:val="16"/>
                <w:szCs w:val="16"/>
              </w:rPr>
              <w:t>.</w:t>
            </w:r>
          </w:p>
          <w:p w14:paraId="4B95549D" w14:textId="77777777" w:rsidR="00C61652" w:rsidRPr="00464DD7" w:rsidRDefault="00C61652" w:rsidP="00C61652">
            <w:pPr>
              <w:pStyle w:val="ListParagraph"/>
              <w:numPr>
                <w:ilvl w:val="0"/>
                <w:numId w:val="85"/>
              </w:numPr>
              <w:spacing w:line="240" w:lineRule="auto"/>
              <w:jc w:val="left"/>
              <w:rPr>
                <w:rFonts w:cs="Arial"/>
                <w:sz w:val="16"/>
                <w:szCs w:val="16"/>
              </w:rPr>
            </w:pPr>
            <w:r w:rsidRPr="00464DD7">
              <w:rPr>
                <w:rFonts w:cs="Arial"/>
                <w:sz w:val="16"/>
                <w:szCs w:val="16"/>
              </w:rPr>
              <w:t>I</w:t>
            </w:r>
            <w:r w:rsidR="00DB1C19" w:rsidRPr="00464DD7">
              <w:rPr>
                <w:rFonts w:cs="Arial"/>
                <w:sz w:val="16"/>
                <w:szCs w:val="16"/>
              </w:rPr>
              <w:t>nspect for overheating or heat-related damage</w:t>
            </w:r>
            <w:r w:rsidRPr="00464DD7">
              <w:rPr>
                <w:rFonts w:cs="Arial"/>
                <w:sz w:val="16"/>
                <w:szCs w:val="16"/>
              </w:rPr>
              <w:t>.</w:t>
            </w:r>
          </w:p>
          <w:p w14:paraId="5A648A7F" w14:textId="77777777" w:rsidR="00C61652" w:rsidRPr="00464DD7" w:rsidRDefault="00C61652" w:rsidP="00C61652">
            <w:pPr>
              <w:pStyle w:val="ListParagraph"/>
              <w:numPr>
                <w:ilvl w:val="0"/>
                <w:numId w:val="85"/>
              </w:numPr>
              <w:spacing w:line="240" w:lineRule="auto"/>
              <w:jc w:val="left"/>
              <w:rPr>
                <w:rFonts w:cs="Arial"/>
                <w:sz w:val="16"/>
                <w:szCs w:val="16"/>
              </w:rPr>
            </w:pPr>
            <w:r w:rsidRPr="00464DD7">
              <w:rPr>
                <w:rFonts w:cs="Arial"/>
                <w:sz w:val="16"/>
                <w:szCs w:val="16"/>
              </w:rPr>
              <w:t>A</w:t>
            </w:r>
            <w:r w:rsidR="00DB1C19" w:rsidRPr="00464DD7">
              <w:rPr>
                <w:rFonts w:cs="Arial"/>
                <w:sz w:val="16"/>
                <w:szCs w:val="16"/>
              </w:rPr>
              <w:t>void unnecessary contact with the system after firing</w:t>
            </w:r>
            <w:r w:rsidRPr="00464DD7">
              <w:rPr>
                <w:rFonts w:cs="Arial"/>
                <w:sz w:val="16"/>
                <w:szCs w:val="16"/>
              </w:rPr>
              <w:t xml:space="preserve">. </w:t>
            </w:r>
          </w:p>
          <w:p w14:paraId="70D39274" w14:textId="77777777" w:rsidR="00C61652" w:rsidRPr="00464DD7" w:rsidRDefault="00C61652" w:rsidP="00C61652">
            <w:pPr>
              <w:pStyle w:val="ListParagraph"/>
              <w:numPr>
                <w:ilvl w:val="0"/>
                <w:numId w:val="85"/>
              </w:numPr>
              <w:spacing w:line="240" w:lineRule="auto"/>
              <w:jc w:val="left"/>
              <w:rPr>
                <w:rFonts w:cs="Arial"/>
                <w:sz w:val="16"/>
                <w:szCs w:val="16"/>
              </w:rPr>
            </w:pPr>
            <w:r w:rsidRPr="00464DD7">
              <w:rPr>
                <w:rFonts w:cs="Arial"/>
                <w:sz w:val="16"/>
                <w:szCs w:val="16"/>
              </w:rPr>
              <w:t>A</w:t>
            </w:r>
            <w:r w:rsidR="00DB1C19" w:rsidRPr="00464DD7">
              <w:rPr>
                <w:rFonts w:cs="Arial"/>
                <w:sz w:val="16"/>
                <w:szCs w:val="16"/>
              </w:rPr>
              <w:t>llow sufficient cool-down before maintenance</w:t>
            </w:r>
            <w:r w:rsidRPr="00464DD7">
              <w:rPr>
                <w:rFonts w:cs="Arial"/>
                <w:sz w:val="16"/>
                <w:szCs w:val="16"/>
              </w:rPr>
              <w:t>.</w:t>
            </w:r>
          </w:p>
          <w:p w14:paraId="03A89DFC" w14:textId="7FA65F87" w:rsidR="00DB1C19" w:rsidRPr="00464DD7" w:rsidRDefault="00C61652" w:rsidP="00C61652">
            <w:pPr>
              <w:pStyle w:val="ListParagraph"/>
              <w:numPr>
                <w:ilvl w:val="0"/>
                <w:numId w:val="85"/>
              </w:numPr>
              <w:spacing w:line="240" w:lineRule="auto"/>
              <w:jc w:val="left"/>
              <w:rPr>
                <w:rFonts w:cs="Arial"/>
                <w:sz w:val="16"/>
                <w:szCs w:val="16"/>
              </w:rPr>
            </w:pPr>
            <w:r w:rsidRPr="00464DD7">
              <w:rPr>
                <w:rFonts w:cs="Arial"/>
                <w:sz w:val="16"/>
                <w:szCs w:val="16"/>
              </w:rPr>
              <w:t>M</w:t>
            </w:r>
            <w:r w:rsidR="00DB1C19" w:rsidRPr="00464DD7">
              <w:rPr>
                <w:rFonts w:cs="Arial"/>
                <w:sz w:val="16"/>
                <w:szCs w:val="16"/>
              </w:rPr>
              <w:t>onitor for electrical faults or other causes of abnormal heating.</w:t>
            </w:r>
          </w:p>
        </w:tc>
        <w:tc>
          <w:tcPr>
            <w:tcW w:w="1134" w:type="dxa"/>
            <w:hideMark/>
          </w:tcPr>
          <w:p w14:paraId="76C19201" w14:textId="07338668" w:rsidR="00DB1C19" w:rsidRPr="00464DD7" w:rsidRDefault="00353617" w:rsidP="00DB1C19">
            <w:pPr>
              <w:spacing w:line="240" w:lineRule="auto"/>
              <w:jc w:val="left"/>
              <w:rPr>
                <w:rFonts w:cs="Arial"/>
                <w:sz w:val="16"/>
                <w:szCs w:val="16"/>
              </w:rPr>
            </w:pPr>
            <w:r>
              <w:rPr>
                <w:rFonts w:cs="Arial"/>
                <w:sz w:val="16"/>
                <w:szCs w:val="16"/>
              </w:rPr>
              <w:t>Occasional</w:t>
            </w:r>
          </w:p>
        </w:tc>
        <w:tc>
          <w:tcPr>
            <w:tcW w:w="1134" w:type="dxa"/>
            <w:hideMark/>
          </w:tcPr>
          <w:p w14:paraId="7B0B18CF" w14:textId="2653E3C2" w:rsidR="00DB1C19" w:rsidRPr="00464DD7" w:rsidRDefault="00E10B57" w:rsidP="00DB1C19">
            <w:pPr>
              <w:spacing w:line="240" w:lineRule="auto"/>
              <w:jc w:val="left"/>
              <w:rPr>
                <w:rFonts w:cs="Arial"/>
                <w:sz w:val="16"/>
                <w:szCs w:val="16"/>
              </w:rPr>
            </w:pPr>
            <w:r>
              <w:rPr>
                <w:rFonts w:cs="Arial"/>
                <w:sz w:val="16"/>
                <w:szCs w:val="16"/>
              </w:rPr>
              <w:t>Marginal</w:t>
            </w:r>
          </w:p>
        </w:tc>
        <w:tc>
          <w:tcPr>
            <w:tcW w:w="851" w:type="dxa"/>
            <w:shd w:val="clear" w:color="auto" w:fill="FFFF00"/>
            <w:hideMark/>
          </w:tcPr>
          <w:p w14:paraId="73C3C557" w14:textId="77777777" w:rsidR="00DB1C19" w:rsidRPr="00464DD7" w:rsidRDefault="00DB1C19" w:rsidP="00090183">
            <w:pPr>
              <w:spacing w:line="240" w:lineRule="auto"/>
              <w:jc w:val="center"/>
              <w:rPr>
                <w:rFonts w:cs="Arial"/>
                <w:b/>
                <w:bCs/>
                <w:sz w:val="16"/>
                <w:szCs w:val="16"/>
              </w:rPr>
            </w:pPr>
            <w:r w:rsidRPr="00464DD7">
              <w:rPr>
                <w:rFonts w:cs="Arial"/>
                <w:b/>
                <w:bCs/>
                <w:sz w:val="16"/>
                <w:szCs w:val="16"/>
              </w:rPr>
              <w:t>C</w:t>
            </w:r>
          </w:p>
        </w:tc>
        <w:tc>
          <w:tcPr>
            <w:tcW w:w="2131" w:type="dxa"/>
            <w:hideMark/>
          </w:tcPr>
          <w:p w14:paraId="38769C75" w14:textId="0BE00608" w:rsidR="00DB1C19" w:rsidRPr="00464DD7" w:rsidRDefault="00E10B57" w:rsidP="00DB1C19">
            <w:pPr>
              <w:spacing w:line="240" w:lineRule="auto"/>
              <w:jc w:val="left"/>
              <w:rPr>
                <w:rFonts w:cs="Arial"/>
                <w:sz w:val="16"/>
                <w:szCs w:val="16"/>
              </w:rPr>
            </w:pPr>
            <w:r w:rsidRPr="00E10B57">
              <w:rPr>
                <w:rFonts w:cs="Arial"/>
                <w:sz w:val="16"/>
                <w:szCs w:val="16"/>
              </w:rPr>
              <w:t xml:space="preserve">Heat </w:t>
            </w:r>
            <w:r w:rsidR="00353617" w:rsidRPr="00353617">
              <w:rPr>
                <w:rFonts w:cs="Arial"/>
                <w:sz w:val="16"/>
                <w:szCs w:val="16"/>
              </w:rPr>
              <w:t>is an expected result of firing, so the hazard cannot be removed. Cooling periods, handling aids, warnings and controlled access reduce the likelihood of harmful contact or ignition to Occasional. The rating should be reviewed where firing rates, ambient temperature or maintenance demands prevent adequate cooling.</w:t>
            </w:r>
          </w:p>
        </w:tc>
      </w:tr>
      <w:tr w:rsidR="00353617" w:rsidRPr="00464DD7" w14:paraId="32584C02" w14:textId="77777777" w:rsidTr="001F0816">
        <w:trPr>
          <w:trHeight w:val="2117"/>
          <w:jc w:val="center"/>
        </w:trPr>
        <w:tc>
          <w:tcPr>
            <w:tcW w:w="1001" w:type="dxa"/>
            <w:hideMark/>
          </w:tcPr>
          <w:p w14:paraId="1CE247FF" w14:textId="1C711BED" w:rsidR="00DB1C19" w:rsidRPr="00464DD7" w:rsidRDefault="00DB1C19" w:rsidP="00DB1C19">
            <w:pPr>
              <w:spacing w:line="240" w:lineRule="auto"/>
              <w:jc w:val="left"/>
              <w:rPr>
                <w:rFonts w:cs="Arial"/>
                <w:sz w:val="16"/>
                <w:szCs w:val="16"/>
              </w:rPr>
            </w:pPr>
            <w:r w:rsidRPr="00464DD7">
              <w:rPr>
                <w:rFonts w:cs="Arial"/>
                <w:sz w:val="16"/>
                <w:szCs w:val="16"/>
              </w:rPr>
              <w:t>Noise</w:t>
            </w:r>
            <w:r w:rsidR="00DA6812">
              <w:rPr>
                <w:rFonts w:cs="Arial"/>
                <w:sz w:val="16"/>
                <w:szCs w:val="16"/>
              </w:rPr>
              <w:br/>
              <w:t>[1</w:t>
            </w:r>
            <w:r w:rsidR="00EA742A">
              <w:rPr>
                <w:rFonts w:cs="Arial"/>
                <w:sz w:val="16"/>
                <w:szCs w:val="16"/>
              </w:rPr>
              <w:t>3</w:t>
            </w:r>
            <w:r w:rsidR="00DA6812">
              <w:rPr>
                <w:rFonts w:cs="Arial"/>
                <w:sz w:val="16"/>
                <w:szCs w:val="16"/>
              </w:rPr>
              <w:t>]</w:t>
            </w:r>
          </w:p>
        </w:tc>
        <w:tc>
          <w:tcPr>
            <w:tcW w:w="5231" w:type="dxa"/>
            <w:hideMark/>
          </w:tcPr>
          <w:p w14:paraId="59C115C4" w14:textId="77777777" w:rsidR="00C61652" w:rsidRPr="00464DD7" w:rsidRDefault="00DB1C19" w:rsidP="00C61652">
            <w:pPr>
              <w:pStyle w:val="ListParagraph"/>
              <w:numPr>
                <w:ilvl w:val="0"/>
                <w:numId w:val="86"/>
              </w:numPr>
              <w:spacing w:line="240" w:lineRule="auto"/>
              <w:jc w:val="left"/>
              <w:rPr>
                <w:rFonts w:cs="Arial"/>
                <w:sz w:val="16"/>
                <w:szCs w:val="16"/>
              </w:rPr>
            </w:pPr>
            <w:r w:rsidRPr="00464DD7">
              <w:rPr>
                <w:rFonts w:cs="Arial"/>
                <w:sz w:val="16"/>
                <w:szCs w:val="16"/>
              </w:rPr>
              <w:t>Establish and enforce exclusion zones</w:t>
            </w:r>
            <w:r w:rsidR="00C61652" w:rsidRPr="00464DD7">
              <w:rPr>
                <w:rFonts w:cs="Arial"/>
                <w:sz w:val="16"/>
                <w:szCs w:val="16"/>
              </w:rPr>
              <w:t>.</w:t>
            </w:r>
          </w:p>
          <w:p w14:paraId="26B2D28B" w14:textId="77777777" w:rsidR="00C61652" w:rsidRPr="00464DD7" w:rsidRDefault="00C61652" w:rsidP="00C61652">
            <w:pPr>
              <w:pStyle w:val="ListParagraph"/>
              <w:numPr>
                <w:ilvl w:val="0"/>
                <w:numId w:val="86"/>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suitable hearing protection, including double hearing protection where required</w:t>
            </w:r>
            <w:r w:rsidRPr="00464DD7">
              <w:rPr>
                <w:rFonts w:cs="Arial"/>
                <w:sz w:val="16"/>
                <w:szCs w:val="16"/>
              </w:rPr>
              <w:t>.</w:t>
            </w:r>
          </w:p>
          <w:p w14:paraId="07566149" w14:textId="77777777" w:rsidR="00C61652" w:rsidRPr="00464DD7" w:rsidRDefault="00C61652" w:rsidP="00C61652">
            <w:pPr>
              <w:pStyle w:val="ListParagraph"/>
              <w:numPr>
                <w:ilvl w:val="0"/>
                <w:numId w:val="86"/>
              </w:numPr>
              <w:spacing w:line="240" w:lineRule="auto"/>
              <w:jc w:val="left"/>
              <w:rPr>
                <w:rFonts w:cs="Arial"/>
                <w:sz w:val="16"/>
                <w:szCs w:val="16"/>
              </w:rPr>
            </w:pPr>
            <w:r w:rsidRPr="00464DD7">
              <w:rPr>
                <w:rFonts w:cs="Arial"/>
                <w:sz w:val="16"/>
                <w:szCs w:val="16"/>
              </w:rPr>
              <w:t>D</w:t>
            </w:r>
            <w:r w:rsidR="00DB1C19" w:rsidRPr="00464DD7">
              <w:rPr>
                <w:rFonts w:cs="Arial"/>
                <w:sz w:val="16"/>
                <w:szCs w:val="16"/>
              </w:rPr>
              <w:t>isplay warnings and brief personnel before firing</w:t>
            </w:r>
            <w:r w:rsidRPr="00464DD7">
              <w:rPr>
                <w:rFonts w:cs="Arial"/>
                <w:sz w:val="16"/>
                <w:szCs w:val="16"/>
              </w:rPr>
              <w:t>.</w:t>
            </w:r>
          </w:p>
          <w:p w14:paraId="61D24BB6" w14:textId="77777777" w:rsidR="00C61652" w:rsidRPr="00464DD7" w:rsidRDefault="00C61652" w:rsidP="00C61652">
            <w:pPr>
              <w:pStyle w:val="ListParagraph"/>
              <w:numPr>
                <w:ilvl w:val="0"/>
                <w:numId w:val="86"/>
              </w:numPr>
              <w:spacing w:line="240" w:lineRule="auto"/>
              <w:jc w:val="left"/>
              <w:rPr>
                <w:rFonts w:cs="Arial"/>
                <w:sz w:val="16"/>
                <w:szCs w:val="16"/>
              </w:rPr>
            </w:pPr>
            <w:r w:rsidRPr="00464DD7">
              <w:rPr>
                <w:rFonts w:cs="Arial"/>
                <w:sz w:val="16"/>
                <w:szCs w:val="16"/>
              </w:rPr>
              <w:t>L</w:t>
            </w:r>
            <w:r w:rsidR="00DB1C19" w:rsidRPr="00464DD7">
              <w:rPr>
                <w:rFonts w:cs="Arial"/>
                <w:sz w:val="16"/>
                <w:szCs w:val="16"/>
              </w:rPr>
              <w:t>imit exposure duration</w:t>
            </w:r>
            <w:r w:rsidRPr="00464DD7">
              <w:rPr>
                <w:rFonts w:cs="Arial"/>
                <w:sz w:val="16"/>
                <w:szCs w:val="16"/>
              </w:rPr>
              <w:t>.</w:t>
            </w:r>
          </w:p>
          <w:p w14:paraId="29C876F8" w14:textId="77777777" w:rsidR="00C61652" w:rsidRPr="00464DD7" w:rsidRDefault="00C61652" w:rsidP="00C61652">
            <w:pPr>
              <w:pStyle w:val="ListParagraph"/>
              <w:numPr>
                <w:ilvl w:val="0"/>
                <w:numId w:val="86"/>
              </w:numPr>
              <w:spacing w:line="240" w:lineRule="auto"/>
              <w:jc w:val="left"/>
              <w:rPr>
                <w:rFonts w:cs="Arial"/>
                <w:sz w:val="16"/>
                <w:szCs w:val="16"/>
              </w:rPr>
            </w:pPr>
            <w:r w:rsidRPr="00464DD7">
              <w:rPr>
                <w:rFonts w:cs="Arial"/>
                <w:sz w:val="16"/>
                <w:szCs w:val="16"/>
              </w:rPr>
              <w:t>C</w:t>
            </w:r>
            <w:r w:rsidR="00DB1C19" w:rsidRPr="00464DD7">
              <w:rPr>
                <w:rFonts w:cs="Arial"/>
                <w:sz w:val="16"/>
                <w:szCs w:val="16"/>
              </w:rPr>
              <w:t>onduct firing in controlled areas</w:t>
            </w:r>
            <w:r w:rsidRPr="00464DD7">
              <w:rPr>
                <w:rFonts w:cs="Arial"/>
                <w:sz w:val="16"/>
                <w:szCs w:val="16"/>
              </w:rPr>
              <w:t>.</w:t>
            </w:r>
          </w:p>
          <w:p w14:paraId="49E04C4B" w14:textId="77777777" w:rsidR="00C61652" w:rsidRPr="00464DD7" w:rsidRDefault="00C61652" w:rsidP="00C61652">
            <w:pPr>
              <w:pStyle w:val="ListParagraph"/>
              <w:numPr>
                <w:ilvl w:val="0"/>
                <w:numId w:val="86"/>
              </w:numPr>
              <w:spacing w:line="240" w:lineRule="auto"/>
              <w:jc w:val="left"/>
              <w:rPr>
                <w:rFonts w:cs="Arial"/>
                <w:sz w:val="16"/>
                <w:szCs w:val="16"/>
              </w:rPr>
            </w:pPr>
            <w:r w:rsidRPr="00464DD7">
              <w:rPr>
                <w:rFonts w:cs="Arial"/>
                <w:sz w:val="16"/>
                <w:szCs w:val="16"/>
              </w:rPr>
              <w:t>U</w:t>
            </w:r>
            <w:r w:rsidR="00DB1C19" w:rsidRPr="00464DD7">
              <w:rPr>
                <w:rFonts w:cs="Arial"/>
                <w:sz w:val="16"/>
                <w:szCs w:val="16"/>
              </w:rPr>
              <w:t>se communication procedures suitable for high-noise environments</w:t>
            </w:r>
            <w:r w:rsidRPr="00464DD7">
              <w:rPr>
                <w:rFonts w:cs="Arial"/>
                <w:sz w:val="16"/>
                <w:szCs w:val="16"/>
              </w:rPr>
              <w:t>.</w:t>
            </w:r>
          </w:p>
          <w:p w14:paraId="35D01931" w14:textId="77777777" w:rsidR="00C61652" w:rsidRPr="00464DD7" w:rsidRDefault="00C61652" w:rsidP="00C61652">
            <w:pPr>
              <w:pStyle w:val="ListParagraph"/>
              <w:numPr>
                <w:ilvl w:val="0"/>
                <w:numId w:val="86"/>
              </w:numPr>
              <w:spacing w:line="240" w:lineRule="auto"/>
              <w:jc w:val="left"/>
              <w:rPr>
                <w:rFonts w:cs="Arial"/>
                <w:sz w:val="16"/>
                <w:szCs w:val="16"/>
              </w:rPr>
            </w:pPr>
            <w:r w:rsidRPr="00464DD7">
              <w:rPr>
                <w:rFonts w:cs="Arial"/>
                <w:sz w:val="16"/>
                <w:szCs w:val="16"/>
              </w:rPr>
              <w:t>C</w:t>
            </w:r>
            <w:r w:rsidR="00DB1C19" w:rsidRPr="00464DD7">
              <w:rPr>
                <w:rFonts w:cs="Arial"/>
                <w:sz w:val="16"/>
                <w:szCs w:val="16"/>
              </w:rPr>
              <w:t>onsider noise assessments for repeated activity</w:t>
            </w:r>
            <w:r w:rsidRPr="00464DD7">
              <w:rPr>
                <w:rFonts w:cs="Arial"/>
                <w:sz w:val="16"/>
                <w:szCs w:val="16"/>
              </w:rPr>
              <w:t>.</w:t>
            </w:r>
          </w:p>
          <w:p w14:paraId="36512D68" w14:textId="77777777" w:rsidR="00C61652" w:rsidRPr="00464DD7" w:rsidRDefault="00C61652" w:rsidP="00C61652">
            <w:pPr>
              <w:pStyle w:val="ListParagraph"/>
              <w:numPr>
                <w:ilvl w:val="0"/>
                <w:numId w:val="86"/>
              </w:numPr>
              <w:spacing w:line="240" w:lineRule="auto"/>
              <w:jc w:val="left"/>
              <w:rPr>
                <w:rFonts w:cs="Arial"/>
                <w:sz w:val="16"/>
                <w:szCs w:val="16"/>
              </w:rPr>
            </w:pPr>
            <w:r w:rsidRPr="00464DD7">
              <w:rPr>
                <w:rFonts w:cs="Arial"/>
                <w:sz w:val="16"/>
                <w:szCs w:val="16"/>
              </w:rPr>
              <w:t>I</w:t>
            </w:r>
            <w:r w:rsidR="00DB1C19" w:rsidRPr="00464DD7">
              <w:rPr>
                <w:rFonts w:cs="Arial"/>
                <w:sz w:val="16"/>
                <w:szCs w:val="16"/>
              </w:rPr>
              <w:t>nform relevant personnel or local stakeholders where required</w:t>
            </w:r>
            <w:r w:rsidRPr="00464DD7">
              <w:rPr>
                <w:rFonts w:cs="Arial"/>
                <w:sz w:val="16"/>
                <w:szCs w:val="16"/>
              </w:rPr>
              <w:t xml:space="preserve">. </w:t>
            </w:r>
          </w:p>
          <w:p w14:paraId="2FF0CD04" w14:textId="6347C5B2" w:rsidR="00DB1C19" w:rsidRPr="00464DD7" w:rsidRDefault="00C61652" w:rsidP="00C61652">
            <w:pPr>
              <w:pStyle w:val="ListParagraph"/>
              <w:numPr>
                <w:ilvl w:val="0"/>
                <w:numId w:val="86"/>
              </w:numPr>
              <w:spacing w:line="240" w:lineRule="auto"/>
              <w:jc w:val="left"/>
              <w:rPr>
                <w:rFonts w:cs="Arial"/>
                <w:sz w:val="16"/>
                <w:szCs w:val="16"/>
              </w:rPr>
            </w:pPr>
            <w:r w:rsidRPr="00464DD7">
              <w:rPr>
                <w:rFonts w:cs="Arial"/>
                <w:sz w:val="16"/>
                <w:szCs w:val="16"/>
              </w:rPr>
              <w:t>E</w:t>
            </w:r>
            <w:r w:rsidR="00DB1C19" w:rsidRPr="00464DD7">
              <w:rPr>
                <w:rFonts w:cs="Arial"/>
                <w:sz w:val="16"/>
                <w:szCs w:val="16"/>
              </w:rPr>
              <w:t>nsure hearing protection is available, serviceable and correctly worn.</w:t>
            </w:r>
          </w:p>
        </w:tc>
        <w:tc>
          <w:tcPr>
            <w:tcW w:w="1134" w:type="dxa"/>
            <w:hideMark/>
          </w:tcPr>
          <w:p w14:paraId="43F5E1F4" w14:textId="77777777" w:rsidR="00DB1C19" w:rsidRPr="00464DD7" w:rsidRDefault="00DB1C19" w:rsidP="00DB1C19">
            <w:pPr>
              <w:spacing w:line="240" w:lineRule="auto"/>
              <w:jc w:val="left"/>
              <w:rPr>
                <w:rFonts w:cs="Arial"/>
                <w:sz w:val="16"/>
                <w:szCs w:val="16"/>
              </w:rPr>
            </w:pPr>
            <w:r w:rsidRPr="00464DD7">
              <w:rPr>
                <w:rFonts w:cs="Arial"/>
                <w:sz w:val="16"/>
                <w:szCs w:val="16"/>
              </w:rPr>
              <w:t>Remote</w:t>
            </w:r>
          </w:p>
        </w:tc>
        <w:tc>
          <w:tcPr>
            <w:tcW w:w="1134" w:type="dxa"/>
            <w:hideMark/>
          </w:tcPr>
          <w:p w14:paraId="4AEA1CC4" w14:textId="7D88BE56" w:rsidR="00DB1C19" w:rsidRPr="00464DD7" w:rsidRDefault="00E10B57" w:rsidP="00DB1C19">
            <w:pPr>
              <w:spacing w:line="240" w:lineRule="auto"/>
              <w:jc w:val="left"/>
              <w:rPr>
                <w:rFonts w:cs="Arial"/>
                <w:sz w:val="16"/>
                <w:szCs w:val="16"/>
              </w:rPr>
            </w:pPr>
            <w:r>
              <w:rPr>
                <w:rFonts w:cs="Arial"/>
                <w:sz w:val="16"/>
                <w:szCs w:val="16"/>
              </w:rPr>
              <w:t>Critical</w:t>
            </w:r>
          </w:p>
        </w:tc>
        <w:tc>
          <w:tcPr>
            <w:tcW w:w="851" w:type="dxa"/>
            <w:shd w:val="clear" w:color="auto" w:fill="FFFF00"/>
            <w:hideMark/>
          </w:tcPr>
          <w:p w14:paraId="125E5DDA" w14:textId="77777777" w:rsidR="00DB1C19" w:rsidRPr="00464DD7" w:rsidRDefault="00DB1C19" w:rsidP="00090183">
            <w:pPr>
              <w:spacing w:line="240" w:lineRule="auto"/>
              <w:jc w:val="center"/>
              <w:rPr>
                <w:rFonts w:cs="Arial"/>
                <w:b/>
                <w:bCs/>
                <w:sz w:val="16"/>
                <w:szCs w:val="16"/>
              </w:rPr>
            </w:pPr>
            <w:r w:rsidRPr="00464DD7">
              <w:rPr>
                <w:rFonts w:cs="Arial"/>
                <w:b/>
                <w:bCs/>
                <w:sz w:val="16"/>
                <w:szCs w:val="16"/>
              </w:rPr>
              <w:t>C</w:t>
            </w:r>
          </w:p>
        </w:tc>
        <w:tc>
          <w:tcPr>
            <w:tcW w:w="2131" w:type="dxa"/>
            <w:hideMark/>
          </w:tcPr>
          <w:p w14:paraId="49433515" w14:textId="7A3E3EDD" w:rsidR="00DB1C19" w:rsidRPr="00464DD7" w:rsidRDefault="00E10B57" w:rsidP="009323BE">
            <w:pPr>
              <w:keepNext/>
              <w:spacing w:line="240" w:lineRule="auto"/>
              <w:jc w:val="left"/>
              <w:rPr>
                <w:rFonts w:cs="Arial"/>
                <w:sz w:val="16"/>
                <w:szCs w:val="16"/>
              </w:rPr>
            </w:pPr>
            <w:r w:rsidRPr="00E10B57">
              <w:rPr>
                <w:rFonts w:cs="Arial"/>
                <w:sz w:val="16"/>
                <w:szCs w:val="16"/>
              </w:rPr>
              <w:t>Exclusion zones, suitable hearing protection, exposure limits and controlled firing procedures reduce the likelihood of harmful exposure. Severity remains Critical because failure or incorrect application of these controls could still result in permanent hearing damage</w:t>
            </w:r>
            <w:r w:rsidR="00DB1C19" w:rsidRPr="00464DD7">
              <w:rPr>
                <w:rFonts w:cs="Arial"/>
                <w:sz w:val="16"/>
                <w:szCs w:val="16"/>
              </w:rPr>
              <w:t>.</w:t>
            </w:r>
          </w:p>
        </w:tc>
      </w:tr>
    </w:tbl>
    <w:p w14:paraId="47052B43" w14:textId="479CD117" w:rsidR="00DB1C19" w:rsidRDefault="009323BE" w:rsidP="009323BE">
      <w:pPr>
        <w:pStyle w:val="Caption"/>
        <w:jc w:val="center"/>
        <w:rPr>
          <w:sz w:val="16"/>
          <w:szCs w:val="16"/>
        </w:rPr>
      </w:pPr>
      <w:r w:rsidRPr="009323BE">
        <w:rPr>
          <w:sz w:val="16"/>
          <w:szCs w:val="16"/>
        </w:rPr>
        <w:t xml:space="preserve">Table </w:t>
      </w:r>
      <w:r w:rsidRPr="009323BE">
        <w:rPr>
          <w:sz w:val="16"/>
          <w:szCs w:val="16"/>
        </w:rPr>
        <w:fldChar w:fldCharType="begin"/>
      </w:r>
      <w:r w:rsidRPr="009323BE">
        <w:rPr>
          <w:sz w:val="16"/>
          <w:szCs w:val="16"/>
        </w:rPr>
        <w:instrText xml:space="preserve"> SEQ Table \* ARABIC </w:instrText>
      </w:r>
      <w:r w:rsidRPr="009323BE">
        <w:rPr>
          <w:sz w:val="16"/>
          <w:szCs w:val="16"/>
        </w:rPr>
        <w:fldChar w:fldCharType="separate"/>
      </w:r>
      <w:r w:rsidRPr="009323BE">
        <w:rPr>
          <w:noProof/>
          <w:sz w:val="16"/>
          <w:szCs w:val="16"/>
        </w:rPr>
        <w:t>5</w:t>
      </w:r>
      <w:r w:rsidRPr="009323BE">
        <w:rPr>
          <w:sz w:val="16"/>
          <w:szCs w:val="16"/>
        </w:rPr>
        <w:fldChar w:fldCharType="end"/>
      </w:r>
      <w:r w:rsidRPr="009323BE">
        <w:rPr>
          <w:sz w:val="16"/>
          <w:szCs w:val="16"/>
        </w:rPr>
        <w:t xml:space="preserve"> - Post-Control Risk Assessment</w:t>
      </w:r>
    </w:p>
    <w:p w14:paraId="67E658DD" w14:textId="1D7AEA6E" w:rsidR="00B92531" w:rsidRPr="00B92531" w:rsidRDefault="005A2BFE" w:rsidP="00B92531">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Acceptance of the residual risk depends on each control being assigned to a competent owner and checked before operation. The operating authority should confirm that inspections, maintenance, interlock tests, competence records and environmental restrictions are current. Any unresolved defect that could affect safety should stop the activity until it has been corrected or suitable restrictions have been put in place</w:t>
      </w:r>
      <w:r w:rsidR="00B92531" w:rsidRPr="00B92531">
        <w:rPr>
          <w:rFonts w:cs="Arial"/>
          <w:color w:val="000000"/>
          <w:sz w:val="20"/>
          <w:szCs w:val="20"/>
          <w:lang w:eastAsia="en-GB"/>
        </w:rPr>
        <w:t>.</w:t>
      </w:r>
    </w:p>
    <w:p w14:paraId="14B8A3F2" w14:textId="0B0E53D4" w:rsidR="00DB1C19" w:rsidRPr="00464DD7" w:rsidRDefault="00DB1C19" w:rsidP="00DB1C19">
      <w:pPr>
        <w:pStyle w:val="Heading2"/>
        <w:rPr>
          <w:sz w:val="24"/>
          <w:szCs w:val="24"/>
        </w:rPr>
      </w:pPr>
      <w:bookmarkStart w:id="49" w:name="_Toc234948152"/>
      <w:r w:rsidRPr="00464DD7">
        <w:rPr>
          <w:sz w:val="24"/>
          <w:szCs w:val="24"/>
        </w:rPr>
        <w:t>Summary</w:t>
      </w:r>
      <w:bookmarkEnd w:id="49"/>
      <w:r w:rsidRPr="00464DD7">
        <w:rPr>
          <w:sz w:val="24"/>
          <w:szCs w:val="24"/>
        </w:rPr>
        <w:t xml:space="preserve"> </w:t>
      </w:r>
    </w:p>
    <w:p w14:paraId="201CF7C8" w14:textId="08788D4C" w:rsidR="00027BD1" w:rsidRPr="00027BD1" w:rsidRDefault="00027BD1" w:rsidP="00027BD1">
      <w:pPr>
        <w:spacing w:before="100" w:beforeAutospacing="1" w:after="100" w:afterAutospacing="1" w:line="240" w:lineRule="auto"/>
        <w:jc w:val="left"/>
        <w:rPr>
          <w:rFonts w:cs="Arial"/>
          <w:color w:val="000000"/>
          <w:sz w:val="20"/>
          <w:szCs w:val="20"/>
          <w:lang w:eastAsia="en-GB"/>
        </w:rPr>
      </w:pPr>
      <w:r w:rsidRPr="00027BD1">
        <w:rPr>
          <w:rFonts w:cs="Arial"/>
          <w:color w:val="000000"/>
          <w:sz w:val="20"/>
          <w:szCs w:val="20"/>
          <w:lang w:eastAsia="en-GB"/>
        </w:rPr>
        <w:t>The assessment considered six main hazards across storage, transport, preparation, firing, post-firing activity, maintenance, abnormal response and disposal. These were explosion, electrical failure, exposure to toxic or asphyxiant gases, loss of containment of high-pressure gas, heat and noise. The assessment is intentionally high level because detailed design, reliability and incident data were not available, but it still identifies credible accident routes and the main controls needed to manage them.</w:t>
      </w:r>
    </w:p>
    <w:p w14:paraId="125A7B24" w14:textId="3AE76258" w:rsidR="00027BD1" w:rsidRPr="00027BD1" w:rsidRDefault="00027BD1" w:rsidP="00027BD1">
      <w:pPr>
        <w:spacing w:before="100" w:beforeAutospacing="1" w:after="100" w:afterAutospacing="1" w:line="240" w:lineRule="auto"/>
        <w:jc w:val="left"/>
        <w:rPr>
          <w:rFonts w:cs="Arial"/>
          <w:color w:val="000000"/>
          <w:sz w:val="20"/>
          <w:szCs w:val="20"/>
          <w:lang w:eastAsia="en-GB"/>
        </w:rPr>
      </w:pPr>
      <w:r w:rsidRPr="00027BD1">
        <w:rPr>
          <w:rFonts w:cs="Arial"/>
          <w:color w:val="000000"/>
          <w:sz w:val="20"/>
          <w:szCs w:val="20"/>
          <w:lang w:eastAsia="en-GB"/>
        </w:rPr>
        <w:t>Before controls were applied, toxic-gas exposure, heat and noise were rated as the highest risks. Explosion, electrical failure and high-pressure gas were rated as Class B because they were considered less likely, although their consequences could still be severe or catastrophic. Controls were selected by looking at the main causes of each event and giving priority to engineering measures before procedures or PPE.</w:t>
      </w:r>
      <w:r>
        <w:rPr>
          <w:rFonts w:cs="Arial"/>
          <w:color w:val="000000"/>
          <w:sz w:val="20"/>
          <w:szCs w:val="20"/>
          <w:lang w:eastAsia="en-GB"/>
        </w:rPr>
        <w:t xml:space="preserve"> </w:t>
      </w:r>
      <w:r w:rsidRPr="00027BD1">
        <w:rPr>
          <w:rFonts w:cs="Arial"/>
          <w:color w:val="000000"/>
          <w:sz w:val="20"/>
          <w:szCs w:val="20"/>
          <w:lang w:eastAsia="en-GB"/>
        </w:rPr>
        <w:t>Engineering controls included electrical protection and interlocks, sealed electrical connections, breech and sealing arrangements, and ventilation or extraction systems. These were supported by inspection, exclusion zones, cooling periods, maintenance, training and controlled misfire procedures.</w:t>
      </w:r>
    </w:p>
    <w:p w14:paraId="3432D27F" w14:textId="77777777" w:rsidR="00027BD1" w:rsidRPr="00027BD1" w:rsidRDefault="00027BD1" w:rsidP="00027BD1">
      <w:pPr>
        <w:spacing w:before="100" w:beforeAutospacing="1" w:after="100" w:afterAutospacing="1" w:line="240" w:lineRule="auto"/>
        <w:jc w:val="left"/>
        <w:rPr>
          <w:rFonts w:cs="Arial"/>
          <w:color w:val="000000"/>
          <w:sz w:val="20"/>
          <w:szCs w:val="20"/>
          <w:lang w:eastAsia="en-GB"/>
        </w:rPr>
      </w:pPr>
      <w:r w:rsidRPr="00027BD1">
        <w:rPr>
          <w:rFonts w:cs="Arial"/>
          <w:color w:val="000000"/>
          <w:sz w:val="20"/>
          <w:szCs w:val="20"/>
          <w:lang w:eastAsia="en-GB"/>
        </w:rPr>
        <w:t>After the controls were applied, all six hazards were reduced to Class C. In most cases, the main reduction was in likelihood rather than severity, as the potential consequences of a serious failure could not be fully removed. The residual ratings therefore depend on the controls being correctly implemented, assigned to competent owners and supported by inspection, testing, maintenance and training records. A Class C rating shows that the risk may be tolerable, but it does not by itself prove ALARP. Further controls must still be considered, and any decision not to apply them must be properly justified.</w:t>
      </w:r>
    </w:p>
    <w:p w14:paraId="2D345598" w14:textId="3A491C01" w:rsidR="00A5713E" w:rsidRDefault="00A5713E">
      <w:pPr>
        <w:spacing w:before="0" w:after="200" w:line="276" w:lineRule="auto"/>
        <w:jc w:val="left"/>
        <w:rPr>
          <w:rFonts w:cs="Arial"/>
          <w:b/>
          <w:bCs/>
          <w:kern w:val="32"/>
          <w:sz w:val="28"/>
          <w:szCs w:val="28"/>
        </w:rPr>
      </w:pPr>
      <w:bookmarkStart w:id="50" w:name="_Toc234948153"/>
    </w:p>
    <w:p w14:paraId="3D942D7C" w14:textId="1AB858D3" w:rsidR="00DB1C19" w:rsidRPr="00464DD7" w:rsidRDefault="00DB1C19" w:rsidP="00DB1C19">
      <w:pPr>
        <w:pStyle w:val="Heading1"/>
        <w:rPr>
          <w:sz w:val="28"/>
          <w:szCs w:val="28"/>
        </w:rPr>
      </w:pPr>
      <w:r w:rsidRPr="00464DD7">
        <w:rPr>
          <w:sz w:val="28"/>
          <w:szCs w:val="28"/>
        </w:rPr>
        <w:lastRenderedPageBreak/>
        <w:t>ALARP Justification</w:t>
      </w:r>
      <w:bookmarkEnd w:id="50"/>
    </w:p>
    <w:p w14:paraId="12B09295" w14:textId="073FA120" w:rsidR="00DB1C19" w:rsidRPr="00464DD7" w:rsidRDefault="00DB1C19" w:rsidP="00DB1C19">
      <w:pPr>
        <w:pStyle w:val="Heading2"/>
        <w:rPr>
          <w:sz w:val="24"/>
          <w:szCs w:val="24"/>
        </w:rPr>
      </w:pPr>
      <w:bookmarkStart w:id="51" w:name="_Toc234948154"/>
      <w:r w:rsidRPr="00464DD7">
        <w:rPr>
          <w:sz w:val="24"/>
          <w:szCs w:val="24"/>
        </w:rPr>
        <w:t>Electrical</w:t>
      </w:r>
      <w:bookmarkEnd w:id="51"/>
      <w:r w:rsidRPr="00464DD7">
        <w:rPr>
          <w:sz w:val="24"/>
          <w:szCs w:val="24"/>
        </w:rPr>
        <w:t xml:space="preserve"> </w:t>
      </w:r>
    </w:p>
    <w:p w14:paraId="5B23ED54" w14:textId="46C1DBD7"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The electrical hazard was chosen for the detailed ALARP argument because the gun system relies on electrical equipment for firing, control, indication, power and some safety functions. A fault could injure someone directly through</w:t>
      </w:r>
      <w:r w:rsidR="000507AA">
        <w:rPr>
          <w:rFonts w:cs="Arial"/>
          <w:color w:val="000000"/>
          <w:sz w:val="20"/>
          <w:szCs w:val="20"/>
          <w:lang w:eastAsia="en-GB"/>
        </w:rPr>
        <w:t xml:space="preserve"> electric</w:t>
      </w:r>
      <w:r w:rsidRPr="005A2BFE">
        <w:rPr>
          <w:rFonts w:cs="Arial"/>
          <w:color w:val="000000"/>
          <w:sz w:val="20"/>
          <w:szCs w:val="20"/>
          <w:lang w:eastAsia="en-GB"/>
        </w:rPr>
        <w:t xml:space="preserve"> shock, burns or arcing. It could also cause an unintended firing command, loss of indication or failure of an interlock, and may contribute to heat or explosive hazards.</w:t>
      </w:r>
    </w:p>
    <w:p w14:paraId="6C2E2CAA" w14:textId="44208562" w:rsidR="00284E97" w:rsidRPr="00284E97" w:rsidRDefault="005A2BFE" w:rsidP="00284E97">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With the controls from the risk assessment in place, the rating is reduced from Occasional / Critical / B to Improbable / Critical / C. The severity remains Critical because a serious fault could still cause a fatality or long-term injury. The improvement therefore comes mainly from making the fault and harmful outcome less likely. [4</w:t>
      </w:r>
      <w:r>
        <w:rPr>
          <w:rFonts w:cs="Arial"/>
          <w:color w:val="000000"/>
          <w:sz w:val="20"/>
          <w:szCs w:val="20"/>
          <w:lang w:eastAsia="en-GB"/>
        </w:rPr>
        <w:t>]</w:t>
      </w:r>
      <w:r w:rsidR="00EA742A">
        <w:rPr>
          <w:rFonts w:cs="Arial"/>
          <w:color w:val="000000"/>
          <w:sz w:val="20"/>
          <w:szCs w:val="20"/>
          <w:lang w:eastAsia="en-GB"/>
        </w:rPr>
        <w:t xml:space="preserve"> [7] [8]</w:t>
      </w:r>
    </w:p>
    <w:p w14:paraId="522F6D97" w14:textId="7C32AE39" w:rsidR="00DB1C19" w:rsidRPr="00464DD7" w:rsidRDefault="00DB1C19" w:rsidP="00240875">
      <w:pPr>
        <w:pStyle w:val="Heading2"/>
        <w:rPr>
          <w:sz w:val="24"/>
          <w:szCs w:val="24"/>
        </w:rPr>
      </w:pPr>
      <w:bookmarkStart w:id="52" w:name="_Toc234948155"/>
      <w:r w:rsidRPr="00464DD7">
        <w:rPr>
          <w:sz w:val="24"/>
          <w:szCs w:val="24"/>
        </w:rPr>
        <w:t>Hazard Description</w:t>
      </w:r>
      <w:bookmarkEnd w:id="52"/>
    </w:p>
    <w:p w14:paraId="2244A27E" w14:textId="3528B435"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The top event assessed is an electrical fault or unintended energisation during operation or maintenance. Possible causes include damaged or ageing cables, loose or contaminated connectors, water ingress, incorrect maintenance, lightning and electromagnetic interference. Depending on where the fault occurs, it could lead to electric shock, arcing, overheating, an unintended firing signal, loss of indication or failure of a safety interlock.</w:t>
      </w:r>
    </w:p>
    <w:p w14:paraId="3FFD4F34" w14:textId="6BCFBFBF" w:rsidR="005C1DB5" w:rsidRPr="00464DD7" w:rsidRDefault="005A2BFE" w:rsidP="005C1DB5">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 xml:space="preserve">Some faults may remain hidden until the system is energised or placed under load. </w:t>
      </w:r>
      <w:r w:rsidR="00353617" w:rsidRPr="00353617">
        <w:rPr>
          <w:rFonts w:cs="Arial"/>
          <w:color w:val="000000"/>
          <w:sz w:val="20"/>
          <w:szCs w:val="20"/>
          <w:lang w:eastAsia="en-GB"/>
        </w:rPr>
        <w:t>Water ingress can reduce insulation resistance, while vibration and temperature changes can degrade connector contacts and increase resistance</w:t>
      </w:r>
      <w:r w:rsidR="00353617">
        <w:rPr>
          <w:rFonts w:cs="Arial"/>
          <w:color w:val="000000"/>
          <w:sz w:val="20"/>
          <w:szCs w:val="20"/>
          <w:lang w:eastAsia="en-GB"/>
        </w:rPr>
        <w:t xml:space="preserve">. </w:t>
      </w:r>
      <w:r w:rsidRPr="005A2BFE">
        <w:rPr>
          <w:rFonts w:cs="Arial"/>
          <w:color w:val="000000"/>
          <w:sz w:val="20"/>
          <w:szCs w:val="20"/>
          <w:lang w:eastAsia="en-GB"/>
        </w:rPr>
        <w:t>Electromagnetic interference could affect firing or control circuits if separation, shielding or bonding is inadequate. Controls must therefore prevent faults, detect deterioration and protect personnel if prevention fails.</w:t>
      </w:r>
      <w:r w:rsidR="00353617">
        <w:rPr>
          <w:rFonts w:cs="Arial"/>
          <w:color w:val="000000"/>
          <w:sz w:val="20"/>
          <w:szCs w:val="20"/>
          <w:lang w:eastAsia="en-GB"/>
        </w:rPr>
        <w:t xml:space="preserve"> [12] </w:t>
      </w:r>
      <w:r w:rsidR="00353617" w:rsidRPr="00353617">
        <w:rPr>
          <w:rFonts w:cs="Arial"/>
          <w:color w:val="000000"/>
          <w:sz w:val="20"/>
          <w:szCs w:val="20"/>
          <w:lang w:eastAsia="en-GB"/>
        </w:rPr>
        <w:t>[17]</w:t>
      </w:r>
      <w:r w:rsidR="00353617">
        <w:rPr>
          <w:rFonts w:cs="Arial"/>
          <w:color w:val="000000"/>
          <w:sz w:val="20"/>
          <w:szCs w:val="20"/>
          <w:lang w:eastAsia="en-GB"/>
        </w:rPr>
        <w:t xml:space="preserve"> </w:t>
      </w:r>
    </w:p>
    <w:p w14:paraId="0DCD7C7B" w14:textId="633EEA3B" w:rsidR="00DB1C19" w:rsidRPr="00464DD7" w:rsidRDefault="00DB1C19" w:rsidP="00DB1C19">
      <w:pPr>
        <w:pStyle w:val="Heading2"/>
        <w:rPr>
          <w:sz w:val="24"/>
          <w:szCs w:val="24"/>
        </w:rPr>
      </w:pPr>
      <w:bookmarkStart w:id="53" w:name="_Toc234948156"/>
      <w:r w:rsidRPr="00464DD7">
        <w:rPr>
          <w:sz w:val="24"/>
          <w:szCs w:val="24"/>
        </w:rPr>
        <w:t>Control</w:t>
      </w:r>
      <w:r w:rsidR="00E246AB">
        <w:rPr>
          <w:sz w:val="24"/>
          <w:szCs w:val="24"/>
        </w:rPr>
        <w:t>s</w:t>
      </w:r>
      <w:r w:rsidRPr="00464DD7">
        <w:rPr>
          <w:sz w:val="24"/>
          <w:szCs w:val="24"/>
        </w:rPr>
        <w:t xml:space="preserve"> and Mitigations</w:t>
      </w:r>
      <w:bookmarkEnd w:id="53"/>
      <w:r w:rsidRPr="00464DD7">
        <w:rPr>
          <w:sz w:val="24"/>
          <w:szCs w:val="24"/>
        </w:rPr>
        <w:t xml:space="preserve"> </w:t>
      </w:r>
    </w:p>
    <w:p w14:paraId="1B5A1E72" w14:textId="3F0F1C29"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Elimination was considered first. In practice, removing all electrical equipment would not be a realistic option because the system needs electrical functions for operation, control and safety. The next priority is therefore to use engineering controls that reduce the chance of a fault without relying on someone remembering to take action every time.</w:t>
      </w:r>
    </w:p>
    <w:p w14:paraId="6B4EC990" w14:textId="5B2DA04B"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The main engineering measures are protected cable routing, suitable insulation, sealed connectors, earthing and bonding, circuit protection, electromagnetic separation or shielding, and safe-arm/fire interlocks. They are supported by pre-use inspections, isolation before maintenance, planned maintenance, defect reporting and restrictions during lightning or severe weather. Competence requirements and maintenance records help to keep these controls effective. [9]</w:t>
      </w:r>
      <w:r w:rsidR="00EA742A">
        <w:rPr>
          <w:rFonts w:cs="Arial"/>
          <w:color w:val="000000"/>
          <w:sz w:val="20"/>
          <w:szCs w:val="20"/>
          <w:lang w:eastAsia="en-GB"/>
        </w:rPr>
        <w:t xml:space="preserve"> [10</w:t>
      </w:r>
      <w:r w:rsidR="003F6B32">
        <w:rPr>
          <w:rFonts w:cs="Arial"/>
          <w:color w:val="000000"/>
          <w:sz w:val="20"/>
          <w:szCs w:val="20"/>
          <w:lang w:eastAsia="en-GB"/>
        </w:rPr>
        <w:t>]</w:t>
      </w:r>
      <w:r w:rsidR="00EA742A">
        <w:rPr>
          <w:rFonts w:cs="Arial"/>
          <w:color w:val="000000"/>
          <w:sz w:val="20"/>
          <w:szCs w:val="20"/>
          <w:lang w:eastAsia="en-GB"/>
        </w:rPr>
        <w:t xml:space="preserve"> [11] [12]</w:t>
      </w:r>
    </w:p>
    <w:p w14:paraId="48978476" w14:textId="3326493F" w:rsidR="005A2BFE" w:rsidRPr="005A2BFE" w:rsidRDefault="005A2BFE" w:rsidP="005A2BFE">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 xml:space="preserve">The controls need to work together. Sealed connectors help to prevent water ingress, inspection can identify damage or corrosion, circuit protection </w:t>
      </w:r>
      <w:r w:rsidR="000507AA" w:rsidRPr="005A2BFE">
        <w:rPr>
          <w:rFonts w:cs="Arial"/>
          <w:color w:val="000000"/>
          <w:sz w:val="20"/>
          <w:szCs w:val="20"/>
          <w:lang w:eastAsia="en-GB"/>
        </w:rPr>
        <w:t>limit’s</w:t>
      </w:r>
      <w:r w:rsidRPr="005A2BFE">
        <w:rPr>
          <w:rFonts w:cs="Arial"/>
          <w:color w:val="000000"/>
          <w:sz w:val="20"/>
          <w:szCs w:val="20"/>
          <w:lang w:eastAsia="en-GB"/>
        </w:rPr>
        <w:t xml:space="preserve"> fault energy, and isolation protects maintainers. Interlock tests, insulation checks, inspection records, maintenance history and defect reports should be used to show that the controls work in practice and are not only written requirements.</w:t>
      </w:r>
    </w:p>
    <w:p w14:paraId="64ED7A61" w14:textId="77777777" w:rsidR="000507AA" w:rsidRDefault="005A2BFE" w:rsidP="005C1DB5">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Extra attention is needed for circuits wh</w:t>
      </w:r>
      <w:r w:rsidR="000507AA">
        <w:rPr>
          <w:rFonts w:cs="Arial"/>
          <w:color w:val="000000"/>
          <w:sz w:val="20"/>
          <w:szCs w:val="20"/>
          <w:lang w:eastAsia="en-GB"/>
        </w:rPr>
        <w:t>ere</w:t>
      </w:r>
      <w:r w:rsidRPr="005A2BFE">
        <w:rPr>
          <w:rFonts w:cs="Arial"/>
          <w:color w:val="000000"/>
          <w:sz w:val="20"/>
          <w:szCs w:val="20"/>
          <w:lang w:eastAsia="en-GB"/>
        </w:rPr>
        <w:t xml:space="preserve"> failure could initiate firing or defeat a safety function. These should be clearly identified and given suitable independence, fail-safe behaviour and proof testing. The same level of integrity is not needed for every minor circuit. </w:t>
      </w:r>
    </w:p>
    <w:p w14:paraId="1F5DB67E" w14:textId="53BC4A16" w:rsidR="00E246AB" w:rsidRPr="00464DD7" w:rsidRDefault="005A2BFE" w:rsidP="005C1DB5">
      <w:pPr>
        <w:spacing w:before="100" w:beforeAutospacing="1" w:after="100" w:afterAutospacing="1" w:line="240" w:lineRule="auto"/>
        <w:jc w:val="left"/>
        <w:rPr>
          <w:rFonts w:cs="Arial"/>
          <w:color w:val="000000"/>
          <w:sz w:val="20"/>
          <w:szCs w:val="20"/>
          <w:lang w:eastAsia="en-GB"/>
        </w:rPr>
      </w:pPr>
      <w:r w:rsidRPr="005A2BFE">
        <w:rPr>
          <w:rFonts w:cs="Arial"/>
          <w:color w:val="000000"/>
          <w:sz w:val="20"/>
          <w:szCs w:val="20"/>
          <w:lang w:eastAsia="en-GB"/>
        </w:rPr>
        <w:t>Human error also matters because damage may be missed and isolation may be applied incorrectly. Clear labelling, marked connectors, accessible test points and a positive isolation check help to reduce maintenance mistakes.</w:t>
      </w:r>
      <w:r w:rsidR="00353617">
        <w:rPr>
          <w:rFonts w:cs="Arial"/>
          <w:color w:val="000000"/>
          <w:sz w:val="20"/>
          <w:szCs w:val="20"/>
          <w:lang w:eastAsia="en-GB"/>
        </w:rPr>
        <w:t xml:space="preserve"> </w:t>
      </w:r>
      <w:r w:rsidR="00353617" w:rsidRPr="00353617">
        <w:rPr>
          <w:rFonts w:cs="Arial"/>
          <w:color w:val="000000"/>
          <w:sz w:val="20"/>
          <w:szCs w:val="20"/>
          <w:lang w:eastAsia="en-GB"/>
        </w:rPr>
        <w:t>This is not only theoretical</w:t>
      </w:r>
      <w:r w:rsidR="005203B2">
        <w:rPr>
          <w:rFonts w:cs="Arial"/>
          <w:color w:val="000000"/>
          <w:sz w:val="20"/>
          <w:szCs w:val="20"/>
          <w:lang w:eastAsia="en-GB"/>
        </w:rPr>
        <w:t xml:space="preserve">. A </w:t>
      </w:r>
      <w:r w:rsidR="00353617" w:rsidRPr="00353617">
        <w:rPr>
          <w:rFonts w:cs="Arial"/>
          <w:color w:val="000000"/>
          <w:sz w:val="20"/>
          <w:szCs w:val="20"/>
          <w:lang w:eastAsia="en-GB"/>
        </w:rPr>
        <w:t>HSE case stud</w:t>
      </w:r>
      <w:r w:rsidR="005203B2">
        <w:rPr>
          <w:rFonts w:cs="Arial"/>
          <w:color w:val="000000"/>
          <w:sz w:val="20"/>
          <w:szCs w:val="20"/>
          <w:lang w:eastAsia="en-GB"/>
        </w:rPr>
        <w:t>y</w:t>
      </w:r>
      <w:r w:rsidR="00353617" w:rsidRPr="00353617">
        <w:rPr>
          <w:rFonts w:cs="Arial"/>
          <w:color w:val="000000"/>
          <w:sz w:val="20"/>
          <w:szCs w:val="20"/>
          <w:lang w:eastAsia="en-GB"/>
        </w:rPr>
        <w:t xml:space="preserve"> show that inadequate isolation has resulted in severe electric shock during maintenance</w:t>
      </w:r>
      <w:r w:rsidR="00EA742A">
        <w:rPr>
          <w:rFonts w:cs="Arial"/>
          <w:color w:val="000000"/>
          <w:sz w:val="20"/>
          <w:szCs w:val="20"/>
          <w:lang w:eastAsia="en-GB"/>
        </w:rPr>
        <w:t>.</w:t>
      </w:r>
      <w:r w:rsidR="00353617" w:rsidRPr="00353617">
        <w:rPr>
          <w:rFonts w:cs="Arial"/>
          <w:color w:val="000000"/>
          <w:sz w:val="20"/>
          <w:szCs w:val="20"/>
          <w:lang w:eastAsia="en-GB"/>
        </w:rPr>
        <w:t xml:space="preserve"> [18]</w:t>
      </w:r>
    </w:p>
    <w:p w14:paraId="200C6610" w14:textId="33992850" w:rsidR="00DB1C19" w:rsidRPr="00464DD7" w:rsidRDefault="00DB1C19" w:rsidP="00240875">
      <w:pPr>
        <w:pStyle w:val="Heading2"/>
        <w:rPr>
          <w:sz w:val="24"/>
          <w:szCs w:val="24"/>
        </w:rPr>
      </w:pPr>
      <w:bookmarkStart w:id="54" w:name="_Toc234948157"/>
      <w:r w:rsidRPr="00464DD7">
        <w:rPr>
          <w:sz w:val="24"/>
          <w:szCs w:val="24"/>
        </w:rPr>
        <w:lastRenderedPageBreak/>
        <w:t>Reasonably Practicable Assessment</w:t>
      </w:r>
      <w:bookmarkEnd w:id="54"/>
    </w:p>
    <w:p w14:paraId="277CB96B" w14:textId="5ED4BAD2" w:rsidR="00813639" w:rsidRPr="00813639" w:rsidRDefault="00813639" w:rsidP="00813639">
      <w:pPr>
        <w:spacing w:before="100" w:beforeAutospacing="1" w:after="100" w:afterAutospacing="1" w:line="240" w:lineRule="auto"/>
        <w:jc w:val="left"/>
        <w:rPr>
          <w:rFonts w:cs="Arial"/>
          <w:color w:val="000000"/>
          <w:sz w:val="20"/>
          <w:szCs w:val="20"/>
          <w:lang w:eastAsia="en-GB"/>
        </w:rPr>
      </w:pPr>
      <w:r w:rsidRPr="00813639">
        <w:rPr>
          <w:rFonts w:cs="Arial"/>
          <w:color w:val="000000"/>
          <w:sz w:val="20"/>
          <w:szCs w:val="20"/>
          <w:lang w:eastAsia="en-GB"/>
        </w:rPr>
        <w:t xml:space="preserve">For the risk to be ALARP, the rating alone is not enough. Further controls must be considered, and a measure should only be rejected where the time, trouble and cost are grossly disproportionate to the safety benefit. Because a fault could cause fatal injury or unintended firing, the judgement should favour safety. </w:t>
      </w:r>
      <w:r w:rsidR="00EA742A">
        <w:rPr>
          <w:rFonts w:cs="Arial"/>
          <w:color w:val="000000"/>
          <w:sz w:val="20"/>
          <w:szCs w:val="20"/>
          <w:lang w:eastAsia="en-GB"/>
        </w:rPr>
        <w:t>[4] [7] [8]</w:t>
      </w:r>
    </w:p>
    <w:p w14:paraId="76E20C2B" w14:textId="48C131A9" w:rsidR="00813639" w:rsidRPr="00813639" w:rsidRDefault="00813639" w:rsidP="00813639">
      <w:pPr>
        <w:spacing w:before="100" w:beforeAutospacing="1" w:after="100" w:afterAutospacing="1" w:line="240" w:lineRule="auto"/>
        <w:jc w:val="left"/>
        <w:rPr>
          <w:rFonts w:cs="Arial"/>
          <w:color w:val="000000"/>
          <w:sz w:val="20"/>
          <w:szCs w:val="20"/>
          <w:lang w:eastAsia="en-GB"/>
        </w:rPr>
      </w:pPr>
      <w:r w:rsidRPr="00813639">
        <w:rPr>
          <w:rFonts w:cs="Arial"/>
          <w:color w:val="000000"/>
          <w:sz w:val="20"/>
          <w:szCs w:val="20"/>
          <w:lang w:eastAsia="en-GB"/>
        </w:rPr>
        <w:t>A numerical cost-benefit analysis was not used because reliable fault rates, exposure data and implementation costs are unavailable. Using assumed figures would create false precision, so the options were compared qualitatively against the accident pathwa</w:t>
      </w:r>
      <w:r w:rsidR="00EB2121">
        <w:rPr>
          <w:rFonts w:cs="Arial"/>
          <w:color w:val="000000"/>
          <w:sz w:val="20"/>
          <w:szCs w:val="20"/>
          <w:lang w:eastAsia="en-GB"/>
        </w:rPr>
        <w:t>y</w:t>
      </w:r>
      <w:r w:rsidRPr="00813639">
        <w:rPr>
          <w:rFonts w:cs="Arial"/>
          <w:color w:val="000000"/>
          <w:sz w:val="20"/>
          <w:szCs w:val="20"/>
          <w:lang w:eastAsia="en-GB"/>
        </w:rPr>
        <w:t>, expected risk reduction, recognised good practice, through-life burden and any new failure modes. [7]</w:t>
      </w:r>
      <w:r w:rsidR="00EA742A">
        <w:rPr>
          <w:rFonts w:cs="Arial"/>
          <w:color w:val="000000"/>
          <w:sz w:val="20"/>
          <w:szCs w:val="20"/>
          <w:lang w:eastAsia="en-GB"/>
        </w:rPr>
        <w:t xml:space="preserve"> </w:t>
      </w:r>
      <w:r w:rsidRPr="00813639">
        <w:rPr>
          <w:rFonts w:cs="Arial"/>
          <w:color w:val="000000"/>
          <w:sz w:val="20"/>
          <w:szCs w:val="20"/>
          <w:lang w:eastAsia="en-GB"/>
        </w:rPr>
        <w:t>[8]</w:t>
      </w:r>
    </w:p>
    <w:p w14:paraId="58F9C6B4" w14:textId="79B3727E" w:rsidR="00813639" w:rsidRPr="00813639" w:rsidRDefault="00813639" w:rsidP="00813639">
      <w:pPr>
        <w:spacing w:before="100" w:beforeAutospacing="1" w:after="100" w:afterAutospacing="1" w:line="240" w:lineRule="auto"/>
        <w:jc w:val="left"/>
        <w:rPr>
          <w:rFonts w:cs="Arial"/>
          <w:color w:val="000000"/>
          <w:sz w:val="20"/>
          <w:szCs w:val="20"/>
          <w:lang w:eastAsia="en-GB"/>
        </w:rPr>
      </w:pPr>
      <w:r w:rsidRPr="00813639">
        <w:rPr>
          <w:rFonts w:cs="Arial"/>
          <w:color w:val="000000"/>
          <w:sz w:val="20"/>
          <w:szCs w:val="20"/>
          <w:lang w:eastAsia="en-GB"/>
        </w:rPr>
        <w:t xml:space="preserve">Protected routing, sealed connectors, circuit protection, isolation, inspection and defect reporting address credible causes at a relatively low burden and are established electrical safety practice. </w:t>
      </w:r>
      <w:r w:rsidR="00EB2121">
        <w:rPr>
          <w:rFonts w:cs="Arial"/>
          <w:color w:val="000000"/>
          <w:sz w:val="20"/>
          <w:szCs w:val="20"/>
          <w:lang w:eastAsia="en-GB"/>
        </w:rPr>
        <w:t xml:space="preserve">Not including </w:t>
      </w:r>
      <w:r w:rsidRPr="00813639">
        <w:rPr>
          <w:rFonts w:cs="Arial"/>
          <w:color w:val="000000"/>
          <w:sz w:val="20"/>
          <w:szCs w:val="20"/>
          <w:lang w:eastAsia="en-GB"/>
        </w:rPr>
        <w:t xml:space="preserve">them would therefore be difficult to justify. Separation, shielding, interlocks and proof testing require more design and assurance work, but remain reasonably practicable for safety-significant circuits because their failure could initiate firing or remove a </w:t>
      </w:r>
      <w:r w:rsidR="00EB2121">
        <w:rPr>
          <w:rFonts w:cs="Arial"/>
          <w:color w:val="000000"/>
          <w:sz w:val="20"/>
          <w:szCs w:val="20"/>
          <w:lang w:eastAsia="en-GB"/>
        </w:rPr>
        <w:t xml:space="preserve">safety </w:t>
      </w:r>
      <w:r w:rsidRPr="00813639">
        <w:rPr>
          <w:rFonts w:cs="Arial"/>
          <w:color w:val="000000"/>
          <w:sz w:val="20"/>
          <w:szCs w:val="20"/>
          <w:lang w:eastAsia="en-GB"/>
        </w:rPr>
        <w:t>barrier.</w:t>
      </w:r>
    </w:p>
    <w:p w14:paraId="62006590" w14:textId="746E781A" w:rsidR="00240875" w:rsidRPr="00464DD7" w:rsidRDefault="00813639" w:rsidP="00240875">
      <w:pPr>
        <w:spacing w:before="100" w:beforeAutospacing="1" w:after="100" w:afterAutospacing="1" w:line="240" w:lineRule="auto"/>
        <w:jc w:val="left"/>
        <w:rPr>
          <w:rFonts w:cs="Arial"/>
          <w:color w:val="000000"/>
          <w:sz w:val="20"/>
          <w:szCs w:val="20"/>
          <w:lang w:eastAsia="en-GB"/>
        </w:rPr>
      </w:pPr>
      <w:r w:rsidRPr="00813639">
        <w:rPr>
          <w:rFonts w:cs="Arial"/>
          <w:color w:val="000000"/>
          <w:sz w:val="20"/>
          <w:szCs w:val="20"/>
          <w:lang w:eastAsia="en-GB"/>
        </w:rPr>
        <w:t>After these controls, the risk is Improbable / Critical / C. This places it in the tolerable region of the matrix, but the ALARP conclusion rests on the control assessment and supporting evidence, not the risk class alone.</w:t>
      </w:r>
    </w:p>
    <w:p w14:paraId="4F18995C" w14:textId="2FD6E448" w:rsidR="00DB1C19" w:rsidRPr="00464DD7" w:rsidRDefault="00DB1C19" w:rsidP="00240875">
      <w:pPr>
        <w:pStyle w:val="Heading2"/>
        <w:rPr>
          <w:sz w:val="24"/>
          <w:szCs w:val="24"/>
        </w:rPr>
      </w:pPr>
      <w:bookmarkStart w:id="55" w:name="_Toc234948158"/>
      <w:r w:rsidRPr="00464DD7">
        <w:rPr>
          <w:sz w:val="24"/>
          <w:szCs w:val="24"/>
        </w:rPr>
        <w:t>Discounted Controls and Gross Disproportion</w:t>
      </w:r>
      <w:bookmarkEnd w:id="55"/>
    </w:p>
    <w:p w14:paraId="2220B5B7" w14:textId="69EEFC2C" w:rsidR="001401F7" w:rsidRPr="001401F7" w:rsidRDefault="001401F7" w:rsidP="001401F7">
      <w:pPr>
        <w:spacing w:before="100" w:beforeAutospacing="1" w:after="100" w:afterAutospacing="1" w:line="240" w:lineRule="auto"/>
        <w:jc w:val="left"/>
        <w:rPr>
          <w:rFonts w:cs="Arial"/>
          <w:color w:val="000000"/>
          <w:sz w:val="20"/>
          <w:szCs w:val="20"/>
          <w:lang w:eastAsia="en-GB"/>
        </w:rPr>
      </w:pPr>
      <w:r w:rsidRPr="001401F7">
        <w:rPr>
          <w:rFonts w:cs="Arial"/>
          <w:color w:val="000000"/>
          <w:sz w:val="20"/>
          <w:szCs w:val="20"/>
          <w:lang w:eastAsia="en-GB"/>
        </w:rPr>
        <w:t>Three additional measures were considered but were not judged reasonably practicable for</w:t>
      </w:r>
      <w:r w:rsidR="00EB2121">
        <w:rPr>
          <w:rFonts w:cs="Arial"/>
          <w:color w:val="000000"/>
          <w:sz w:val="20"/>
          <w:szCs w:val="20"/>
          <w:lang w:eastAsia="en-GB"/>
        </w:rPr>
        <w:t xml:space="preserve"> </w:t>
      </w:r>
      <w:r w:rsidRPr="001401F7">
        <w:rPr>
          <w:rFonts w:cs="Arial"/>
          <w:color w:val="000000"/>
          <w:sz w:val="20"/>
          <w:szCs w:val="20"/>
          <w:lang w:eastAsia="en-GB"/>
        </w:rPr>
        <w:t>application across the system.</w:t>
      </w:r>
    </w:p>
    <w:p w14:paraId="5BE7F988" w14:textId="72BD6F54" w:rsidR="001401F7" w:rsidRPr="001401F7" w:rsidRDefault="001401F7" w:rsidP="001401F7">
      <w:pPr>
        <w:spacing w:before="100" w:beforeAutospacing="1" w:after="100" w:afterAutospacing="1" w:line="240" w:lineRule="auto"/>
        <w:jc w:val="left"/>
        <w:rPr>
          <w:rFonts w:cs="Arial"/>
          <w:color w:val="000000"/>
          <w:sz w:val="20"/>
          <w:szCs w:val="20"/>
          <w:lang w:eastAsia="en-GB"/>
        </w:rPr>
      </w:pPr>
      <w:r w:rsidRPr="001401F7">
        <w:rPr>
          <w:rFonts w:cs="Arial"/>
          <w:color w:val="000000"/>
          <w:sz w:val="20"/>
          <w:szCs w:val="20"/>
          <w:lang w:eastAsia="en-GB"/>
        </w:rPr>
        <w:t xml:space="preserve">The first option was duplication of every electrical circuit and interlock. Redundancy can provide a significant benefit where a single failure could initiate firing or remove a safety barrier. However, duplicating circuits with no direct safety function would add wiring, connectors, weight, testing and maintenance. It could also introduce common-cause failures or create faults during maintenance. </w:t>
      </w:r>
      <w:r w:rsidR="00353617" w:rsidRPr="00353617">
        <w:rPr>
          <w:rFonts w:cs="Arial"/>
          <w:color w:val="000000"/>
          <w:sz w:val="20"/>
          <w:szCs w:val="20"/>
          <w:lang w:eastAsia="en-GB"/>
        </w:rPr>
        <w:t xml:space="preserve">Redundancy should therefore be reserved for safety-significant functions rather than applied to </w:t>
      </w:r>
      <w:r w:rsidR="00353617">
        <w:rPr>
          <w:rFonts w:cs="Arial"/>
          <w:color w:val="000000"/>
          <w:sz w:val="20"/>
          <w:szCs w:val="20"/>
          <w:lang w:eastAsia="en-GB"/>
        </w:rPr>
        <w:t xml:space="preserve">all electrical </w:t>
      </w:r>
      <w:r w:rsidR="00353617" w:rsidRPr="00353617">
        <w:rPr>
          <w:rFonts w:cs="Arial"/>
          <w:color w:val="000000"/>
          <w:sz w:val="20"/>
          <w:szCs w:val="20"/>
          <w:lang w:eastAsia="en-GB"/>
        </w:rPr>
        <w:t>circuits</w:t>
      </w:r>
      <w:r w:rsidR="00353617">
        <w:rPr>
          <w:rFonts w:cs="Arial"/>
          <w:color w:val="000000"/>
          <w:sz w:val="20"/>
          <w:szCs w:val="20"/>
          <w:lang w:eastAsia="en-GB"/>
        </w:rPr>
        <w:t>. [</w:t>
      </w:r>
      <w:r w:rsidR="00353617" w:rsidRPr="00353617">
        <w:rPr>
          <w:rFonts w:cs="Arial"/>
          <w:color w:val="000000"/>
          <w:sz w:val="20"/>
          <w:szCs w:val="20"/>
          <w:lang w:eastAsia="en-GB"/>
        </w:rPr>
        <w:t>4] [12]</w:t>
      </w:r>
    </w:p>
    <w:p w14:paraId="6D5CBE41" w14:textId="7A7397C7" w:rsidR="001401F7" w:rsidRPr="001401F7" w:rsidRDefault="001401F7" w:rsidP="001401F7">
      <w:pPr>
        <w:spacing w:before="100" w:beforeAutospacing="1" w:after="100" w:afterAutospacing="1" w:line="240" w:lineRule="auto"/>
        <w:jc w:val="left"/>
        <w:rPr>
          <w:rFonts w:cs="Arial"/>
          <w:color w:val="000000"/>
          <w:sz w:val="20"/>
          <w:szCs w:val="20"/>
          <w:lang w:eastAsia="en-GB"/>
        </w:rPr>
      </w:pPr>
      <w:r w:rsidRPr="001401F7">
        <w:rPr>
          <w:rFonts w:cs="Arial"/>
          <w:color w:val="000000"/>
          <w:sz w:val="20"/>
          <w:szCs w:val="20"/>
          <w:lang w:eastAsia="en-GB"/>
        </w:rPr>
        <w:t xml:space="preserve">The second option was continuous condition monitoring of every cable and connector. Online monitoring could identify hidden insulation breakdown, moisture ingress or intermittent connections earlier than periodic inspection. However, </w:t>
      </w:r>
      <w:r>
        <w:rPr>
          <w:rFonts w:cs="Arial"/>
          <w:color w:val="000000"/>
          <w:sz w:val="20"/>
          <w:szCs w:val="20"/>
          <w:lang w:eastAsia="en-GB"/>
        </w:rPr>
        <w:t xml:space="preserve">this </w:t>
      </w:r>
      <w:r w:rsidRPr="001401F7">
        <w:rPr>
          <w:rFonts w:cs="Arial"/>
          <w:color w:val="000000"/>
          <w:sz w:val="20"/>
          <w:szCs w:val="20"/>
          <w:lang w:eastAsia="en-GB"/>
        </w:rPr>
        <w:t>would require additional sensors, wiring, software, calibration and configuration control. Sensor failure and false warnings could also lead to unnecessary maintenance or reduced confidence in genuine warnings. In the absence of evidence showing repeated hidden faults across the system, full monitoring is not currently justified. A limited trial on safety-significant or environmentally exposed circuits would be more proportionate.</w:t>
      </w:r>
      <w:r w:rsidR="00402BE6">
        <w:rPr>
          <w:rFonts w:cs="Arial"/>
          <w:color w:val="000000"/>
          <w:sz w:val="20"/>
          <w:szCs w:val="20"/>
          <w:lang w:eastAsia="en-GB"/>
        </w:rPr>
        <w:t xml:space="preserve"> [19]</w:t>
      </w:r>
    </w:p>
    <w:p w14:paraId="19FBBA61" w14:textId="57C59A55" w:rsidR="001401F7" w:rsidRPr="001401F7" w:rsidRDefault="001401F7" w:rsidP="001401F7">
      <w:pPr>
        <w:spacing w:before="100" w:beforeAutospacing="1" w:after="100" w:afterAutospacing="1" w:line="240" w:lineRule="auto"/>
        <w:jc w:val="left"/>
        <w:rPr>
          <w:rFonts w:cs="Arial"/>
          <w:color w:val="000000"/>
          <w:sz w:val="20"/>
          <w:szCs w:val="20"/>
          <w:lang w:eastAsia="en-GB"/>
        </w:rPr>
      </w:pPr>
      <w:r w:rsidRPr="001401F7">
        <w:rPr>
          <w:rFonts w:cs="Arial"/>
          <w:color w:val="000000"/>
          <w:sz w:val="20"/>
          <w:szCs w:val="20"/>
          <w:lang w:eastAsia="en-GB"/>
        </w:rPr>
        <w:t>The third option was to harden every electrical component beyond the authorised environmental and electromagnetic limits. This would require substantial redesign</w:t>
      </w:r>
      <w:r>
        <w:rPr>
          <w:rFonts w:cs="Arial"/>
          <w:color w:val="000000"/>
          <w:sz w:val="20"/>
          <w:szCs w:val="20"/>
          <w:lang w:eastAsia="en-GB"/>
        </w:rPr>
        <w:t xml:space="preserve">. </w:t>
      </w:r>
      <w:r w:rsidRPr="001401F7">
        <w:rPr>
          <w:rFonts w:cs="Arial"/>
          <w:color w:val="000000"/>
          <w:sz w:val="20"/>
          <w:szCs w:val="20"/>
          <w:lang w:eastAsia="en-GB"/>
        </w:rPr>
        <w:t>The more proportionate approach is to define the operating limits, provide suitable protection within them and restrict operation when lightning, water exposure, temperature or electromagnetic conditions exceed those limits.</w:t>
      </w:r>
    </w:p>
    <w:p w14:paraId="0C2D4215" w14:textId="7FFB6275" w:rsidR="005C1DB5" w:rsidRPr="00464DD7" w:rsidRDefault="001401F7" w:rsidP="005C1DB5">
      <w:pPr>
        <w:spacing w:before="100" w:beforeAutospacing="1" w:after="100" w:afterAutospacing="1" w:line="240" w:lineRule="auto"/>
        <w:jc w:val="left"/>
        <w:rPr>
          <w:rFonts w:cs="Arial"/>
          <w:color w:val="000000"/>
          <w:sz w:val="20"/>
          <w:szCs w:val="20"/>
          <w:lang w:eastAsia="en-GB"/>
        </w:rPr>
      </w:pPr>
      <w:r w:rsidRPr="001401F7">
        <w:rPr>
          <w:rFonts w:cs="Arial"/>
          <w:color w:val="000000"/>
          <w:sz w:val="20"/>
          <w:szCs w:val="20"/>
          <w:lang w:eastAsia="en-GB"/>
        </w:rPr>
        <w:t>The judgement is not that these controls have no safety value. The decision is that applying them across every circuit would be grossly disproportionate to the additional reduction in risk. Targeted use may still be required where the circuit is safety-significant, the environment is particularly severe or operating evidence shows that the existing controls are insufficient.</w:t>
      </w:r>
    </w:p>
    <w:p w14:paraId="22CA8A0F" w14:textId="3F73AFDC" w:rsidR="00DB1C19" w:rsidRPr="00464DD7" w:rsidRDefault="00DB1C19" w:rsidP="00DB1C19">
      <w:pPr>
        <w:pStyle w:val="Heading2"/>
        <w:rPr>
          <w:sz w:val="24"/>
          <w:szCs w:val="24"/>
        </w:rPr>
      </w:pPr>
      <w:bookmarkStart w:id="56" w:name="_Toc234948159"/>
      <w:r w:rsidRPr="00464DD7">
        <w:rPr>
          <w:sz w:val="24"/>
          <w:szCs w:val="24"/>
        </w:rPr>
        <w:t>Legislation and Good Practice</w:t>
      </w:r>
      <w:bookmarkEnd w:id="56"/>
    </w:p>
    <w:p w14:paraId="6523C200" w14:textId="0DBE7A34" w:rsidR="00F622D6" w:rsidRDefault="00F622D6" w:rsidP="00F622D6">
      <w:pPr>
        <w:spacing w:before="100" w:beforeAutospacing="1" w:after="100" w:afterAutospacing="1" w:line="240" w:lineRule="auto"/>
        <w:jc w:val="left"/>
        <w:rPr>
          <w:rFonts w:cs="Arial"/>
          <w:color w:val="000000"/>
          <w:sz w:val="20"/>
          <w:szCs w:val="20"/>
          <w:lang w:eastAsia="en-GB"/>
        </w:rPr>
      </w:pPr>
      <w:r w:rsidRPr="00F622D6">
        <w:rPr>
          <w:rFonts w:cs="Arial"/>
          <w:color w:val="000000"/>
          <w:sz w:val="20"/>
          <w:szCs w:val="20"/>
          <w:lang w:eastAsia="en-GB"/>
        </w:rPr>
        <w:t xml:space="preserve">The Health and Safety at Work etc. Act 1974 requires risks to employees and others to be controlled so far as is reasonably practicable. The Management of Health and Safety at Work Regulations 1999 require a suitable and sufficient assessment, while the Electricity at Work Regulations 1989 require electrical systems to be constructed, maintained and used so as to prevent danger. HSE guidance also supports isolation, competent people, suitable maintenance and proper precautions for electrical work. </w:t>
      </w:r>
      <w:r w:rsidR="00402BE6">
        <w:rPr>
          <w:rFonts w:cs="Arial"/>
          <w:color w:val="000000"/>
          <w:sz w:val="20"/>
          <w:szCs w:val="20"/>
          <w:lang w:eastAsia="en-GB"/>
        </w:rPr>
        <w:t xml:space="preserve">[9] [10] [11] </w:t>
      </w:r>
      <w:r w:rsidRPr="00F622D6">
        <w:rPr>
          <w:rFonts w:cs="Arial"/>
          <w:color w:val="000000"/>
          <w:sz w:val="20"/>
          <w:szCs w:val="20"/>
          <w:lang w:eastAsia="en-GB"/>
        </w:rPr>
        <w:t>[</w:t>
      </w:r>
      <w:r w:rsidR="00402BE6">
        <w:rPr>
          <w:rFonts w:cs="Arial"/>
          <w:color w:val="000000"/>
          <w:sz w:val="20"/>
          <w:szCs w:val="20"/>
          <w:lang w:eastAsia="en-GB"/>
        </w:rPr>
        <w:t xml:space="preserve">20] [21] </w:t>
      </w:r>
    </w:p>
    <w:p w14:paraId="02FF62AA" w14:textId="69982AD6" w:rsidR="00353617" w:rsidRPr="00F622D6" w:rsidRDefault="00353617" w:rsidP="00F622D6">
      <w:pPr>
        <w:spacing w:before="100" w:beforeAutospacing="1" w:after="100" w:afterAutospacing="1" w:line="240" w:lineRule="auto"/>
        <w:jc w:val="left"/>
        <w:rPr>
          <w:rFonts w:cs="Arial"/>
          <w:color w:val="000000"/>
          <w:sz w:val="20"/>
          <w:szCs w:val="20"/>
          <w:lang w:eastAsia="en-GB"/>
        </w:rPr>
      </w:pPr>
      <w:r w:rsidRPr="00353617">
        <w:rPr>
          <w:rFonts w:cs="Arial"/>
          <w:color w:val="000000"/>
          <w:sz w:val="20"/>
          <w:szCs w:val="20"/>
          <w:lang w:eastAsia="en-GB"/>
        </w:rPr>
        <w:lastRenderedPageBreak/>
        <w:t>DSA 03.OME requires OME risk to be managed across the MTDS and supported by a clear safety argument and suitable evidence. This supports the use of engineering controls, controlled maintenance, competent personnel and regular review throughout the system lifecycle</w:t>
      </w:r>
      <w:r>
        <w:rPr>
          <w:rFonts w:cs="Arial"/>
          <w:color w:val="000000"/>
          <w:sz w:val="20"/>
          <w:szCs w:val="20"/>
          <w:lang w:eastAsia="en-GB"/>
        </w:rPr>
        <w:t xml:space="preserve">. </w:t>
      </w:r>
      <w:r w:rsidRPr="00353617">
        <w:rPr>
          <w:rFonts w:cs="Arial"/>
          <w:color w:val="000000"/>
          <w:sz w:val="20"/>
          <w:szCs w:val="20"/>
          <w:lang w:eastAsia="en-GB"/>
        </w:rPr>
        <w:t>[3]</w:t>
      </w:r>
      <w:r>
        <w:rPr>
          <w:rFonts w:cs="Arial"/>
          <w:color w:val="000000"/>
          <w:sz w:val="20"/>
          <w:szCs w:val="20"/>
          <w:lang w:eastAsia="en-GB"/>
        </w:rPr>
        <w:t xml:space="preserve"> </w:t>
      </w:r>
      <w:r w:rsidR="00402BE6">
        <w:rPr>
          <w:rFonts w:cs="Arial"/>
          <w:color w:val="000000"/>
          <w:sz w:val="20"/>
          <w:szCs w:val="20"/>
          <w:lang w:eastAsia="en-GB"/>
        </w:rPr>
        <w:t xml:space="preserve">[4] </w:t>
      </w:r>
      <w:r w:rsidRPr="00353617">
        <w:rPr>
          <w:rFonts w:cs="Arial"/>
          <w:color w:val="000000"/>
          <w:sz w:val="20"/>
          <w:szCs w:val="20"/>
          <w:lang w:eastAsia="en-GB"/>
        </w:rPr>
        <w:t>[5]</w:t>
      </w:r>
    </w:p>
    <w:p w14:paraId="45C5F13E" w14:textId="7B30498F" w:rsidR="00DB1C19" w:rsidRPr="00464DD7" w:rsidRDefault="00DB1C19" w:rsidP="00DB1C19">
      <w:pPr>
        <w:pStyle w:val="Heading2"/>
        <w:rPr>
          <w:sz w:val="24"/>
          <w:szCs w:val="24"/>
        </w:rPr>
      </w:pPr>
      <w:bookmarkStart w:id="57" w:name="_Toc234948160"/>
      <w:r w:rsidRPr="00464DD7">
        <w:rPr>
          <w:sz w:val="24"/>
          <w:szCs w:val="24"/>
        </w:rPr>
        <w:t>Maintaining ALARP in Future</w:t>
      </w:r>
      <w:bookmarkEnd w:id="57"/>
    </w:p>
    <w:p w14:paraId="4C00EDC6" w14:textId="15C87869" w:rsidR="00F622D6" w:rsidRPr="00F622D6" w:rsidRDefault="00F622D6" w:rsidP="00F622D6">
      <w:pPr>
        <w:spacing w:before="100" w:beforeAutospacing="1" w:after="100" w:afterAutospacing="1" w:line="240" w:lineRule="auto"/>
        <w:jc w:val="left"/>
        <w:rPr>
          <w:rFonts w:cs="Arial"/>
          <w:color w:val="000000"/>
          <w:sz w:val="20"/>
          <w:szCs w:val="20"/>
          <w:lang w:eastAsia="en-GB"/>
        </w:rPr>
      </w:pPr>
      <w:r w:rsidRPr="00F622D6">
        <w:rPr>
          <w:rFonts w:cs="Arial"/>
          <w:color w:val="000000"/>
          <w:sz w:val="20"/>
          <w:szCs w:val="20"/>
          <w:lang w:eastAsia="en-GB"/>
        </w:rPr>
        <w:t xml:space="preserve">ALARP is not a </w:t>
      </w:r>
      <w:r w:rsidR="00C82B06" w:rsidRPr="00F622D6">
        <w:rPr>
          <w:rFonts w:cs="Arial"/>
          <w:color w:val="000000"/>
          <w:sz w:val="20"/>
          <w:szCs w:val="20"/>
          <w:lang w:eastAsia="en-GB"/>
        </w:rPr>
        <w:t>one</w:t>
      </w:r>
      <w:r w:rsidR="00C82B06">
        <w:rPr>
          <w:rFonts w:cs="Arial"/>
          <w:color w:val="000000"/>
          <w:sz w:val="20"/>
          <w:szCs w:val="20"/>
          <w:lang w:eastAsia="en-GB"/>
        </w:rPr>
        <w:t>-off</w:t>
      </w:r>
      <w:r w:rsidRPr="00F622D6">
        <w:rPr>
          <w:rFonts w:cs="Arial"/>
          <w:color w:val="000000"/>
          <w:sz w:val="20"/>
          <w:szCs w:val="20"/>
          <w:lang w:eastAsia="en-GB"/>
        </w:rPr>
        <w:t xml:space="preserve"> decision. It should be reviewed</w:t>
      </w:r>
      <w:r w:rsidR="001401F7">
        <w:rPr>
          <w:rFonts w:cs="Arial"/>
          <w:color w:val="000000"/>
          <w:sz w:val="20"/>
          <w:szCs w:val="20"/>
          <w:lang w:eastAsia="en-GB"/>
        </w:rPr>
        <w:t xml:space="preserve"> periodically</w:t>
      </w:r>
      <w:r w:rsidRPr="00F622D6">
        <w:rPr>
          <w:rFonts w:cs="Arial"/>
          <w:color w:val="000000"/>
          <w:sz w:val="20"/>
          <w:szCs w:val="20"/>
          <w:lang w:eastAsia="en-GB"/>
        </w:rPr>
        <w:t>. Incidents, near misses, repeated defects or evidence that a control is ineffective should also trigger a review. Inspection findings, maintenance histor</w:t>
      </w:r>
      <w:r w:rsidR="00C82B06">
        <w:rPr>
          <w:rFonts w:cs="Arial"/>
          <w:color w:val="000000"/>
          <w:sz w:val="20"/>
          <w:szCs w:val="20"/>
          <w:lang w:eastAsia="en-GB"/>
        </w:rPr>
        <w:t xml:space="preserve">y </w:t>
      </w:r>
      <w:r w:rsidRPr="00F622D6">
        <w:rPr>
          <w:rFonts w:cs="Arial"/>
          <w:color w:val="000000"/>
          <w:sz w:val="20"/>
          <w:szCs w:val="20"/>
          <w:lang w:eastAsia="en-GB"/>
        </w:rPr>
        <w:t>and user feedback should be considered together so that patterns are not missed.</w:t>
      </w:r>
      <w:r w:rsidR="00402BE6">
        <w:rPr>
          <w:rFonts w:cs="Arial"/>
          <w:color w:val="000000"/>
          <w:sz w:val="20"/>
          <w:szCs w:val="20"/>
          <w:lang w:eastAsia="en-GB"/>
        </w:rPr>
        <w:t xml:space="preserve"> [4] [5]</w:t>
      </w:r>
    </w:p>
    <w:p w14:paraId="253FCFA9" w14:textId="1A9ABC24" w:rsidR="001401F7" w:rsidRPr="001401F7" w:rsidRDefault="001401F7" w:rsidP="001401F7">
      <w:pPr>
        <w:spacing w:before="100" w:beforeAutospacing="1" w:after="100" w:afterAutospacing="1" w:line="240" w:lineRule="auto"/>
        <w:jc w:val="left"/>
        <w:rPr>
          <w:rFonts w:cs="Arial"/>
          <w:color w:val="000000"/>
          <w:sz w:val="20"/>
          <w:szCs w:val="20"/>
          <w:lang w:eastAsia="en-GB"/>
        </w:rPr>
      </w:pPr>
      <w:r w:rsidRPr="001401F7">
        <w:rPr>
          <w:rFonts w:cs="Arial"/>
          <w:color w:val="000000"/>
          <w:sz w:val="20"/>
          <w:szCs w:val="20"/>
          <w:lang w:eastAsia="en-GB"/>
        </w:rPr>
        <w:t xml:space="preserve">A formal review should take place if faults </w:t>
      </w:r>
      <w:r w:rsidRPr="001401F7">
        <w:rPr>
          <w:rFonts w:cs="Arial"/>
          <w:color w:val="000000"/>
          <w:sz w:val="20"/>
          <w:szCs w:val="20"/>
          <w:lang w:eastAsia="en-GB"/>
        </w:rPr>
        <w:t>repeat</w:t>
      </w:r>
      <w:r w:rsidRPr="001401F7">
        <w:rPr>
          <w:rFonts w:cs="Arial"/>
          <w:color w:val="000000"/>
          <w:sz w:val="20"/>
          <w:szCs w:val="20"/>
          <w:lang w:eastAsia="en-GB"/>
        </w:rPr>
        <w:t xml:space="preserve">, a safety-significant test fails, operating limits change or a new control becomes reasonably practicable. </w:t>
      </w:r>
      <w:r w:rsidR="00C82B06">
        <w:rPr>
          <w:rFonts w:cs="Arial"/>
          <w:color w:val="000000"/>
          <w:sz w:val="20"/>
          <w:szCs w:val="20"/>
          <w:lang w:eastAsia="en-GB"/>
        </w:rPr>
        <w:t xml:space="preserve">Possible </w:t>
      </w:r>
      <w:r w:rsidRPr="001401F7">
        <w:rPr>
          <w:rFonts w:cs="Arial"/>
          <w:color w:val="000000"/>
          <w:sz w:val="20"/>
          <w:szCs w:val="20"/>
          <w:lang w:eastAsia="en-GB"/>
        </w:rPr>
        <w:t xml:space="preserve">technologies </w:t>
      </w:r>
      <w:r w:rsidR="00C82B06">
        <w:rPr>
          <w:rFonts w:cs="Arial"/>
          <w:color w:val="000000"/>
          <w:sz w:val="20"/>
          <w:szCs w:val="20"/>
          <w:lang w:eastAsia="en-GB"/>
        </w:rPr>
        <w:t xml:space="preserve">that could become practicable </w:t>
      </w:r>
      <w:r w:rsidRPr="001401F7">
        <w:rPr>
          <w:rFonts w:cs="Arial"/>
          <w:color w:val="000000"/>
          <w:sz w:val="20"/>
          <w:szCs w:val="20"/>
          <w:lang w:eastAsia="en-GB"/>
        </w:rPr>
        <w:t xml:space="preserve">include online insulation monitoring, moisture or temperature sensing within electrical enclosures, improved connector-health monitoring and built-in diagnostic testing. </w:t>
      </w:r>
      <w:r w:rsidR="00353617" w:rsidRPr="00353617">
        <w:rPr>
          <w:rFonts w:cs="Arial"/>
          <w:color w:val="000000"/>
          <w:sz w:val="20"/>
          <w:szCs w:val="20"/>
          <w:lang w:eastAsia="en-GB"/>
        </w:rPr>
        <w:t>Research has shown that online insulation monitoring can track deterioration before failure, although its suitability for t</w:t>
      </w:r>
      <w:r w:rsidR="00C82B06">
        <w:rPr>
          <w:rFonts w:cs="Arial"/>
          <w:color w:val="000000"/>
          <w:sz w:val="20"/>
          <w:szCs w:val="20"/>
          <w:lang w:eastAsia="en-GB"/>
        </w:rPr>
        <w:t>he</w:t>
      </w:r>
      <w:r w:rsidR="00353617" w:rsidRPr="00353617">
        <w:rPr>
          <w:rFonts w:cs="Arial"/>
          <w:color w:val="000000"/>
          <w:sz w:val="20"/>
          <w:szCs w:val="20"/>
          <w:lang w:eastAsia="en-GB"/>
        </w:rPr>
        <w:t xml:space="preserve"> gun system would still need to be demonstrated</w:t>
      </w:r>
      <w:r w:rsidR="00353617">
        <w:rPr>
          <w:rFonts w:cs="Arial"/>
          <w:color w:val="000000"/>
          <w:sz w:val="20"/>
          <w:szCs w:val="20"/>
          <w:lang w:eastAsia="en-GB"/>
        </w:rPr>
        <w:t>.</w:t>
      </w:r>
      <w:r w:rsidR="00353617" w:rsidRPr="00353617">
        <w:rPr>
          <w:rFonts w:cs="Arial"/>
          <w:color w:val="000000"/>
          <w:sz w:val="20"/>
          <w:szCs w:val="20"/>
          <w:lang w:eastAsia="en-GB"/>
        </w:rPr>
        <w:t xml:space="preserve"> [19]</w:t>
      </w:r>
    </w:p>
    <w:p w14:paraId="1C0E3C32" w14:textId="5FB6DAD1" w:rsidR="001401F7" w:rsidRPr="001401F7" w:rsidRDefault="001401F7" w:rsidP="001401F7">
      <w:pPr>
        <w:spacing w:before="100" w:beforeAutospacing="1" w:after="100" w:afterAutospacing="1" w:line="240" w:lineRule="auto"/>
        <w:jc w:val="left"/>
        <w:rPr>
          <w:rFonts w:cs="Arial"/>
          <w:color w:val="000000"/>
          <w:sz w:val="20"/>
          <w:szCs w:val="20"/>
          <w:lang w:eastAsia="en-GB"/>
        </w:rPr>
      </w:pPr>
      <w:r w:rsidRPr="001401F7">
        <w:rPr>
          <w:rFonts w:cs="Arial"/>
          <w:color w:val="000000"/>
          <w:sz w:val="20"/>
          <w:szCs w:val="20"/>
          <w:lang w:eastAsia="en-GB"/>
        </w:rPr>
        <w:t xml:space="preserve">New technology should not be adopted only because it is available. Before wider use, it should be shown to provide reliable warning, avoid unacceptable false alarms and not create unsafe dependence on software or sensors. A </w:t>
      </w:r>
      <w:r>
        <w:rPr>
          <w:rFonts w:cs="Arial"/>
          <w:color w:val="000000"/>
          <w:sz w:val="20"/>
          <w:szCs w:val="20"/>
          <w:lang w:eastAsia="en-GB"/>
        </w:rPr>
        <w:t>test</w:t>
      </w:r>
      <w:r w:rsidRPr="001401F7">
        <w:rPr>
          <w:rFonts w:cs="Arial"/>
          <w:color w:val="000000"/>
          <w:sz w:val="20"/>
          <w:szCs w:val="20"/>
          <w:lang w:eastAsia="en-GB"/>
        </w:rPr>
        <w:t xml:space="preserve"> trial on the highest-risk circuits would allow the safety benefit and maintenance burden to be measured. Wider installation should then be reconsidered if repeated faults occur, inspections fail to detect deterioration or the technology becomes more reliable and affordable.</w:t>
      </w:r>
    </w:p>
    <w:p w14:paraId="347557F9" w14:textId="790B9830" w:rsidR="00DB1C19" w:rsidRPr="00464DD7" w:rsidRDefault="00DB1C19" w:rsidP="00240875">
      <w:pPr>
        <w:pStyle w:val="Heading2"/>
        <w:rPr>
          <w:sz w:val="24"/>
          <w:szCs w:val="24"/>
        </w:rPr>
      </w:pPr>
      <w:bookmarkStart w:id="58" w:name="_Toc234948161"/>
      <w:r w:rsidRPr="00464DD7">
        <w:rPr>
          <w:sz w:val="24"/>
          <w:szCs w:val="24"/>
        </w:rPr>
        <w:t>Conclusion</w:t>
      </w:r>
      <w:bookmarkEnd w:id="58"/>
      <w:r w:rsidRPr="00464DD7">
        <w:rPr>
          <w:sz w:val="24"/>
          <w:szCs w:val="24"/>
        </w:rPr>
        <w:t xml:space="preserve"> </w:t>
      </w:r>
    </w:p>
    <w:p w14:paraId="6FDCA8C2" w14:textId="230593EF" w:rsidR="00272FFE" w:rsidRPr="00272FFE" w:rsidRDefault="00272FFE" w:rsidP="00272FFE">
      <w:pPr>
        <w:spacing w:before="100" w:beforeAutospacing="1" w:after="100" w:afterAutospacing="1" w:line="240" w:lineRule="auto"/>
        <w:jc w:val="left"/>
        <w:rPr>
          <w:rFonts w:cs="Arial"/>
          <w:color w:val="000000"/>
          <w:sz w:val="20"/>
          <w:szCs w:val="20"/>
          <w:lang w:eastAsia="en-GB"/>
        </w:rPr>
      </w:pPr>
      <w:r w:rsidRPr="00272FFE">
        <w:rPr>
          <w:rFonts w:cs="Arial"/>
          <w:color w:val="000000"/>
          <w:sz w:val="20"/>
          <w:szCs w:val="20"/>
          <w:lang w:eastAsia="en-GB"/>
        </w:rPr>
        <w:t>The electrical hazard cannot be eliminated completely because electrical equipment supports the operation, control and safety of the gun system. The selected controls reduce the likelihood of electric shock, unintended energisation, loss of an interlock and unintended firing by preventing faults, detecting deterioration and limiting the consequence of a failure.</w:t>
      </w:r>
    </w:p>
    <w:p w14:paraId="7F42FECD" w14:textId="3DFBEE4F" w:rsidR="00272FFE" w:rsidRPr="00272FFE" w:rsidRDefault="00272FFE" w:rsidP="00272FFE">
      <w:pPr>
        <w:spacing w:before="100" w:beforeAutospacing="1" w:after="100" w:afterAutospacing="1" w:line="240" w:lineRule="auto"/>
        <w:jc w:val="left"/>
        <w:rPr>
          <w:rFonts w:cs="Arial"/>
          <w:color w:val="000000"/>
          <w:sz w:val="20"/>
          <w:szCs w:val="20"/>
          <w:lang w:eastAsia="en-GB"/>
        </w:rPr>
      </w:pPr>
      <w:r>
        <w:rPr>
          <w:rFonts w:cs="Arial"/>
          <w:color w:val="000000"/>
          <w:sz w:val="20"/>
          <w:szCs w:val="20"/>
          <w:lang w:eastAsia="en-GB"/>
        </w:rPr>
        <w:t>With the controls and mitigation</w:t>
      </w:r>
      <w:r w:rsidR="002C5780">
        <w:rPr>
          <w:rFonts w:cs="Arial"/>
          <w:color w:val="000000"/>
          <w:sz w:val="20"/>
          <w:szCs w:val="20"/>
          <w:lang w:eastAsia="en-GB"/>
        </w:rPr>
        <w:t xml:space="preserve">s </w:t>
      </w:r>
      <w:r>
        <w:rPr>
          <w:rFonts w:cs="Arial"/>
          <w:color w:val="000000"/>
          <w:sz w:val="20"/>
          <w:szCs w:val="20"/>
          <w:lang w:eastAsia="en-GB"/>
        </w:rPr>
        <w:t>in place</w:t>
      </w:r>
      <w:r w:rsidRPr="00272FFE">
        <w:rPr>
          <w:rFonts w:cs="Arial"/>
          <w:color w:val="000000"/>
          <w:sz w:val="20"/>
          <w:szCs w:val="20"/>
          <w:lang w:eastAsia="en-GB"/>
        </w:rPr>
        <w:t xml:space="preserve">, the risk is reduced from Occasional / Critical / B to Improbable / Critical / C. This does not automatically </w:t>
      </w:r>
      <w:r>
        <w:rPr>
          <w:rFonts w:cs="Arial"/>
          <w:color w:val="000000"/>
          <w:sz w:val="20"/>
          <w:szCs w:val="20"/>
          <w:lang w:eastAsia="en-GB"/>
        </w:rPr>
        <w:t xml:space="preserve">mean the hazard is </w:t>
      </w:r>
      <w:r w:rsidRPr="00272FFE">
        <w:rPr>
          <w:rFonts w:cs="Arial"/>
          <w:color w:val="000000"/>
          <w:sz w:val="20"/>
          <w:szCs w:val="20"/>
          <w:lang w:eastAsia="en-GB"/>
        </w:rPr>
        <w:t>ALARP. The conclusion is that relevant good practice has been applied, further controls have been considered and universal implementation of the discounted controls would currently be grossly disproportionate to their additional safety benefit.</w:t>
      </w:r>
    </w:p>
    <w:p w14:paraId="48CFD6E3" w14:textId="5BC68AF0" w:rsidR="005C1DB5" w:rsidRPr="00F622D6" w:rsidRDefault="00272FFE" w:rsidP="00F622D6">
      <w:pPr>
        <w:spacing w:before="100" w:beforeAutospacing="1" w:after="100" w:afterAutospacing="1" w:line="240" w:lineRule="auto"/>
        <w:jc w:val="left"/>
        <w:rPr>
          <w:rFonts w:cs="Arial"/>
          <w:color w:val="000000"/>
          <w:sz w:val="20"/>
          <w:szCs w:val="20"/>
          <w:lang w:eastAsia="en-GB"/>
        </w:rPr>
      </w:pPr>
      <w:r w:rsidRPr="00272FFE">
        <w:rPr>
          <w:rFonts w:cs="Arial"/>
          <w:color w:val="000000"/>
          <w:sz w:val="20"/>
          <w:szCs w:val="20"/>
          <w:lang w:eastAsia="en-GB"/>
        </w:rPr>
        <w:t>The risk is therefore considered tolerable and ALARP provided that the identified controls are assigned to responsible owners, tested, maintained and supported by</w:t>
      </w:r>
      <w:r w:rsidR="00C82B06">
        <w:rPr>
          <w:rFonts w:cs="Arial"/>
          <w:color w:val="000000"/>
          <w:sz w:val="20"/>
          <w:szCs w:val="20"/>
          <w:lang w:eastAsia="en-GB"/>
        </w:rPr>
        <w:t xml:space="preserve"> data</w:t>
      </w:r>
      <w:r w:rsidRPr="00272FFE">
        <w:rPr>
          <w:rFonts w:cs="Arial"/>
          <w:color w:val="000000"/>
          <w:sz w:val="20"/>
          <w:szCs w:val="20"/>
          <w:lang w:eastAsia="en-GB"/>
        </w:rPr>
        <w:t xml:space="preserve">. </w:t>
      </w:r>
      <w:r w:rsidR="00C82B06">
        <w:rPr>
          <w:rFonts w:cs="Arial"/>
          <w:color w:val="000000"/>
          <w:sz w:val="20"/>
          <w:szCs w:val="20"/>
          <w:lang w:eastAsia="en-GB"/>
        </w:rPr>
        <w:t>However, this</w:t>
      </w:r>
      <w:r w:rsidRPr="00272FFE">
        <w:rPr>
          <w:rFonts w:cs="Arial"/>
          <w:color w:val="000000"/>
          <w:sz w:val="20"/>
          <w:szCs w:val="20"/>
          <w:lang w:eastAsia="en-GB"/>
        </w:rPr>
        <w:t xml:space="preserve"> must be reviewed following an incident, repeated defect, failed safety-significant test, change in use or evidence that a previously discounted control has become reasonably practicable.</w:t>
      </w:r>
    </w:p>
    <w:p w14:paraId="746B698B" w14:textId="670858AB" w:rsidR="005C1DB5" w:rsidRDefault="005C1DB5">
      <w:pPr>
        <w:spacing w:before="0" w:after="200" w:line="276" w:lineRule="auto"/>
        <w:jc w:val="left"/>
        <w:rPr>
          <w:rFonts w:cs="Arial"/>
          <w:b/>
          <w:bCs/>
          <w:kern w:val="32"/>
          <w:sz w:val="32"/>
          <w:szCs w:val="32"/>
        </w:rPr>
      </w:pPr>
    </w:p>
    <w:p w14:paraId="00232A5A" w14:textId="77777777" w:rsidR="00FE44B8" w:rsidRDefault="00FE44B8">
      <w:pPr>
        <w:spacing w:before="0" w:after="200" w:line="276" w:lineRule="auto"/>
        <w:jc w:val="left"/>
        <w:rPr>
          <w:rFonts w:cs="Arial"/>
          <w:b/>
          <w:bCs/>
          <w:kern w:val="32"/>
          <w:sz w:val="28"/>
          <w:szCs w:val="28"/>
        </w:rPr>
      </w:pPr>
      <w:r>
        <w:rPr>
          <w:sz w:val="28"/>
          <w:szCs w:val="28"/>
        </w:rPr>
        <w:br w:type="page"/>
      </w:r>
    </w:p>
    <w:p w14:paraId="733B9725" w14:textId="6042DCF2" w:rsidR="00CB2CE7" w:rsidRPr="009323BE" w:rsidRDefault="00AB0B1E" w:rsidP="00DB1C19">
      <w:pPr>
        <w:pStyle w:val="Heading1"/>
        <w:rPr>
          <w:sz w:val="28"/>
          <w:szCs w:val="28"/>
        </w:rPr>
      </w:pPr>
      <w:bookmarkStart w:id="59" w:name="_Toc234948162"/>
      <w:r w:rsidRPr="009323BE">
        <w:rPr>
          <w:sz w:val="28"/>
          <w:szCs w:val="28"/>
        </w:rPr>
        <w:lastRenderedPageBreak/>
        <w:t>References</w:t>
      </w:r>
      <w:bookmarkEnd w:id="59"/>
      <w:r w:rsidRPr="009323BE">
        <w:rPr>
          <w:sz w:val="28"/>
          <w:szCs w:val="28"/>
        </w:rPr>
        <w:t xml:space="preserve"> </w:t>
      </w:r>
    </w:p>
    <w:bookmarkEnd w:id="31"/>
    <w:bookmarkEnd w:id="32"/>
    <w:bookmarkEnd w:id="33"/>
    <w:bookmarkEnd w:id="34"/>
    <w:bookmarkEnd w:id="35"/>
    <w:bookmarkEnd w:id="36"/>
    <w:bookmarkEnd w:id="37"/>
    <w:bookmarkEnd w:id="38"/>
    <w:p w14:paraId="4AE8CF89" w14:textId="45FF200B"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w:t>
      </w:r>
      <w:r w:rsidRPr="00353617">
        <w:rPr>
          <w:rFonts w:cs="Arial"/>
          <w:color w:val="000000"/>
          <w:sz w:val="20"/>
          <w:szCs w:val="20"/>
          <w:lang w:eastAsia="en-GB"/>
        </w:rPr>
        <w:t xml:space="preserve"> Health and Safety Executive, Explosives Regulations 2014: Guidance on Regulations—Safety Provisions, L150, 1st ed. Bootle, UK: HSE, 2014. [Online]. Available: https://www.hse.gov.uk/pubns/books/l150.htm. </w:t>
      </w:r>
    </w:p>
    <w:p w14:paraId="0D1158CE" w14:textId="5C0066EF"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[2]</w:t>
      </w:r>
      <w:r w:rsidRPr="00353617">
        <w:rPr>
          <w:rFonts w:cs="Arial"/>
          <w:color w:val="000000"/>
          <w:sz w:val="20"/>
          <w:szCs w:val="20"/>
          <w:lang w:eastAsia="en-GB"/>
        </w:rPr>
        <w:t xml:space="preserve"> UK Government, The Carriage of Dangerous Goods and Use of Transportable Pressure Equipment Regulations 2009, SI 2009/1348, as amended. [Online]. Available: https://www.legislation.gov.uk/uksi/2009/1348/contents.</w:t>
      </w:r>
    </w:p>
    <w:p w14:paraId="2A5A0ECC" w14:textId="6CEA7879"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[3]</w:t>
      </w:r>
      <w:r w:rsidRPr="00353617">
        <w:rPr>
          <w:rFonts w:cs="Arial"/>
          <w:color w:val="000000"/>
          <w:sz w:val="20"/>
          <w:szCs w:val="20"/>
          <w:lang w:eastAsia="en-GB"/>
        </w:rPr>
        <w:t xml:space="preserve"> Ministry of Defence and Defence Safety Authority, DSA 03.OME Part 1: Defence Code of Practice 104—Manufacture to Target or Disposal Sequence, ver. 2.0, Feb. 2026. [Online]. Available: https://assets.publishing.service.gov.uk/media/69b15f7658d4ef5adaf0e442/DSA_03.OME_Part_1-DCOP104_Manufacture_to_Target_or_Disposal_Sequence__MTDS___v2.0_Feb_26_.pdf.</w:t>
      </w:r>
    </w:p>
    <w:p w14:paraId="17520214" w14:textId="0E35BB81"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[4]</w:t>
      </w:r>
      <w:r w:rsidRPr="00353617">
        <w:rPr>
          <w:rFonts w:cs="Arial"/>
          <w:color w:val="000000"/>
          <w:sz w:val="20"/>
          <w:szCs w:val="20"/>
          <w:lang w:eastAsia="en-GB"/>
        </w:rPr>
        <w:t xml:space="preserve"> Ministry of Defence and Defence Safety Authority, DSA 03.OME Part 1: Defence Code of Practice 105—Safety Risk Management, ver. 2.0, Feb. 2026. [Online]. Available: https://assets.publishing.service.gov.uk/media/69b15f8824c6431b84f0e440/DSA_03.OME_Part_1-DCOP105_Safety_Risk_Management__v2.0_Feb_26_.pdf.</w:t>
      </w:r>
    </w:p>
    <w:p w14:paraId="1E00FCDE" w14:textId="0EEF38FF"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[5]</w:t>
      </w:r>
      <w:r w:rsidRPr="00353617">
        <w:rPr>
          <w:rFonts w:cs="Arial"/>
          <w:color w:val="000000"/>
          <w:sz w:val="20"/>
          <w:szCs w:val="20"/>
          <w:lang w:eastAsia="en-GB"/>
        </w:rPr>
        <w:t xml:space="preserve"> Ministry of Defence and Defence Safety Authority, DSA 03.OME Part 1: Defence Code of Practice 103—OME Safety and Environmental Case(s) and Report(s), ver. 2.0, Feb. 2026. [Online]. Available: https://assets.publishing.service.gov.uk/media/69b15eca187a6dea7823317b/DSA_03.OME_Part_1-DCOP103_OME_Safety_and_Environmental_Case_s__and_Report_s___v2.0_Feb_26_.pdf. </w:t>
      </w:r>
    </w:p>
    <w:p w14:paraId="1F239AB9" w14:textId="2ADE740B"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[6]</w:t>
      </w:r>
      <w:r w:rsidRPr="00353617">
        <w:rPr>
          <w:rFonts w:cs="Arial"/>
          <w:color w:val="000000"/>
          <w:sz w:val="20"/>
          <w:szCs w:val="20"/>
          <w:lang w:eastAsia="en-GB"/>
        </w:rPr>
        <w:t xml:space="preserve"> Health and Safety Executive, “Managing risks and risk assessment at work,” Mar. 24, 2025. [Online]. Available: https://www.hse.gov.uk/risk/. </w:t>
      </w:r>
    </w:p>
    <w:p w14:paraId="1E4A05CC" w14:textId="04115784"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[7]</w:t>
      </w:r>
      <w:r w:rsidRPr="00353617">
        <w:rPr>
          <w:rFonts w:cs="Arial"/>
          <w:color w:val="000000"/>
          <w:sz w:val="20"/>
          <w:szCs w:val="20"/>
          <w:lang w:eastAsia="en-GB"/>
        </w:rPr>
        <w:t xml:space="preserve"> Health and Safety Executive, “Guidelines for HSE inspectors,” updated Jun. 30, 2025. [Online]. Available: https://www.hse.gov.uk/enforce/expert/index.htm. </w:t>
      </w:r>
    </w:p>
    <w:p w14:paraId="0E4D1127" w14:textId="30ED2129"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[8]</w:t>
      </w:r>
      <w:r w:rsidRPr="00353617">
        <w:rPr>
          <w:rFonts w:cs="Arial"/>
          <w:color w:val="000000"/>
          <w:sz w:val="20"/>
          <w:szCs w:val="20"/>
          <w:lang w:eastAsia="en-GB"/>
        </w:rPr>
        <w:t xml:space="preserve"> Health and Safety Executive, “As low as reasonably practicable (ALARP),” Competent Authority Procedures and Delivery Guides. [Online]. Available: https://www.hse.gov.uk/comah/ca-guides.htm. </w:t>
      </w:r>
    </w:p>
    <w:p w14:paraId="7F5CF194" w14:textId="5935FC2C"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[9]</w:t>
      </w:r>
      <w:r w:rsidRPr="00353617">
        <w:rPr>
          <w:rFonts w:cs="Arial"/>
          <w:color w:val="000000"/>
          <w:sz w:val="20"/>
          <w:szCs w:val="20"/>
          <w:lang w:eastAsia="en-GB"/>
        </w:rPr>
        <w:t xml:space="preserve"> UK Government, The Electricity at Work Regulations 1989, SI 1989/635, regs. 4–16. [Online]. Available: https://www.legislation.gov.uk/uksi/1989/635/part/II. </w:t>
      </w:r>
    </w:p>
    <w:p w14:paraId="1A31E900" w14:textId="3F93AC43"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[10]</w:t>
      </w:r>
      <w:r w:rsidRPr="00353617">
        <w:rPr>
          <w:rFonts w:cs="Arial"/>
          <w:color w:val="000000"/>
          <w:sz w:val="20"/>
          <w:szCs w:val="20"/>
          <w:lang w:eastAsia="en-GB"/>
        </w:rPr>
        <w:t xml:space="preserve"> Health and Safety Executive, The Electricity at Work Regulations 1989: Guidance on Regulations, HSR25, 3rd ed. Bootle, UK: HSE, 2015. [Online]. Available: https://www.hse.gov.uk/pubns/books/hsr25.htm. </w:t>
      </w:r>
    </w:p>
    <w:p w14:paraId="16B341C2" w14:textId="1DF6AD34"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[11]</w:t>
      </w:r>
      <w:r w:rsidRPr="00353617">
        <w:rPr>
          <w:rFonts w:cs="Arial"/>
          <w:color w:val="000000"/>
          <w:sz w:val="20"/>
          <w:szCs w:val="20"/>
          <w:lang w:eastAsia="en-GB"/>
        </w:rPr>
        <w:t xml:space="preserve"> Health and Safety Executive, Electricity at Work: Safe Working Practices, HSG85, 3rd ed. Bootle, UK: HSE, 2013. [Online]. Available: https://www.hse.gov.uk/pubns/books/hsg85.htm. </w:t>
      </w:r>
    </w:p>
    <w:p w14:paraId="54E1219D" w14:textId="35BB4AE5"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[12]</w:t>
      </w:r>
      <w:r w:rsidRPr="00353617">
        <w:rPr>
          <w:rFonts w:cs="Arial"/>
          <w:color w:val="000000"/>
          <w:sz w:val="20"/>
          <w:szCs w:val="20"/>
          <w:lang w:eastAsia="en-GB"/>
        </w:rPr>
        <w:t xml:space="preserve"> Ministry of Defence and Defence Safety Authority, DSA 03.OME Part 1: Defence Code of Practice 111—Electromagnetic Environmental Effects, ver. 2.0, Feb. 2026. [Online]. Available: https://assets.publishing.service.gov.uk/media/69b1601758d4ef5adaf0e443/DSA_03.OME_Part_1-DCOP111_Electromagnetic_Environmental_Effects__E3___v2.0_Feb_26_.pdf. </w:t>
      </w:r>
    </w:p>
    <w:p w14:paraId="5909D1EC" w14:textId="5E880E00"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[13]</w:t>
      </w:r>
      <w:r w:rsidRPr="00353617">
        <w:rPr>
          <w:rFonts w:cs="Arial"/>
          <w:color w:val="000000"/>
          <w:sz w:val="20"/>
          <w:szCs w:val="20"/>
          <w:lang w:eastAsia="en-GB"/>
        </w:rPr>
        <w:t xml:space="preserve"> Health and Safety Executive, Controlling Noise at Work: The Control of Noise at Work Regulations 2005, L108, 3rd ed. Bootle, UK: HSE, 2021. [Online]. Available: https://www.hse.gov.uk/pubns/books/l108.htm. </w:t>
      </w:r>
    </w:p>
    <w:p w14:paraId="3C7C59EF" w14:textId="0A4D17C8"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[14]</w:t>
      </w:r>
      <w:r w:rsidRPr="00353617">
        <w:rPr>
          <w:rFonts w:cs="Arial"/>
          <w:color w:val="000000"/>
          <w:sz w:val="20"/>
          <w:szCs w:val="20"/>
          <w:lang w:eastAsia="en-GB"/>
        </w:rPr>
        <w:t xml:space="preserve"> UK Government, The Control of Substances Hazardous to Health Regulations 2002, SI 2002/2677. [Online]. Available: https://www.legislation.gov.uk/uksi/2002/2677/contents. </w:t>
      </w:r>
    </w:p>
    <w:p w14:paraId="67EB287B" w14:textId="7B3A36E3"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[15]</w:t>
      </w:r>
      <w:r w:rsidRPr="00353617">
        <w:rPr>
          <w:rFonts w:cs="Arial"/>
          <w:color w:val="000000"/>
          <w:sz w:val="20"/>
          <w:szCs w:val="20"/>
          <w:lang w:eastAsia="en-GB"/>
        </w:rPr>
        <w:t xml:space="preserve"> Health and Safety Executive, Controlling Airborne Contaminants at Work: A Guide to Local Exhaust Ventilation, HSG258, 3rd ed. Bootle, UK: HSE, 2017. [Online]. Available: https://www.hse.gov.uk/pubns/books/hsg258.htm. </w:t>
      </w:r>
    </w:p>
    <w:p w14:paraId="269D7340" w14:textId="7A28EE81"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lastRenderedPageBreak/>
        <w:t>[16]</w:t>
      </w:r>
      <w:r w:rsidRPr="00353617">
        <w:rPr>
          <w:rFonts w:cs="Arial"/>
          <w:color w:val="000000"/>
          <w:sz w:val="20"/>
          <w:szCs w:val="20"/>
          <w:lang w:eastAsia="en-GB"/>
        </w:rPr>
        <w:t xml:space="preserve"> Ministry of Defence and Defence Safety Authority, DSA 03.OME Part 1: Defence Code of Practice 114—Gun Barrel Proof, ver. 2.0, Feb. 2026. [Online]. Available: https://assets.publishing.service.gov.uk/media/69b1605858d4ef5adaf0e445/DSA_03.OME_Part_1-DCOP114_Gun_Barrel_Proof__v2.0_Feb_26_.pdf. </w:t>
      </w:r>
    </w:p>
    <w:p w14:paraId="201F8316" w14:textId="0F52D46F"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[17]</w:t>
      </w:r>
      <w:r w:rsidRPr="00353617">
        <w:rPr>
          <w:rFonts w:cs="Arial"/>
          <w:color w:val="000000"/>
          <w:sz w:val="20"/>
          <w:szCs w:val="20"/>
          <w:lang w:eastAsia="en-GB"/>
        </w:rPr>
        <w:t xml:space="preserve"> D. Wang, J. Xu, F. Wang, Y. Zhao, Z. Xiang and H. Ding, “A comprehensive review on the fretting wear of electrical contact interface,” Friction, vol. 13, no. 8, Art. no. 9441012, 2025, </w:t>
      </w:r>
      <w:proofErr w:type="spellStart"/>
      <w:r w:rsidRPr="00353617">
        <w:rPr>
          <w:rFonts w:cs="Arial"/>
          <w:color w:val="000000"/>
          <w:sz w:val="20"/>
          <w:szCs w:val="20"/>
          <w:lang w:eastAsia="en-GB"/>
        </w:rPr>
        <w:t>doi</w:t>
      </w:r>
      <w:proofErr w:type="spellEnd"/>
      <w:r w:rsidRPr="00353617">
        <w:rPr>
          <w:rFonts w:cs="Arial"/>
          <w:color w:val="000000"/>
          <w:sz w:val="20"/>
          <w:szCs w:val="20"/>
          <w:lang w:eastAsia="en-GB"/>
        </w:rPr>
        <w:t>: 10.26599/FRICT.2025.9441012.</w:t>
      </w:r>
    </w:p>
    <w:p w14:paraId="0BB5BA52" w14:textId="2CD23E8E"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[18]</w:t>
      </w:r>
      <w:r w:rsidRPr="00353617">
        <w:rPr>
          <w:rFonts w:cs="Arial"/>
          <w:color w:val="000000"/>
          <w:sz w:val="20"/>
          <w:szCs w:val="20"/>
          <w:lang w:eastAsia="en-GB"/>
        </w:rPr>
        <w:t xml:space="preserve"> Health and Safety Executive, “Electrician suffered shock when electrical supply had not been properly isolated,” Apr. 3, 2025. [Online]. Available: https://www.hse.gov.uk/electricity/maintenance/isolate.htm. </w:t>
      </w:r>
    </w:p>
    <w:p w14:paraId="4938C6B4" w14:textId="18B6A448"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[19]</w:t>
      </w:r>
      <w:r w:rsidRPr="00353617">
        <w:rPr>
          <w:rFonts w:cs="Arial"/>
          <w:color w:val="000000"/>
          <w:sz w:val="20"/>
          <w:szCs w:val="20"/>
          <w:lang w:eastAsia="en-GB"/>
        </w:rPr>
        <w:t xml:space="preserve"> I. </w:t>
      </w:r>
      <w:proofErr w:type="spellStart"/>
      <w:r w:rsidRPr="00353617">
        <w:rPr>
          <w:rFonts w:cs="Arial"/>
          <w:color w:val="000000"/>
          <w:sz w:val="20"/>
          <w:szCs w:val="20"/>
          <w:lang w:eastAsia="en-GB"/>
        </w:rPr>
        <w:t>Tsyokhla</w:t>
      </w:r>
      <w:proofErr w:type="spellEnd"/>
      <w:r w:rsidRPr="00353617">
        <w:rPr>
          <w:rFonts w:cs="Arial"/>
          <w:color w:val="000000"/>
          <w:sz w:val="20"/>
          <w:szCs w:val="20"/>
          <w:lang w:eastAsia="en-GB"/>
        </w:rPr>
        <w:t xml:space="preserve">, A. </w:t>
      </w:r>
      <w:proofErr w:type="spellStart"/>
      <w:r w:rsidRPr="00353617">
        <w:rPr>
          <w:rFonts w:cs="Arial"/>
          <w:color w:val="000000"/>
          <w:sz w:val="20"/>
          <w:szCs w:val="20"/>
          <w:lang w:eastAsia="en-GB"/>
        </w:rPr>
        <w:t>Griffo</w:t>
      </w:r>
      <w:proofErr w:type="spellEnd"/>
      <w:r w:rsidRPr="00353617">
        <w:rPr>
          <w:rFonts w:cs="Arial"/>
          <w:color w:val="000000"/>
          <w:sz w:val="20"/>
          <w:szCs w:val="20"/>
          <w:lang w:eastAsia="en-GB"/>
        </w:rPr>
        <w:t xml:space="preserve"> and J. Wang, “Online condition monitoring for diagnosis and prognosis of insulation degradation of inverter-fed machines,” IEEE Transactions on Industrial Electronics, vol. 66, no. 10, pp. 8126–8135, Oct. 2019, </w:t>
      </w:r>
      <w:proofErr w:type="spellStart"/>
      <w:r w:rsidRPr="00353617">
        <w:rPr>
          <w:rFonts w:cs="Arial"/>
          <w:color w:val="000000"/>
          <w:sz w:val="20"/>
          <w:szCs w:val="20"/>
          <w:lang w:eastAsia="en-GB"/>
        </w:rPr>
        <w:t>doi</w:t>
      </w:r>
      <w:proofErr w:type="spellEnd"/>
      <w:r w:rsidRPr="00353617">
        <w:rPr>
          <w:rFonts w:cs="Arial"/>
          <w:color w:val="000000"/>
          <w:sz w:val="20"/>
          <w:szCs w:val="20"/>
          <w:lang w:eastAsia="en-GB"/>
        </w:rPr>
        <w:t>: 10.1109/TIE.2018.2885740.</w:t>
      </w:r>
    </w:p>
    <w:p w14:paraId="05D42CC3" w14:textId="0A9F1B0D" w:rsidR="00353617" w:rsidRPr="00353617"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[20]</w:t>
      </w:r>
      <w:r w:rsidRPr="00353617">
        <w:rPr>
          <w:rFonts w:cs="Arial"/>
          <w:color w:val="000000"/>
          <w:sz w:val="20"/>
          <w:szCs w:val="20"/>
          <w:lang w:eastAsia="en-GB"/>
        </w:rPr>
        <w:t xml:space="preserve"> UK Government, Health and Safety at Work etc. Act 1974, c. 37, ss. 2–3. [Online]. Available: https://www.legislation.gov.uk/ukpga/1974/37/contents. </w:t>
      </w:r>
    </w:p>
    <w:p w14:paraId="14E0448B" w14:textId="108C8431" w:rsidR="00BC77C8" w:rsidRPr="00CA74E5" w:rsidRDefault="00353617" w:rsidP="00353617">
      <w:pPr>
        <w:spacing w:before="100" w:beforeAutospacing="1" w:after="100" w:afterAutospacing="1" w:line="240" w:lineRule="auto"/>
        <w:jc w:val="left"/>
        <w:rPr>
          <w:rFonts w:cs="Arial"/>
          <w:color w:val="000000"/>
          <w:sz w:val="20"/>
          <w:szCs w:val="20"/>
          <w:lang w:eastAsia="en-GB"/>
        </w:rPr>
      </w:pPr>
      <w:r w:rsidRPr="00C82B06">
        <w:rPr>
          <w:rFonts w:cs="Arial"/>
          <w:b/>
          <w:bCs/>
          <w:color w:val="000000"/>
          <w:sz w:val="20"/>
          <w:szCs w:val="20"/>
          <w:lang w:eastAsia="en-GB"/>
        </w:rPr>
        <w:t>[21]</w:t>
      </w:r>
      <w:r w:rsidRPr="00353617">
        <w:rPr>
          <w:rFonts w:cs="Arial"/>
          <w:color w:val="000000"/>
          <w:sz w:val="20"/>
          <w:szCs w:val="20"/>
          <w:lang w:eastAsia="en-GB"/>
        </w:rPr>
        <w:t xml:space="preserve"> UK Government, The Management of Health and Safety at Work Regulations 1999, SI 1999/3242, reg. 3. [Online]. Available: https://www.legislation.gov.uk/uksi/1999/3242/regulation/3.</w:t>
      </w:r>
    </w:p>
    <w:p w14:paraId="543BE9D4" w14:textId="77777777" w:rsidR="00CB2CE7" w:rsidRPr="00CB2CE7" w:rsidRDefault="00CB2CE7" w:rsidP="00CB2CE7"/>
    <w:sectPr w:rsidR="00CB2CE7" w:rsidRPr="00CB2CE7" w:rsidSect="00464DD7">
      <w:footerReference w:type="default" r:id="rId13"/>
      <w:pgSz w:w="11906" w:h="16838" w:code="9"/>
      <w:pgMar w:top="1440" w:right="1080" w:bottom="1440" w:left="1080"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6AB2D" w14:textId="77777777" w:rsidR="008A1E4B" w:rsidRDefault="008A1E4B">
      <w:r>
        <w:separator/>
      </w:r>
    </w:p>
  </w:endnote>
  <w:endnote w:type="continuationSeparator" w:id="0">
    <w:p w14:paraId="7158601A" w14:textId="77777777" w:rsidR="008A1E4B" w:rsidRDefault="008A1E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BC26F" w14:textId="625C5CCF" w:rsidR="00C0235A" w:rsidRPr="00C0235A" w:rsidRDefault="00C0235A" w:rsidP="00C0235A">
    <w:pPr>
      <w:pStyle w:val="Footer"/>
      <w:jc w:val="center"/>
      <w:rPr>
        <w:color w:val="000000" w:themeColor="text1"/>
      </w:rPr>
    </w:pPr>
    <w:r w:rsidRPr="00C0235A">
      <w:rPr>
        <w:color w:val="000000" w:themeColor="text1"/>
      </w:rPr>
      <w:t xml:space="preserve">Page </w:t>
    </w:r>
    <w:r w:rsidRPr="00C0235A">
      <w:rPr>
        <w:color w:val="000000" w:themeColor="text1"/>
      </w:rPr>
      <w:fldChar w:fldCharType="begin"/>
    </w:r>
    <w:r w:rsidRPr="00C0235A">
      <w:rPr>
        <w:color w:val="000000" w:themeColor="text1"/>
      </w:rPr>
      <w:instrText xml:space="preserve"> PAGE  \* Arabic  \* MERGEFORMAT </w:instrText>
    </w:r>
    <w:r w:rsidRPr="00C0235A">
      <w:rPr>
        <w:color w:val="000000" w:themeColor="text1"/>
      </w:rPr>
      <w:fldChar w:fldCharType="separate"/>
    </w:r>
    <w:r w:rsidRPr="00C0235A">
      <w:rPr>
        <w:noProof/>
        <w:color w:val="000000" w:themeColor="text1"/>
      </w:rPr>
      <w:t>2</w:t>
    </w:r>
    <w:r w:rsidRPr="00C0235A">
      <w:rPr>
        <w:color w:val="000000" w:themeColor="text1"/>
      </w:rPr>
      <w:fldChar w:fldCharType="end"/>
    </w:r>
    <w:r w:rsidRPr="00C0235A">
      <w:rPr>
        <w:color w:val="000000" w:themeColor="text1"/>
      </w:rPr>
      <w:t xml:space="preserve"> of </w:t>
    </w:r>
    <w:r w:rsidRPr="00C0235A">
      <w:rPr>
        <w:color w:val="000000" w:themeColor="text1"/>
      </w:rPr>
      <w:fldChar w:fldCharType="begin"/>
    </w:r>
    <w:r w:rsidRPr="00C0235A">
      <w:rPr>
        <w:color w:val="000000" w:themeColor="text1"/>
      </w:rPr>
      <w:instrText xml:space="preserve"> NUMPAGES  \* Arabic  \* MERGEFORMAT </w:instrText>
    </w:r>
    <w:r w:rsidRPr="00C0235A">
      <w:rPr>
        <w:color w:val="000000" w:themeColor="text1"/>
      </w:rPr>
      <w:fldChar w:fldCharType="separate"/>
    </w:r>
    <w:r w:rsidRPr="00C0235A">
      <w:rPr>
        <w:noProof/>
        <w:color w:val="000000" w:themeColor="text1"/>
      </w:rPr>
      <w:t>2</w:t>
    </w:r>
    <w:r w:rsidRPr="00C0235A">
      <w:rPr>
        <w:color w:val="000000" w:themeColor="tex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780FA" w14:textId="77777777" w:rsidR="008A1E4B" w:rsidRDefault="008A1E4B">
      <w:r>
        <w:separator/>
      </w:r>
    </w:p>
  </w:footnote>
  <w:footnote w:type="continuationSeparator" w:id="0">
    <w:p w14:paraId="39702822" w14:textId="77777777" w:rsidR="008A1E4B" w:rsidRDefault="008A1E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42657E5"/>
    <w:multiLevelType w:val="hybridMultilevel"/>
    <w:tmpl w:val="6FAA6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5140817"/>
    <w:multiLevelType w:val="hybridMultilevel"/>
    <w:tmpl w:val="2D4AED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06B92177"/>
    <w:multiLevelType w:val="hybridMultilevel"/>
    <w:tmpl w:val="28965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91529E7"/>
    <w:multiLevelType w:val="hybridMultilevel"/>
    <w:tmpl w:val="98543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DA95179"/>
    <w:multiLevelType w:val="hybridMultilevel"/>
    <w:tmpl w:val="85E05C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0E742110"/>
    <w:multiLevelType w:val="hybridMultilevel"/>
    <w:tmpl w:val="1EAAA4A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8" w15:restartNumberingAfterBreak="0">
    <w:nsid w:val="13E6212A"/>
    <w:multiLevelType w:val="hybridMultilevel"/>
    <w:tmpl w:val="F8C08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6840295"/>
    <w:multiLevelType w:val="multilevel"/>
    <w:tmpl w:val="8C3AF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24" w15:restartNumberingAfterBreak="0">
    <w:nsid w:val="1DBE4BA2"/>
    <w:multiLevelType w:val="multilevel"/>
    <w:tmpl w:val="8982A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6" w15:restartNumberingAfterBreak="0">
    <w:nsid w:val="27F21B84"/>
    <w:multiLevelType w:val="hybridMultilevel"/>
    <w:tmpl w:val="9688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80758E8"/>
    <w:multiLevelType w:val="hybridMultilevel"/>
    <w:tmpl w:val="04D6E5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2F074F69"/>
    <w:multiLevelType w:val="hybridMultilevel"/>
    <w:tmpl w:val="7940E9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2E77B1D"/>
    <w:multiLevelType w:val="multilevel"/>
    <w:tmpl w:val="B6241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5CE5376"/>
    <w:multiLevelType w:val="hybridMultilevel"/>
    <w:tmpl w:val="3BA800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3CFA025A"/>
    <w:multiLevelType w:val="hybridMultilevel"/>
    <w:tmpl w:val="C07A8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FB53FC7"/>
    <w:multiLevelType w:val="hybridMultilevel"/>
    <w:tmpl w:val="D8280D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4178629B"/>
    <w:multiLevelType w:val="multilevel"/>
    <w:tmpl w:val="42A875F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8"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9" w15:restartNumberingAfterBreak="0">
    <w:nsid w:val="454408AE"/>
    <w:multiLevelType w:val="hybridMultilevel"/>
    <w:tmpl w:val="6212C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4D3A6F14"/>
    <w:multiLevelType w:val="hybridMultilevel"/>
    <w:tmpl w:val="58D2D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4865A67"/>
    <w:multiLevelType w:val="hybridMultilevel"/>
    <w:tmpl w:val="F1E22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46" w15:restartNumberingAfterBreak="0">
    <w:nsid w:val="5B2C6152"/>
    <w:multiLevelType w:val="hybridMultilevel"/>
    <w:tmpl w:val="BACA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BB31AC8"/>
    <w:multiLevelType w:val="hybridMultilevel"/>
    <w:tmpl w:val="5C105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50" w15:restartNumberingAfterBreak="0">
    <w:nsid w:val="660771AB"/>
    <w:multiLevelType w:val="hybridMultilevel"/>
    <w:tmpl w:val="FC02A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6A33ADE"/>
    <w:multiLevelType w:val="hybridMultilevel"/>
    <w:tmpl w:val="AE50AD16"/>
    <w:lvl w:ilvl="0" w:tplc="9B860F14">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52" w15:restartNumberingAfterBreak="0">
    <w:nsid w:val="684D260B"/>
    <w:multiLevelType w:val="hybridMultilevel"/>
    <w:tmpl w:val="4DB47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94B32F2"/>
    <w:multiLevelType w:val="hybridMultilevel"/>
    <w:tmpl w:val="604A5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E8D70B4"/>
    <w:multiLevelType w:val="hybridMultilevel"/>
    <w:tmpl w:val="05000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0362252"/>
    <w:multiLevelType w:val="multilevel"/>
    <w:tmpl w:val="DD84A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365277B"/>
    <w:multiLevelType w:val="multilevel"/>
    <w:tmpl w:val="A7EE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375109C"/>
    <w:multiLevelType w:val="hybridMultilevel"/>
    <w:tmpl w:val="52FC1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38F0ED0"/>
    <w:multiLevelType w:val="hybridMultilevel"/>
    <w:tmpl w:val="0CE05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75076A70"/>
    <w:multiLevelType w:val="hybridMultilevel"/>
    <w:tmpl w:val="27D202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63" w15:restartNumberingAfterBreak="0">
    <w:nsid w:val="778E4603"/>
    <w:multiLevelType w:val="hybridMultilevel"/>
    <w:tmpl w:val="6220DC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4" w15:restartNumberingAfterBreak="0">
    <w:nsid w:val="79B15BDB"/>
    <w:multiLevelType w:val="hybridMultilevel"/>
    <w:tmpl w:val="3176D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6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65"/>
  </w:num>
  <w:num w:numId="2" w16cid:durableId="1489785511">
    <w:abstractNumId w:val="32"/>
  </w:num>
  <w:num w:numId="3" w16cid:durableId="905871091">
    <w:abstractNumId w:val="22"/>
  </w:num>
  <w:num w:numId="4" w16cid:durableId="534970395">
    <w:abstractNumId w:val="10"/>
  </w:num>
  <w:num w:numId="5" w16cid:durableId="38435229">
    <w:abstractNumId w:val="62"/>
  </w:num>
  <w:num w:numId="6" w16cid:durableId="2057730824">
    <w:abstractNumId w:val="34"/>
  </w:num>
  <w:num w:numId="7" w16cid:durableId="1675720074">
    <w:abstractNumId w:val="40"/>
  </w:num>
  <w:num w:numId="8" w16cid:durableId="1014383751">
    <w:abstractNumId w:val="25"/>
  </w:num>
  <w:num w:numId="9" w16cid:durableId="201672474">
    <w:abstractNumId w:val="49"/>
  </w:num>
  <w:num w:numId="10" w16cid:durableId="256066161">
    <w:abstractNumId w:val="66"/>
  </w:num>
  <w:num w:numId="11" w16cid:durableId="2087680663">
    <w:abstractNumId w:val="21"/>
  </w:num>
  <w:num w:numId="12" w16cid:durableId="2044011657">
    <w:abstractNumId w:val="38"/>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60"/>
  </w:num>
  <w:num w:numId="24" w16cid:durableId="657152095">
    <w:abstractNumId w:val="11"/>
  </w:num>
  <w:num w:numId="25" w16cid:durableId="649095097">
    <w:abstractNumId w:val="41"/>
  </w:num>
  <w:num w:numId="26" w16cid:durableId="2025472307">
    <w:abstractNumId w:val="19"/>
  </w:num>
  <w:num w:numId="27" w16cid:durableId="732191785">
    <w:abstractNumId w:val="45"/>
  </w:num>
  <w:num w:numId="28" w16cid:durableId="1293512764">
    <w:abstractNumId w:val="23"/>
  </w:num>
  <w:num w:numId="29" w16cid:durableId="1552501508">
    <w:abstractNumId w:val="56"/>
  </w:num>
  <w:num w:numId="30" w16cid:durableId="1990475844">
    <w:abstractNumId w:val="48"/>
  </w:num>
  <w:num w:numId="31" w16cid:durableId="1087464949">
    <w:abstractNumId w:val="29"/>
  </w:num>
  <w:num w:numId="32" w16cid:durableId="516886674">
    <w:abstractNumId w:val="42"/>
  </w:num>
  <w:num w:numId="33" w16cid:durableId="1720863631">
    <w:abstractNumId w:val="33"/>
  </w:num>
  <w:num w:numId="34" w16cid:durableId="2021541219">
    <w:abstractNumId w:val="26"/>
  </w:num>
  <w:num w:numId="35" w16cid:durableId="1175997837">
    <w:abstractNumId w:val="52"/>
  </w:num>
  <w:num w:numId="36" w16cid:durableId="2037726982">
    <w:abstractNumId w:val="17"/>
  </w:num>
  <w:num w:numId="37" w16cid:durableId="1323849332">
    <w:abstractNumId w:val="58"/>
  </w:num>
  <w:num w:numId="38" w16cid:durableId="1978221033">
    <w:abstractNumId w:val="44"/>
  </w:num>
  <w:num w:numId="39" w16cid:durableId="1409496640">
    <w:abstractNumId w:val="14"/>
  </w:num>
  <w:num w:numId="40" w16cid:durableId="1582636670">
    <w:abstractNumId w:val="64"/>
  </w:num>
  <w:num w:numId="41" w16cid:durableId="113716258">
    <w:abstractNumId w:val="46"/>
  </w:num>
  <w:num w:numId="42" w16cid:durableId="310915352">
    <w:abstractNumId w:val="28"/>
  </w:num>
  <w:num w:numId="43" w16cid:durableId="371733625">
    <w:abstractNumId w:val="39"/>
  </w:num>
  <w:num w:numId="44" w16cid:durableId="1276786828">
    <w:abstractNumId w:val="18"/>
  </w:num>
  <w:num w:numId="45" w16cid:durableId="986857446">
    <w:abstractNumId w:val="15"/>
  </w:num>
  <w:num w:numId="46" w16cid:durableId="1498227188">
    <w:abstractNumId w:val="35"/>
  </w:num>
  <w:num w:numId="47" w16cid:durableId="1373532089">
    <w:abstractNumId w:val="65"/>
  </w:num>
  <w:num w:numId="48" w16cid:durableId="1382748700">
    <w:abstractNumId w:val="65"/>
  </w:num>
  <w:num w:numId="49" w16cid:durableId="581960834">
    <w:abstractNumId w:val="65"/>
  </w:num>
  <w:num w:numId="50" w16cid:durableId="1012099403">
    <w:abstractNumId w:val="65"/>
  </w:num>
  <w:num w:numId="51" w16cid:durableId="997684283">
    <w:abstractNumId w:val="65"/>
  </w:num>
  <w:num w:numId="52" w16cid:durableId="700133916">
    <w:abstractNumId w:val="65"/>
  </w:num>
  <w:num w:numId="53" w16cid:durableId="1508010350">
    <w:abstractNumId w:val="65"/>
  </w:num>
  <w:num w:numId="54" w16cid:durableId="1024018940">
    <w:abstractNumId w:val="65"/>
  </w:num>
  <w:num w:numId="55" w16cid:durableId="2093812655">
    <w:abstractNumId w:val="65"/>
  </w:num>
  <w:num w:numId="56" w16cid:durableId="2080472592">
    <w:abstractNumId w:val="65"/>
  </w:num>
  <w:num w:numId="57" w16cid:durableId="234750143">
    <w:abstractNumId w:val="47"/>
  </w:num>
  <w:num w:numId="58" w16cid:durableId="544831486">
    <w:abstractNumId w:val="55"/>
  </w:num>
  <w:num w:numId="59" w16cid:durableId="1985230911">
    <w:abstractNumId w:val="65"/>
  </w:num>
  <w:num w:numId="60" w16cid:durableId="1662418699">
    <w:abstractNumId w:val="65"/>
  </w:num>
  <w:num w:numId="61" w16cid:durableId="2044942547">
    <w:abstractNumId w:val="65"/>
  </w:num>
  <w:num w:numId="62" w16cid:durableId="1702973695">
    <w:abstractNumId w:val="65"/>
  </w:num>
  <w:num w:numId="63" w16cid:durableId="1169515256">
    <w:abstractNumId w:val="65"/>
  </w:num>
  <w:num w:numId="64" w16cid:durableId="333457579">
    <w:abstractNumId w:val="57"/>
  </w:num>
  <w:num w:numId="65" w16cid:durableId="694429534">
    <w:abstractNumId w:val="65"/>
  </w:num>
  <w:num w:numId="66" w16cid:durableId="1514996465">
    <w:abstractNumId w:val="65"/>
  </w:num>
  <w:num w:numId="67" w16cid:durableId="1519084042">
    <w:abstractNumId w:val="65"/>
  </w:num>
  <w:num w:numId="68" w16cid:durableId="1991405069">
    <w:abstractNumId w:val="65"/>
  </w:num>
  <w:num w:numId="69" w16cid:durableId="10957778">
    <w:abstractNumId w:val="65"/>
  </w:num>
  <w:num w:numId="70" w16cid:durableId="887188300">
    <w:abstractNumId w:val="65"/>
  </w:num>
  <w:num w:numId="71" w16cid:durableId="750352388">
    <w:abstractNumId w:val="65"/>
  </w:num>
  <w:num w:numId="72" w16cid:durableId="1750686803">
    <w:abstractNumId w:val="37"/>
  </w:num>
  <w:num w:numId="73" w16cid:durableId="1519587191">
    <w:abstractNumId w:val="65"/>
  </w:num>
  <w:num w:numId="74" w16cid:durableId="557982223">
    <w:abstractNumId w:val="65"/>
  </w:num>
  <w:num w:numId="75" w16cid:durableId="669673375">
    <w:abstractNumId w:val="65"/>
  </w:num>
  <w:num w:numId="76" w16cid:durableId="788594891">
    <w:abstractNumId w:val="20"/>
  </w:num>
  <w:num w:numId="77" w16cid:durableId="1616860806">
    <w:abstractNumId w:val="30"/>
  </w:num>
  <w:num w:numId="78" w16cid:durableId="2077627688">
    <w:abstractNumId w:val="24"/>
  </w:num>
  <w:num w:numId="79" w16cid:durableId="1366714886">
    <w:abstractNumId w:val="31"/>
  </w:num>
  <w:num w:numId="80" w16cid:durableId="864515708">
    <w:abstractNumId w:val="51"/>
  </w:num>
  <w:num w:numId="81" w16cid:durableId="1351025813">
    <w:abstractNumId w:val="63"/>
  </w:num>
  <w:num w:numId="82" w16cid:durableId="1266764174">
    <w:abstractNumId w:val="13"/>
  </w:num>
  <w:num w:numId="83" w16cid:durableId="332686456">
    <w:abstractNumId w:val="16"/>
  </w:num>
  <w:num w:numId="84" w16cid:durableId="443614294">
    <w:abstractNumId w:val="61"/>
  </w:num>
  <w:num w:numId="85" w16cid:durableId="1217473870">
    <w:abstractNumId w:val="36"/>
  </w:num>
  <w:num w:numId="86" w16cid:durableId="1782021626">
    <w:abstractNumId w:val="27"/>
  </w:num>
  <w:num w:numId="87" w16cid:durableId="3557426">
    <w:abstractNumId w:val="59"/>
  </w:num>
  <w:num w:numId="88" w16cid:durableId="2011709283">
    <w:abstractNumId w:val="54"/>
  </w:num>
  <w:num w:numId="89" w16cid:durableId="1617907516">
    <w:abstractNumId w:val="53"/>
  </w:num>
  <w:num w:numId="90" w16cid:durableId="767430659">
    <w:abstractNumId w:val="12"/>
  </w:num>
  <w:num w:numId="91" w16cid:durableId="1795755431">
    <w:abstractNumId w:val="50"/>
  </w:num>
  <w:num w:numId="92" w16cid:durableId="697851024">
    <w:abstractNumId w:val="43"/>
  </w:num>
  <w:num w:numId="93" w16cid:durableId="306054538">
    <w:abstractNumId w:val="6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4F56"/>
    <w:rsid w:val="00005A32"/>
    <w:rsid w:val="000146A5"/>
    <w:rsid w:val="00015A13"/>
    <w:rsid w:val="00015D99"/>
    <w:rsid w:val="00016BC8"/>
    <w:rsid w:val="00027BD1"/>
    <w:rsid w:val="0003188E"/>
    <w:rsid w:val="00045D6F"/>
    <w:rsid w:val="000507AA"/>
    <w:rsid w:val="00063CEE"/>
    <w:rsid w:val="00065259"/>
    <w:rsid w:val="00065A60"/>
    <w:rsid w:val="0006738C"/>
    <w:rsid w:val="00067512"/>
    <w:rsid w:val="00071CD5"/>
    <w:rsid w:val="000831B2"/>
    <w:rsid w:val="00084A97"/>
    <w:rsid w:val="00086305"/>
    <w:rsid w:val="00090183"/>
    <w:rsid w:val="00090471"/>
    <w:rsid w:val="00097727"/>
    <w:rsid w:val="000A4407"/>
    <w:rsid w:val="000B6677"/>
    <w:rsid w:val="000C5880"/>
    <w:rsid w:val="000C6559"/>
    <w:rsid w:val="000D3236"/>
    <w:rsid w:val="000D3AB7"/>
    <w:rsid w:val="000D6F0E"/>
    <w:rsid w:val="000D77A1"/>
    <w:rsid w:val="000E1E14"/>
    <w:rsid w:val="000E25C7"/>
    <w:rsid w:val="000E5531"/>
    <w:rsid w:val="000F01A1"/>
    <w:rsid w:val="000F3FC7"/>
    <w:rsid w:val="000F5578"/>
    <w:rsid w:val="00101135"/>
    <w:rsid w:val="00106C67"/>
    <w:rsid w:val="00126903"/>
    <w:rsid w:val="00130109"/>
    <w:rsid w:val="00132B6A"/>
    <w:rsid w:val="001401F7"/>
    <w:rsid w:val="00145332"/>
    <w:rsid w:val="001507DE"/>
    <w:rsid w:val="00150E41"/>
    <w:rsid w:val="001566EE"/>
    <w:rsid w:val="00164982"/>
    <w:rsid w:val="00171953"/>
    <w:rsid w:val="00175E42"/>
    <w:rsid w:val="00176B9A"/>
    <w:rsid w:val="001850E2"/>
    <w:rsid w:val="00187AAB"/>
    <w:rsid w:val="00196CAA"/>
    <w:rsid w:val="001B0633"/>
    <w:rsid w:val="001B5645"/>
    <w:rsid w:val="001B63F7"/>
    <w:rsid w:val="001B7479"/>
    <w:rsid w:val="001C1A69"/>
    <w:rsid w:val="001C2208"/>
    <w:rsid w:val="001C23E5"/>
    <w:rsid w:val="001C27C9"/>
    <w:rsid w:val="001C6410"/>
    <w:rsid w:val="001D1974"/>
    <w:rsid w:val="001D2FAF"/>
    <w:rsid w:val="001D5A5B"/>
    <w:rsid w:val="001D636A"/>
    <w:rsid w:val="001D7982"/>
    <w:rsid w:val="001D7ED1"/>
    <w:rsid w:val="001E00D5"/>
    <w:rsid w:val="001E388D"/>
    <w:rsid w:val="001E7302"/>
    <w:rsid w:val="001F0816"/>
    <w:rsid w:val="001F1539"/>
    <w:rsid w:val="001F3055"/>
    <w:rsid w:val="001F41DE"/>
    <w:rsid w:val="001F7EBB"/>
    <w:rsid w:val="00204473"/>
    <w:rsid w:val="00207798"/>
    <w:rsid w:val="002121F3"/>
    <w:rsid w:val="00213F13"/>
    <w:rsid w:val="00224C6D"/>
    <w:rsid w:val="00224E7F"/>
    <w:rsid w:val="00230B99"/>
    <w:rsid w:val="00232B80"/>
    <w:rsid w:val="00240875"/>
    <w:rsid w:val="00243313"/>
    <w:rsid w:val="00245DA7"/>
    <w:rsid w:val="00246995"/>
    <w:rsid w:val="0025099B"/>
    <w:rsid w:val="002635DA"/>
    <w:rsid w:val="00264FC0"/>
    <w:rsid w:val="00267EEB"/>
    <w:rsid w:val="00267F4D"/>
    <w:rsid w:val="00272634"/>
    <w:rsid w:val="00272FFE"/>
    <w:rsid w:val="00284E97"/>
    <w:rsid w:val="00285034"/>
    <w:rsid w:val="00291413"/>
    <w:rsid w:val="00295D3C"/>
    <w:rsid w:val="002A5491"/>
    <w:rsid w:val="002A7DD0"/>
    <w:rsid w:val="002B0693"/>
    <w:rsid w:val="002B133F"/>
    <w:rsid w:val="002B7456"/>
    <w:rsid w:val="002B7B28"/>
    <w:rsid w:val="002C18B8"/>
    <w:rsid w:val="002C5780"/>
    <w:rsid w:val="002D05CE"/>
    <w:rsid w:val="002D4A7B"/>
    <w:rsid w:val="002E7C62"/>
    <w:rsid w:val="002F7211"/>
    <w:rsid w:val="00304798"/>
    <w:rsid w:val="00306DFA"/>
    <w:rsid w:val="00313DE2"/>
    <w:rsid w:val="003500A4"/>
    <w:rsid w:val="00351E83"/>
    <w:rsid w:val="00353617"/>
    <w:rsid w:val="003545C3"/>
    <w:rsid w:val="003550A0"/>
    <w:rsid w:val="0035720C"/>
    <w:rsid w:val="00361EFD"/>
    <w:rsid w:val="00362DB2"/>
    <w:rsid w:val="0036587A"/>
    <w:rsid w:val="0037068D"/>
    <w:rsid w:val="00372935"/>
    <w:rsid w:val="00375726"/>
    <w:rsid w:val="00377417"/>
    <w:rsid w:val="00393F05"/>
    <w:rsid w:val="003A5815"/>
    <w:rsid w:val="003B075E"/>
    <w:rsid w:val="003B1C9F"/>
    <w:rsid w:val="003B2155"/>
    <w:rsid w:val="003B7365"/>
    <w:rsid w:val="003C28C6"/>
    <w:rsid w:val="003D7F16"/>
    <w:rsid w:val="003E4553"/>
    <w:rsid w:val="003F67A2"/>
    <w:rsid w:val="003F6B32"/>
    <w:rsid w:val="003F7EBC"/>
    <w:rsid w:val="004015E2"/>
    <w:rsid w:val="00402A73"/>
    <w:rsid w:val="00402BE6"/>
    <w:rsid w:val="00404309"/>
    <w:rsid w:val="00404C84"/>
    <w:rsid w:val="004136A6"/>
    <w:rsid w:val="0041685B"/>
    <w:rsid w:val="00423DB3"/>
    <w:rsid w:val="00425911"/>
    <w:rsid w:val="00445061"/>
    <w:rsid w:val="00445556"/>
    <w:rsid w:val="004534AC"/>
    <w:rsid w:val="00460314"/>
    <w:rsid w:val="0046152D"/>
    <w:rsid w:val="00464DD7"/>
    <w:rsid w:val="00473D7E"/>
    <w:rsid w:val="004747AF"/>
    <w:rsid w:val="00487EAD"/>
    <w:rsid w:val="0049076B"/>
    <w:rsid w:val="004A1164"/>
    <w:rsid w:val="004A133A"/>
    <w:rsid w:val="004A1D52"/>
    <w:rsid w:val="004B524D"/>
    <w:rsid w:val="004B5597"/>
    <w:rsid w:val="004B5D2E"/>
    <w:rsid w:val="004B5F1E"/>
    <w:rsid w:val="004C03F0"/>
    <w:rsid w:val="004C2719"/>
    <w:rsid w:val="004C2C9C"/>
    <w:rsid w:val="004C35EE"/>
    <w:rsid w:val="004C4AD3"/>
    <w:rsid w:val="004D265B"/>
    <w:rsid w:val="004D2CB6"/>
    <w:rsid w:val="004D37DE"/>
    <w:rsid w:val="004D5EBD"/>
    <w:rsid w:val="004E7AF1"/>
    <w:rsid w:val="004F060B"/>
    <w:rsid w:val="005064F6"/>
    <w:rsid w:val="005125CD"/>
    <w:rsid w:val="005134B3"/>
    <w:rsid w:val="005203B2"/>
    <w:rsid w:val="0052247A"/>
    <w:rsid w:val="005244BB"/>
    <w:rsid w:val="00524E57"/>
    <w:rsid w:val="005304A9"/>
    <w:rsid w:val="005321B7"/>
    <w:rsid w:val="0053699C"/>
    <w:rsid w:val="00541950"/>
    <w:rsid w:val="00543179"/>
    <w:rsid w:val="00547EA4"/>
    <w:rsid w:val="005508C9"/>
    <w:rsid w:val="005528A4"/>
    <w:rsid w:val="00561407"/>
    <w:rsid w:val="00561FFA"/>
    <w:rsid w:val="00564BB0"/>
    <w:rsid w:val="00570160"/>
    <w:rsid w:val="00571D27"/>
    <w:rsid w:val="00576B90"/>
    <w:rsid w:val="00577BB6"/>
    <w:rsid w:val="005800F4"/>
    <w:rsid w:val="005A29B0"/>
    <w:rsid w:val="005A2BFE"/>
    <w:rsid w:val="005B6357"/>
    <w:rsid w:val="005C0AF1"/>
    <w:rsid w:val="005C1DB5"/>
    <w:rsid w:val="005C6FA2"/>
    <w:rsid w:val="005D4968"/>
    <w:rsid w:val="005D68D1"/>
    <w:rsid w:val="005E3ACA"/>
    <w:rsid w:val="005E4B39"/>
    <w:rsid w:val="005F2165"/>
    <w:rsid w:val="00600F1E"/>
    <w:rsid w:val="006149B0"/>
    <w:rsid w:val="006159AA"/>
    <w:rsid w:val="006162EF"/>
    <w:rsid w:val="00617B87"/>
    <w:rsid w:val="00620197"/>
    <w:rsid w:val="00623A81"/>
    <w:rsid w:val="00626744"/>
    <w:rsid w:val="0062728E"/>
    <w:rsid w:val="006314DD"/>
    <w:rsid w:val="00631E19"/>
    <w:rsid w:val="006342AB"/>
    <w:rsid w:val="006362DC"/>
    <w:rsid w:val="006454D8"/>
    <w:rsid w:val="0065601E"/>
    <w:rsid w:val="006573D9"/>
    <w:rsid w:val="006575E8"/>
    <w:rsid w:val="00671FA2"/>
    <w:rsid w:val="006723D2"/>
    <w:rsid w:val="00674FAF"/>
    <w:rsid w:val="00684BA7"/>
    <w:rsid w:val="00684F95"/>
    <w:rsid w:val="00685088"/>
    <w:rsid w:val="00693975"/>
    <w:rsid w:val="006A1963"/>
    <w:rsid w:val="006A19EC"/>
    <w:rsid w:val="006A3182"/>
    <w:rsid w:val="006A5E2E"/>
    <w:rsid w:val="006A73CA"/>
    <w:rsid w:val="006A797F"/>
    <w:rsid w:val="006C0C88"/>
    <w:rsid w:val="006C56EE"/>
    <w:rsid w:val="006C6C98"/>
    <w:rsid w:val="006D2FBF"/>
    <w:rsid w:val="006D3646"/>
    <w:rsid w:val="006D680A"/>
    <w:rsid w:val="006E7473"/>
    <w:rsid w:val="006F48A8"/>
    <w:rsid w:val="006F6F09"/>
    <w:rsid w:val="00700D30"/>
    <w:rsid w:val="0070144B"/>
    <w:rsid w:val="0070544E"/>
    <w:rsid w:val="00706FC0"/>
    <w:rsid w:val="00711B83"/>
    <w:rsid w:val="00720589"/>
    <w:rsid w:val="007240B6"/>
    <w:rsid w:val="007336AD"/>
    <w:rsid w:val="00735256"/>
    <w:rsid w:val="00742F11"/>
    <w:rsid w:val="00745819"/>
    <w:rsid w:val="00747900"/>
    <w:rsid w:val="0075020C"/>
    <w:rsid w:val="00751BC0"/>
    <w:rsid w:val="00753DDC"/>
    <w:rsid w:val="00773D7D"/>
    <w:rsid w:val="00792A54"/>
    <w:rsid w:val="00795AC0"/>
    <w:rsid w:val="007A5657"/>
    <w:rsid w:val="007B6482"/>
    <w:rsid w:val="007C286B"/>
    <w:rsid w:val="007D48F0"/>
    <w:rsid w:val="007F0255"/>
    <w:rsid w:val="007F186D"/>
    <w:rsid w:val="007F5C55"/>
    <w:rsid w:val="0080169C"/>
    <w:rsid w:val="00801843"/>
    <w:rsid w:val="008035D7"/>
    <w:rsid w:val="00806B8E"/>
    <w:rsid w:val="00807610"/>
    <w:rsid w:val="00807CDF"/>
    <w:rsid w:val="00813639"/>
    <w:rsid w:val="00814531"/>
    <w:rsid w:val="008149BB"/>
    <w:rsid w:val="00815048"/>
    <w:rsid w:val="0081697D"/>
    <w:rsid w:val="00830238"/>
    <w:rsid w:val="00833618"/>
    <w:rsid w:val="00835E1B"/>
    <w:rsid w:val="00837448"/>
    <w:rsid w:val="008421E8"/>
    <w:rsid w:val="008428F4"/>
    <w:rsid w:val="008462C0"/>
    <w:rsid w:val="00851ADB"/>
    <w:rsid w:val="00852888"/>
    <w:rsid w:val="00875B58"/>
    <w:rsid w:val="00876ECB"/>
    <w:rsid w:val="00877367"/>
    <w:rsid w:val="0088087A"/>
    <w:rsid w:val="00884ECE"/>
    <w:rsid w:val="008906BD"/>
    <w:rsid w:val="008A1A98"/>
    <w:rsid w:val="008A1E4B"/>
    <w:rsid w:val="008B2E72"/>
    <w:rsid w:val="008B31F7"/>
    <w:rsid w:val="008B72AE"/>
    <w:rsid w:val="008B731F"/>
    <w:rsid w:val="008C56B9"/>
    <w:rsid w:val="008C5848"/>
    <w:rsid w:val="008D00C5"/>
    <w:rsid w:val="008D0F71"/>
    <w:rsid w:val="008D1F23"/>
    <w:rsid w:val="008D4BC4"/>
    <w:rsid w:val="008D5D60"/>
    <w:rsid w:val="008D5DD7"/>
    <w:rsid w:val="008D5E4C"/>
    <w:rsid w:val="008D72A5"/>
    <w:rsid w:val="008D7457"/>
    <w:rsid w:val="008D7780"/>
    <w:rsid w:val="008E5A35"/>
    <w:rsid w:val="008E7822"/>
    <w:rsid w:val="008F0A2B"/>
    <w:rsid w:val="008F2598"/>
    <w:rsid w:val="008F28B3"/>
    <w:rsid w:val="0090041C"/>
    <w:rsid w:val="00922BCA"/>
    <w:rsid w:val="00925B40"/>
    <w:rsid w:val="009323BE"/>
    <w:rsid w:val="00933457"/>
    <w:rsid w:val="0093381A"/>
    <w:rsid w:val="00937275"/>
    <w:rsid w:val="009404A4"/>
    <w:rsid w:val="0094060A"/>
    <w:rsid w:val="00941BCD"/>
    <w:rsid w:val="00941D35"/>
    <w:rsid w:val="00942BEF"/>
    <w:rsid w:val="009504C2"/>
    <w:rsid w:val="00956AA3"/>
    <w:rsid w:val="0096048E"/>
    <w:rsid w:val="009616E1"/>
    <w:rsid w:val="009701D8"/>
    <w:rsid w:val="00974BD2"/>
    <w:rsid w:val="00975EE3"/>
    <w:rsid w:val="009800FD"/>
    <w:rsid w:val="00995B4F"/>
    <w:rsid w:val="00996FFA"/>
    <w:rsid w:val="009A35EC"/>
    <w:rsid w:val="009B2146"/>
    <w:rsid w:val="009B52E2"/>
    <w:rsid w:val="009B68EF"/>
    <w:rsid w:val="009B7734"/>
    <w:rsid w:val="009D1E4D"/>
    <w:rsid w:val="009D637F"/>
    <w:rsid w:val="009E47A8"/>
    <w:rsid w:val="009F0395"/>
    <w:rsid w:val="009F270A"/>
    <w:rsid w:val="009F42D6"/>
    <w:rsid w:val="009F4F9E"/>
    <w:rsid w:val="00A02F64"/>
    <w:rsid w:val="00A0329E"/>
    <w:rsid w:val="00A128AB"/>
    <w:rsid w:val="00A168BC"/>
    <w:rsid w:val="00A226AF"/>
    <w:rsid w:val="00A259D4"/>
    <w:rsid w:val="00A25E3F"/>
    <w:rsid w:val="00A33D5D"/>
    <w:rsid w:val="00A36F61"/>
    <w:rsid w:val="00A56F8E"/>
    <w:rsid w:val="00A5713E"/>
    <w:rsid w:val="00A633BD"/>
    <w:rsid w:val="00A651C5"/>
    <w:rsid w:val="00A66351"/>
    <w:rsid w:val="00A67D5B"/>
    <w:rsid w:val="00A71691"/>
    <w:rsid w:val="00A73CF5"/>
    <w:rsid w:val="00A81CD5"/>
    <w:rsid w:val="00A916EE"/>
    <w:rsid w:val="00A92063"/>
    <w:rsid w:val="00A95671"/>
    <w:rsid w:val="00A97967"/>
    <w:rsid w:val="00AA1E42"/>
    <w:rsid w:val="00AA2009"/>
    <w:rsid w:val="00AA4D83"/>
    <w:rsid w:val="00AA61F1"/>
    <w:rsid w:val="00AB0B1E"/>
    <w:rsid w:val="00AB35F3"/>
    <w:rsid w:val="00AB49E5"/>
    <w:rsid w:val="00AD04EF"/>
    <w:rsid w:val="00AD1A00"/>
    <w:rsid w:val="00AD6D75"/>
    <w:rsid w:val="00AE480E"/>
    <w:rsid w:val="00AE50F4"/>
    <w:rsid w:val="00AE7490"/>
    <w:rsid w:val="00AF3173"/>
    <w:rsid w:val="00B03D9F"/>
    <w:rsid w:val="00B05693"/>
    <w:rsid w:val="00B06FBC"/>
    <w:rsid w:val="00B1530F"/>
    <w:rsid w:val="00B17824"/>
    <w:rsid w:val="00B20072"/>
    <w:rsid w:val="00B206AE"/>
    <w:rsid w:val="00B20B2C"/>
    <w:rsid w:val="00B2492B"/>
    <w:rsid w:val="00B30745"/>
    <w:rsid w:val="00B40908"/>
    <w:rsid w:val="00B449D1"/>
    <w:rsid w:val="00B467FA"/>
    <w:rsid w:val="00B47876"/>
    <w:rsid w:val="00B516D8"/>
    <w:rsid w:val="00B519D4"/>
    <w:rsid w:val="00B53E08"/>
    <w:rsid w:val="00B62048"/>
    <w:rsid w:val="00B765F2"/>
    <w:rsid w:val="00B77263"/>
    <w:rsid w:val="00B8752D"/>
    <w:rsid w:val="00B902DD"/>
    <w:rsid w:val="00B92531"/>
    <w:rsid w:val="00B96699"/>
    <w:rsid w:val="00B9798F"/>
    <w:rsid w:val="00BA0D4C"/>
    <w:rsid w:val="00BA279E"/>
    <w:rsid w:val="00BA5321"/>
    <w:rsid w:val="00BB3AE1"/>
    <w:rsid w:val="00BC00B2"/>
    <w:rsid w:val="00BC4978"/>
    <w:rsid w:val="00BC4F67"/>
    <w:rsid w:val="00BC6B53"/>
    <w:rsid w:val="00BC77C8"/>
    <w:rsid w:val="00BD2A70"/>
    <w:rsid w:val="00BE1C94"/>
    <w:rsid w:val="00BE77DE"/>
    <w:rsid w:val="00BF4B1B"/>
    <w:rsid w:val="00BF5778"/>
    <w:rsid w:val="00C0235A"/>
    <w:rsid w:val="00C02ABC"/>
    <w:rsid w:val="00C04DD4"/>
    <w:rsid w:val="00C10332"/>
    <w:rsid w:val="00C23009"/>
    <w:rsid w:val="00C26238"/>
    <w:rsid w:val="00C27103"/>
    <w:rsid w:val="00C278A2"/>
    <w:rsid w:val="00C353F8"/>
    <w:rsid w:val="00C40B53"/>
    <w:rsid w:val="00C4482E"/>
    <w:rsid w:val="00C44DF7"/>
    <w:rsid w:val="00C473DF"/>
    <w:rsid w:val="00C52F9C"/>
    <w:rsid w:val="00C53236"/>
    <w:rsid w:val="00C61652"/>
    <w:rsid w:val="00C61BB8"/>
    <w:rsid w:val="00C626AF"/>
    <w:rsid w:val="00C62DD8"/>
    <w:rsid w:val="00C6330A"/>
    <w:rsid w:val="00C658CA"/>
    <w:rsid w:val="00C71D1F"/>
    <w:rsid w:val="00C73B57"/>
    <w:rsid w:val="00C82B06"/>
    <w:rsid w:val="00C82E8D"/>
    <w:rsid w:val="00C90A14"/>
    <w:rsid w:val="00C97344"/>
    <w:rsid w:val="00CA74E5"/>
    <w:rsid w:val="00CA7AF4"/>
    <w:rsid w:val="00CB2CE7"/>
    <w:rsid w:val="00CB2F7B"/>
    <w:rsid w:val="00CC0D55"/>
    <w:rsid w:val="00CC21F1"/>
    <w:rsid w:val="00CD6957"/>
    <w:rsid w:val="00CD6BE3"/>
    <w:rsid w:val="00CD7166"/>
    <w:rsid w:val="00CE3F44"/>
    <w:rsid w:val="00CF66E5"/>
    <w:rsid w:val="00CF6AA9"/>
    <w:rsid w:val="00D00922"/>
    <w:rsid w:val="00D03E8E"/>
    <w:rsid w:val="00D04795"/>
    <w:rsid w:val="00D135C3"/>
    <w:rsid w:val="00D233FE"/>
    <w:rsid w:val="00D234C6"/>
    <w:rsid w:val="00D23D5B"/>
    <w:rsid w:val="00D27319"/>
    <w:rsid w:val="00D2778C"/>
    <w:rsid w:val="00D333B2"/>
    <w:rsid w:val="00D34064"/>
    <w:rsid w:val="00D351A6"/>
    <w:rsid w:val="00D36170"/>
    <w:rsid w:val="00D3724C"/>
    <w:rsid w:val="00D47C33"/>
    <w:rsid w:val="00D507DF"/>
    <w:rsid w:val="00D52AC3"/>
    <w:rsid w:val="00D54B4D"/>
    <w:rsid w:val="00D62081"/>
    <w:rsid w:val="00D65A61"/>
    <w:rsid w:val="00D870B0"/>
    <w:rsid w:val="00D87704"/>
    <w:rsid w:val="00D9710D"/>
    <w:rsid w:val="00DA28B2"/>
    <w:rsid w:val="00DA6812"/>
    <w:rsid w:val="00DA7B8C"/>
    <w:rsid w:val="00DB0932"/>
    <w:rsid w:val="00DB1C19"/>
    <w:rsid w:val="00DB35A7"/>
    <w:rsid w:val="00DC5227"/>
    <w:rsid w:val="00DC6E45"/>
    <w:rsid w:val="00DD3DA3"/>
    <w:rsid w:val="00DE28E4"/>
    <w:rsid w:val="00DE4B07"/>
    <w:rsid w:val="00DF6781"/>
    <w:rsid w:val="00DF7A90"/>
    <w:rsid w:val="00E025DC"/>
    <w:rsid w:val="00E04F52"/>
    <w:rsid w:val="00E06505"/>
    <w:rsid w:val="00E10B57"/>
    <w:rsid w:val="00E137C5"/>
    <w:rsid w:val="00E17857"/>
    <w:rsid w:val="00E246AB"/>
    <w:rsid w:val="00E27131"/>
    <w:rsid w:val="00E27644"/>
    <w:rsid w:val="00E35A45"/>
    <w:rsid w:val="00E367E5"/>
    <w:rsid w:val="00E37E27"/>
    <w:rsid w:val="00E37F83"/>
    <w:rsid w:val="00E53D4B"/>
    <w:rsid w:val="00E54C34"/>
    <w:rsid w:val="00E60686"/>
    <w:rsid w:val="00E66614"/>
    <w:rsid w:val="00E704D0"/>
    <w:rsid w:val="00E71C90"/>
    <w:rsid w:val="00E75826"/>
    <w:rsid w:val="00E75A2C"/>
    <w:rsid w:val="00E8030E"/>
    <w:rsid w:val="00E81DD4"/>
    <w:rsid w:val="00E81E6E"/>
    <w:rsid w:val="00E85A9D"/>
    <w:rsid w:val="00E87DAA"/>
    <w:rsid w:val="00E905A4"/>
    <w:rsid w:val="00E916CF"/>
    <w:rsid w:val="00E91E84"/>
    <w:rsid w:val="00E9238C"/>
    <w:rsid w:val="00E9413F"/>
    <w:rsid w:val="00E94F51"/>
    <w:rsid w:val="00E94FC1"/>
    <w:rsid w:val="00EA3654"/>
    <w:rsid w:val="00EA3685"/>
    <w:rsid w:val="00EA742A"/>
    <w:rsid w:val="00EB2121"/>
    <w:rsid w:val="00EB311A"/>
    <w:rsid w:val="00EB47D6"/>
    <w:rsid w:val="00EB52DE"/>
    <w:rsid w:val="00EC0B04"/>
    <w:rsid w:val="00EC42E2"/>
    <w:rsid w:val="00EC4663"/>
    <w:rsid w:val="00EC473B"/>
    <w:rsid w:val="00EC746C"/>
    <w:rsid w:val="00EE07F2"/>
    <w:rsid w:val="00EE0F19"/>
    <w:rsid w:val="00EE32CA"/>
    <w:rsid w:val="00EF21A6"/>
    <w:rsid w:val="00EF35D7"/>
    <w:rsid w:val="00EF5C69"/>
    <w:rsid w:val="00EF63F7"/>
    <w:rsid w:val="00F056D4"/>
    <w:rsid w:val="00F14281"/>
    <w:rsid w:val="00F15523"/>
    <w:rsid w:val="00F16E24"/>
    <w:rsid w:val="00F2159F"/>
    <w:rsid w:val="00F26532"/>
    <w:rsid w:val="00F30BA7"/>
    <w:rsid w:val="00F32ADB"/>
    <w:rsid w:val="00F33B50"/>
    <w:rsid w:val="00F4072F"/>
    <w:rsid w:val="00F41C69"/>
    <w:rsid w:val="00F44A8D"/>
    <w:rsid w:val="00F44E18"/>
    <w:rsid w:val="00F4729A"/>
    <w:rsid w:val="00F509C2"/>
    <w:rsid w:val="00F551D0"/>
    <w:rsid w:val="00F6177A"/>
    <w:rsid w:val="00F622D6"/>
    <w:rsid w:val="00F65825"/>
    <w:rsid w:val="00F70D29"/>
    <w:rsid w:val="00F718E3"/>
    <w:rsid w:val="00F72FA5"/>
    <w:rsid w:val="00F73103"/>
    <w:rsid w:val="00F73DA6"/>
    <w:rsid w:val="00F7747B"/>
    <w:rsid w:val="00F802F3"/>
    <w:rsid w:val="00F84DA7"/>
    <w:rsid w:val="00F86DFA"/>
    <w:rsid w:val="00F87049"/>
    <w:rsid w:val="00F90F50"/>
    <w:rsid w:val="00FA46DB"/>
    <w:rsid w:val="00FA55B5"/>
    <w:rsid w:val="00FA7F7D"/>
    <w:rsid w:val="00FB0460"/>
    <w:rsid w:val="00FB6B73"/>
    <w:rsid w:val="00FB6BE4"/>
    <w:rsid w:val="00FC08AF"/>
    <w:rsid w:val="00FC1950"/>
    <w:rsid w:val="00FE2440"/>
    <w:rsid w:val="00FE44B8"/>
    <w:rsid w:val="00FE7279"/>
    <w:rsid w:val="00FE7B73"/>
    <w:rsid w:val="00FF2483"/>
    <w:rsid w:val="00FF2553"/>
    <w:rsid w:val="00FF3216"/>
    <w:rsid w:val="00FF3E81"/>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ind w:left="960"/>
      <w:jc w:val="left"/>
    </w:pPr>
    <w:rPr>
      <w:rFonts w:asciiTheme="minorHAnsi" w:hAnsiTheme="minorHAnsi" w:cstheme="minorHAnsi"/>
      <w:sz w:val="18"/>
      <w:szCs w:val="18"/>
    </w:r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ind w:left="1200"/>
      <w:jc w:val="left"/>
    </w:pPr>
    <w:rPr>
      <w:rFonts w:asciiTheme="minorHAnsi" w:hAnsiTheme="minorHAnsi" w:cstheme="minorHAnsi"/>
      <w:sz w:val="18"/>
      <w:szCs w:val="18"/>
    </w:r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spacing w:before="120" w:after="120"/>
      <w:jc w:val="left"/>
    </w:pPr>
    <w:rPr>
      <w:rFonts w:asciiTheme="minorHAnsi" w:hAnsiTheme="minorHAnsi" w:cstheme="minorHAnsi"/>
      <w:b/>
      <w:bCs/>
      <w:caps/>
      <w:sz w:val="20"/>
      <w:szCs w:val="20"/>
    </w:rPr>
  </w:style>
  <w:style w:type="paragraph" w:styleId="TOC2">
    <w:name w:val="toc 2"/>
    <w:basedOn w:val="Normal"/>
    <w:next w:val="Normal"/>
    <w:uiPriority w:val="39"/>
    <w:qFormat/>
    <w:rsid w:val="00B2492B"/>
    <w:pPr>
      <w:spacing w:before="0"/>
      <w:ind w:left="240"/>
      <w:jc w:val="left"/>
    </w:pPr>
    <w:rPr>
      <w:rFonts w:asciiTheme="minorHAnsi" w:hAnsiTheme="minorHAnsi" w:cstheme="minorHAnsi"/>
      <w:smallCaps/>
      <w:sz w:val="20"/>
      <w:szCs w:val="20"/>
    </w:rPr>
  </w:style>
  <w:style w:type="paragraph" w:styleId="TOC3">
    <w:name w:val="toc 3"/>
    <w:basedOn w:val="Normal"/>
    <w:next w:val="Normal"/>
    <w:uiPriority w:val="39"/>
    <w:qFormat/>
    <w:rsid w:val="00B2492B"/>
    <w:pPr>
      <w:spacing w:before="0"/>
      <w:ind w:left="480"/>
      <w:jc w:val="left"/>
    </w:pPr>
    <w:rPr>
      <w:rFonts w:asciiTheme="minorHAnsi" w:hAnsiTheme="minorHAnsi" w:cstheme="minorHAnsi"/>
      <w:i/>
      <w:iCs/>
      <w:sz w:val="20"/>
      <w:szCs w:val="20"/>
    </w:r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spacing w:before="0"/>
      <w:ind w:left="720"/>
      <w:jc w:val="left"/>
    </w:pPr>
    <w:rPr>
      <w:rFonts w:asciiTheme="minorHAnsi" w:hAnsiTheme="minorHAnsi" w:cstheme="minorHAnsi"/>
      <w:sz w:val="18"/>
      <w:szCs w:val="18"/>
    </w:r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spacing w:before="0"/>
      <w:ind w:left="144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B2492B"/>
    <w:pPr>
      <w:spacing w:before="0"/>
      <w:ind w:left="168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B2492B"/>
    <w:pPr>
      <w:spacing w:before="0"/>
      <w:ind w:left="1920"/>
      <w:jc w:val="left"/>
    </w:pPr>
    <w:rPr>
      <w:rFonts w:asciiTheme="minorHAnsi" w:hAnsiTheme="minorHAnsi" w:cstheme="minorHAnsi"/>
      <w:sz w:val="18"/>
      <w:szCs w:val="18"/>
    </w:r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E54C34"/>
    <w:rPr>
      <w:color w:val="605E5C"/>
      <w:shd w:val="clear" w:color="auto" w:fill="E1DFDD"/>
    </w:rPr>
  </w:style>
  <w:style w:type="character" w:styleId="FollowedHyperlink">
    <w:name w:val="FollowedHyperlink"/>
    <w:basedOn w:val="DefaultParagraphFont"/>
    <w:uiPriority w:val="99"/>
    <w:semiHidden/>
    <w:unhideWhenUsed/>
    <w:rsid w:val="00E54C34"/>
    <w:rPr>
      <w:color w:val="800080" w:themeColor="followedHyperlink"/>
      <w:u w:val="single"/>
    </w:rPr>
  </w:style>
  <w:style w:type="paragraph" w:styleId="NormalWeb">
    <w:name w:val="Normal (Web)"/>
    <w:basedOn w:val="Normal"/>
    <w:uiPriority w:val="99"/>
    <w:semiHidden/>
    <w:unhideWhenUsed/>
    <w:rsid w:val="00295D3C"/>
    <w:rPr>
      <w:rFonts w:ascii="Times New Roman" w:hAnsi="Times New Roman"/>
    </w:rPr>
  </w:style>
  <w:style w:type="paragraph" w:styleId="Revision">
    <w:name w:val="Revision"/>
    <w:hidden/>
    <w:uiPriority w:val="99"/>
    <w:semiHidden/>
    <w:rsid w:val="00AF3173"/>
    <w:pPr>
      <w:spacing w:after="0" w:line="240" w:lineRule="auto"/>
    </w:pPr>
    <w:rPr>
      <w:rFonts w:ascii="Arial" w:eastAsia="Times New Roman" w:hAnsi="Arial" w:cs="Times New Roman"/>
      <w:sz w:val="24"/>
      <w:szCs w:val="24"/>
    </w:rPr>
  </w:style>
  <w:style w:type="character" w:customStyle="1" w:styleId="apple-converted-space">
    <w:name w:val="apple-converted-space"/>
    <w:basedOn w:val="DefaultParagraphFont"/>
    <w:rsid w:val="008D72A5"/>
  </w:style>
  <w:style w:type="character" w:styleId="Strong">
    <w:name w:val="Strong"/>
    <w:basedOn w:val="DefaultParagraphFont"/>
    <w:uiPriority w:val="22"/>
    <w:qFormat/>
    <w:rsid w:val="008D72A5"/>
    <w:rPr>
      <w:b/>
      <w:bCs/>
    </w:rPr>
  </w:style>
  <w:style w:type="character" w:styleId="Emphasis">
    <w:name w:val="Emphasis"/>
    <w:basedOn w:val="DefaultParagraphFont"/>
    <w:uiPriority w:val="20"/>
    <w:qFormat/>
    <w:rsid w:val="0053699C"/>
    <w:rPr>
      <w:i/>
      <w:iCs/>
    </w:rPr>
  </w:style>
  <w:style w:type="paragraph" w:styleId="Title">
    <w:name w:val="Title"/>
    <w:basedOn w:val="Normal"/>
    <w:next w:val="Normal"/>
    <w:link w:val="TitleChar"/>
    <w:uiPriority w:val="10"/>
    <w:qFormat/>
    <w:rsid w:val="004F060B"/>
    <w:pPr>
      <w:spacing w:before="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60B"/>
    <w:rPr>
      <w:rFonts w:asciiTheme="majorHAnsi" w:eastAsiaTheme="majorEastAsia" w:hAnsiTheme="majorHAnsi" w:cstheme="majorBidi"/>
      <w:spacing w:val="-10"/>
      <w:kern w:val="28"/>
      <w:sz w:val="56"/>
      <w:szCs w:val="56"/>
    </w:rPr>
  </w:style>
  <w:style w:type="paragraph" w:styleId="NoSpacing">
    <w:name w:val="No Spacing"/>
    <w:uiPriority w:val="1"/>
    <w:qFormat/>
    <w:rsid w:val="0081697D"/>
    <w:pPr>
      <w:spacing w:after="0" w:line="240" w:lineRule="auto"/>
      <w:jc w:val="both"/>
    </w:pPr>
    <w:rPr>
      <w:rFonts w:ascii="Arial" w:eastAsia="Times New Roman" w:hAnsi="Arial" w:cs="Times New Roman"/>
      <w:sz w:val="24"/>
      <w:szCs w:val="24"/>
    </w:rPr>
  </w:style>
  <w:style w:type="paragraph" w:customStyle="1" w:styleId="pdq2pgselectionanchorcontainer">
    <w:name w:val="pdq2pg_selectionanchorcontainer"/>
    <w:basedOn w:val="Normal"/>
    <w:rsid w:val="00DB1C19"/>
    <w:pPr>
      <w:spacing w:before="100" w:beforeAutospacing="1" w:after="100" w:afterAutospacing="1" w:line="240" w:lineRule="auto"/>
      <w:jc w:val="left"/>
    </w:pPr>
    <w:rPr>
      <w:rFonts w:ascii="Times New Roman" w:hAnsi="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6365">
      <w:bodyDiv w:val="1"/>
      <w:marLeft w:val="0"/>
      <w:marRight w:val="0"/>
      <w:marTop w:val="0"/>
      <w:marBottom w:val="0"/>
      <w:divBdr>
        <w:top w:val="none" w:sz="0" w:space="0" w:color="auto"/>
        <w:left w:val="none" w:sz="0" w:space="0" w:color="auto"/>
        <w:bottom w:val="none" w:sz="0" w:space="0" w:color="auto"/>
        <w:right w:val="none" w:sz="0" w:space="0" w:color="auto"/>
      </w:divBdr>
    </w:div>
    <w:div w:id="14113177">
      <w:bodyDiv w:val="1"/>
      <w:marLeft w:val="0"/>
      <w:marRight w:val="0"/>
      <w:marTop w:val="0"/>
      <w:marBottom w:val="0"/>
      <w:divBdr>
        <w:top w:val="none" w:sz="0" w:space="0" w:color="auto"/>
        <w:left w:val="none" w:sz="0" w:space="0" w:color="auto"/>
        <w:bottom w:val="none" w:sz="0" w:space="0" w:color="auto"/>
        <w:right w:val="none" w:sz="0" w:space="0" w:color="auto"/>
      </w:divBdr>
    </w:div>
    <w:div w:id="29649208">
      <w:bodyDiv w:val="1"/>
      <w:marLeft w:val="0"/>
      <w:marRight w:val="0"/>
      <w:marTop w:val="0"/>
      <w:marBottom w:val="0"/>
      <w:divBdr>
        <w:top w:val="none" w:sz="0" w:space="0" w:color="auto"/>
        <w:left w:val="none" w:sz="0" w:space="0" w:color="auto"/>
        <w:bottom w:val="none" w:sz="0" w:space="0" w:color="auto"/>
        <w:right w:val="none" w:sz="0" w:space="0" w:color="auto"/>
      </w:divBdr>
    </w:div>
    <w:div w:id="30423077">
      <w:bodyDiv w:val="1"/>
      <w:marLeft w:val="0"/>
      <w:marRight w:val="0"/>
      <w:marTop w:val="0"/>
      <w:marBottom w:val="0"/>
      <w:divBdr>
        <w:top w:val="none" w:sz="0" w:space="0" w:color="auto"/>
        <w:left w:val="none" w:sz="0" w:space="0" w:color="auto"/>
        <w:bottom w:val="none" w:sz="0" w:space="0" w:color="auto"/>
        <w:right w:val="none" w:sz="0" w:space="0" w:color="auto"/>
      </w:divBdr>
    </w:div>
    <w:div w:id="86777111">
      <w:bodyDiv w:val="1"/>
      <w:marLeft w:val="0"/>
      <w:marRight w:val="0"/>
      <w:marTop w:val="0"/>
      <w:marBottom w:val="0"/>
      <w:divBdr>
        <w:top w:val="none" w:sz="0" w:space="0" w:color="auto"/>
        <w:left w:val="none" w:sz="0" w:space="0" w:color="auto"/>
        <w:bottom w:val="none" w:sz="0" w:space="0" w:color="auto"/>
        <w:right w:val="none" w:sz="0" w:space="0" w:color="auto"/>
      </w:divBdr>
    </w:div>
    <w:div w:id="91051790">
      <w:bodyDiv w:val="1"/>
      <w:marLeft w:val="0"/>
      <w:marRight w:val="0"/>
      <w:marTop w:val="0"/>
      <w:marBottom w:val="0"/>
      <w:divBdr>
        <w:top w:val="none" w:sz="0" w:space="0" w:color="auto"/>
        <w:left w:val="none" w:sz="0" w:space="0" w:color="auto"/>
        <w:bottom w:val="none" w:sz="0" w:space="0" w:color="auto"/>
        <w:right w:val="none" w:sz="0" w:space="0" w:color="auto"/>
      </w:divBdr>
    </w:div>
    <w:div w:id="103161276">
      <w:bodyDiv w:val="1"/>
      <w:marLeft w:val="0"/>
      <w:marRight w:val="0"/>
      <w:marTop w:val="0"/>
      <w:marBottom w:val="0"/>
      <w:divBdr>
        <w:top w:val="none" w:sz="0" w:space="0" w:color="auto"/>
        <w:left w:val="none" w:sz="0" w:space="0" w:color="auto"/>
        <w:bottom w:val="none" w:sz="0" w:space="0" w:color="auto"/>
        <w:right w:val="none" w:sz="0" w:space="0" w:color="auto"/>
      </w:divBdr>
    </w:div>
    <w:div w:id="123161293">
      <w:bodyDiv w:val="1"/>
      <w:marLeft w:val="0"/>
      <w:marRight w:val="0"/>
      <w:marTop w:val="0"/>
      <w:marBottom w:val="0"/>
      <w:divBdr>
        <w:top w:val="none" w:sz="0" w:space="0" w:color="auto"/>
        <w:left w:val="none" w:sz="0" w:space="0" w:color="auto"/>
        <w:bottom w:val="none" w:sz="0" w:space="0" w:color="auto"/>
        <w:right w:val="none" w:sz="0" w:space="0" w:color="auto"/>
      </w:divBdr>
    </w:div>
    <w:div w:id="142623213">
      <w:bodyDiv w:val="1"/>
      <w:marLeft w:val="0"/>
      <w:marRight w:val="0"/>
      <w:marTop w:val="0"/>
      <w:marBottom w:val="0"/>
      <w:divBdr>
        <w:top w:val="none" w:sz="0" w:space="0" w:color="auto"/>
        <w:left w:val="none" w:sz="0" w:space="0" w:color="auto"/>
        <w:bottom w:val="none" w:sz="0" w:space="0" w:color="auto"/>
        <w:right w:val="none" w:sz="0" w:space="0" w:color="auto"/>
      </w:divBdr>
    </w:div>
    <w:div w:id="156967937">
      <w:bodyDiv w:val="1"/>
      <w:marLeft w:val="0"/>
      <w:marRight w:val="0"/>
      <w:marTop w:val="0"/>
      <w:marBottom w:val="0"/>
      <w:divBdr>
        <w:top w:val="none" w:sz="0" w:space="0" w:color="auto"/>
        <w:left w:val="none" w:sz="0" w:space="0" w:color="auto"/>
        <w:bottom w:val="none" w:sz="0" w:space="0" w:color="auto"/>
        <w:right w:val="none" w:sz="0" w:space="0" w:color="auto"/>
      </w:divBdr>
    </w:div>
    <w:div w:id="169881466">
      <w:bodyDiv w:val="1"/>
      <w:marLeft w:val="0"/>
      <w:marRight w:val="0"/>
      <w:marTop w:val="0"/>
      <w:marBottom w:val="0"/>
      <w:divBdr>
        <w:top w:val="none" w:sz="0" w:space="0" w:color="auto"/>
        <w:left w:val="none" w:sz="0" w:space="0" w:color="auto"/>
        <w:bottom w:val="none" w:sz="0" w:space="0" w:color="auto"/>
        <w:right w:val="none" w:sz="0" w:space="0" w:color="auto"/>
      </w:divBdr>
    </w:div>
    <w:div w:id="185481670">
      <w:bodyDiv w:val="1"/>
      <w:marLeft w:val="0"/>
      <w:marRight w:val="0"/>
      <w:marTop w:val="0"/>
      <w:marBottom w:val="0"/>
      <w:divBdr>
        <w:top w:val="none" w:sz="0" w:space="0" w:color="auto"/>
        <w:left w:val="none" w:sz="0" w:space="0" w:color="auto"/>
        <w:bottom w:val="none" w:sz="0" w:space="0" w:color="auto"/>
        <w:right w:val="none" w:sz="0" w:space="0" w:color="auto"/>
      </w:divBdr>
    </w:div>
    <w:div w:id="211815457">
      <w:bodyDiv w:val="1"/>
      <w:marLeft w:val="0"/>
      <w:marRight w:val="0"/>
      <w:marTop w:val="0"/>
      <w:marBottom w:val="0"/>
      <w:divBdr>
        <w:top w:val="none" w:sz="0" w:space="0" w:color="auto"/>
        <w:left w:val="none" w:sz="0" w:space="0" w:color="auto"/>
        <w:bottom w:val="none" w:sz="0" w:space="0" w:color="auto"/>
        <w:right w:val="none" w:sz="0" w:space="0" w:color="auto"/>
      </w:divBdr>
    </w:div>
    <w:div w:id="219639759">
      <w:bodyDiv w:val="1"/>
      <w:marLeft w:val="0"/>
      <w:marRight w:val="0"/>
      <w:marTop w:val="0"/>
      <w:marBottom w:val="0"/>
      <w:divBdr>
        <w:top w:val="none" w:sz="0" w:space="0" w:color="auto"/>
        <w:left w:val="none" w:sz="0" w:space="0" w:color="auto"/>
        <w:bottom w:val="none" w:sz="0" w:space="0" w:color="auto"/>
        <w:right w:val="none" w:sz="0" w:space="0" w:color="auto"/>
      </w:divBdr>
    </w:div>
    <w:div w:id="229928225">
      <w:bodyDiv w:val="1"/>
      <w:marLeft w:val="0"/>
      <w:marRight w:val="0"/>
      <w:marTop w:val="0"/>
      <w:marBottom w:val="0"/>
      <w:divBdr>
        <w:top w:val="none" w:sz="0" w:space="0" w:color="auto"/>
        <w:left w:val="none" w:sz="0" w:space="0" w:color="auto"/>
        <w:bottom w:val="none" w:sz="0" w:space="0" w:color="auto"/>
        <w:right w:val="none" w:sz="0" w:space="0" w:color="auto"/>
      </w:divBdr>
    </w:div>
    <w:div w:id="236866208">
      <w:bodyDiv w:val="1"/>
      <w:marLeft w:val="0"/>
      <w:marRight w:val="0"/>
      <w:marTop w:val="0"/>
      <w:marBottom w:val="0"/>
      <w:divBdr>
        <w:top w:val="none" w:sz="0" w:space="0" w:color="auto"/>
        <w:left w:val="none" w:sz="0" w:space="0" w:color="auto"/>
        <w:bottom w:val="none" w:sz="0" w:space="0" w:color="auto"/>
        <w:right w:val="none" w:sz="0" w:space="0" w:color="auto"/>
      </w:divBdr>
    </w:div>
    <w:div w:id="237983924">
      <w:bodyDiv w:val="1"/>
      <w:marLeft w:val="0"/>
      <w:marRight w:val="0"/>
      <w:marTop w:val="0"/>
      <w:marBottom w:val="0"/>
      <w:divBdr>
        <w:top w:val="none" w:sz="0" w:space="0" w:color="auto"/>
        <w:left w:val="none" w:sz="0" w:space="0" w:color="auto"/>
        <w:bottom w:val="none" w:sz="0" w:space="0" w:color="auto"/>
        <w:right w:val="none" w:sz="0" w:space="0" w:color="auto"/>
      </w:divBdr>
    </w:div>
    <w:div w:id="239103605">
      <w:bodyDiv w:val="1"/>
      <w:marLeft w:val="0"/>
      <w:marRight w:val="0"/>
      <w:marTop w:val="0"/>
      <w:marBottom w:val="0"/>
      <w:divBdr>
        <w:top w:val="none" w:sz="0" w:space="0" w:color="auto"/>
        <w:left w:val="none" w:sz="0" w:space="0" w:color="auto"/>
        <w:bottom w:val="none" w:sz="0" w:space="0" w:color="auto"/>
        <w:right w:val="none" w:sz="0" w:space="0" w:color="auto"/>
      </w:divBdr>
    </w:div>
    <w:div w:id="243877568">
      <w:bodyDiv w:val="1"/>
      <w:marLeft w:val="0"/>
      <w:marRight w:val="0"/>
      <w:marTop w:val="0"/>
      <w:marBottom w:val="0"/>
      <w:divBdr>
        <w:top w:val="none" w:sz="0" w:space="0" w:color="auto"/>
        <w:left w:val="none" w:sz="0" w:space="0" w:color="auto"/>
        <w:bottom w:val="none" w:sz="0" w:space="0" w:color="auto"/>
        <w:right w:val="none" w:sz="0" w:space="0" w:color="auto"/>
      </w:divBdr>
    </w:div>
    <w:div w:id="264195685">
      <w:bodyDiv w:val="1"/>
      <w:marLeft w:val="0"/>
      <w:marRight w:val="0"/>
      <w:marTop w:val="0"/>
      <w:marBottom w:val="0"/>
      <w:divBdr>
        <w:top w:val="none" w:sz="0" w:space="0" w:color="auto"/>
        <w:left w:val="none" w:sz="0" w:space="0" w:color="auto"/>
        <w:bottom w:val="none" w:sz="0" w:space="0" w:color="auto"/>
        <w:right w:val="none" w:sz="0" w:space="0" w:color="auto"/>
      </w:divBdr>
    </w:div>
    <w:div w:id="277954758">
      <w:bodyDiv w:val="1"/>
      <w:marLeft w:val="0"/>
      <w:marRight w:val="0"/>
      <w:marTop w:val="0"/>
      <w:marBottom w:val="0"/>
      <w:divBdr>
        <w:top w:val="none" w:sz="0" w:space="0" w:color="auto"/>
        <w:left w:val="none" w:sz="0" w:space="0" w:color="auto"/>
        <w:bottom w:val="none" w:sz="0" w:space="0" w:color="auto"/>
        <w:right w:val="none" w:sz="0" w:space="0" w:color="auto"/>
      </w:divBdr>
    </w:div>
    <w:div w:id="291594706">
      <w:bodyDiv w:val="1"/>
      <w:marLeft w:val="0"/>
      <w:marRight w:val="0"/>
      <w:marTop w:val="0"/>
      <w:marBottom w:val="0"/>
      <w:divBdr>
        <w:top w:val="none" w:sz="0" w:space="0" w:color="auto"/>
        <w:left w:val="none" w:sz="0" w:space="0" w:color="auto"/>
        <w:bottom w:val="none" w:sz="0" w:space="0" w:color="auto"/>
        <w:right w:val="none" w:sz="0" w:space="0" w:color="auto"/>
      </w:divBdr>
    </w:div>
    <w:div w:id="302078358">
      <w:bodyDiv w:val="1"/>
      <w:marLeft w:val="0"/>
      <w:marRight w:val="0"/>
      <w:marTop w:val="0"/>
      <w:marBottom w:val="0"/>
      <w:divBdr>
        <w:top w:val="none" w:sz="0" w:space="0" w:color="auto"/>
        <w:left w:val="none" w:sz="0" w:space="0" w:color="auto"/>
        <w:bottom w:val="none" w:sz="0" w:space="0" w:color="auto"/>
        <w:right w:val="none" w:sz="0" w:space="0" w:color="auto"/>
      </w:divBdr>
    </w:div>
    <w:div w:id="339508402">
      <w:bodyDiv w:val="1"/>
      <w:marLeft w:val="0"/>
      <w:marRight w:val="0"/>
      <w:marTop w:val="0"/>
      <w:marBottom w:val="0"/>
      <w:divBdr>
        <w:top w:val="none" w:sz="0" w:space="0" w:color="auto"/>
        <w:left w:val="none" w:sz="0" w:space="0" w:color="auto"/>
        <w:bottom w:val="none" w:sz="0" w:space="0" w:color="auto"/>
        <w:right w:val="none" w:sz="0" w:space="0" w:color="auto"/>
      </w:divBdr>
      <w:divsChild>
        <w:div w:id="96091826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60108442">
              <w:marLeft w:val="0"/>
              <w:marRight w:val="0"/>
              <w:marTop w:val="0"/>
              <w:marBottom w:val="0"/>
              <w:divBdr>
                <w:top w:val="none" w:sz="0" w:space="0" w:color="auto"/>
                <w:left w:val="none" w:sz="0" w:space="0" w:color="auto"/>
                <w:bottom w:val="none" w:sz="0" w:space="0" w:color="auto"/>
                <w:right w:val="none" w:sz="0" w:space="0" w:color="auto"/>
              </w:divBdr>
              <w:divsChild>
                <w:div w:id="593904577">
                  <w:marLeft w:val="0"/>
                  <w:marRight w:val="0"/>
                  <w:marTop w:val="0"/>
                  <w:marBottom w:val="0"/>
                  <w:divBdr>
                    <w:top w:val="none" w:sz="0" w:space="0" w:color="auto"/>
                    <w:left w:val="none" w:sz="0" w:space="0" w:color="auto"/>
                    <w:bottom w:val="none" w:sz="0" w:space="0" w:color="auto"/>
                    <w:right w:val="none" w:sz="0" w:space="0" w:color="auto"/>
                  </w:divBdr>
                  <w:divsChild>
                    <w:div w:id="2066486141">
                      <w:marLeft w:val="0"/>
                      <w:marRight w:val="0"/>
                      <w:marTop w:val="375"/>
                      <w:marBottom w:val="0"/>
                      <w:divBdr>
                        <w:top w:val="none" w:sz="0" w:space="0" w:color="auto"/>
                        <w:left w:val="none" w:sz="0" w:space="0" w:color="auto"/>
                        <w:bottom w:val="none" w:sz="0" w:space="0" w:color="auto"/>
                        <w:right w:val="none" w:sz="0" w:space="0" w:color="auto"/>
                      </w:divBdr>
                      <w:divsChild>
                        <w:div w:id="713383768">
                          <w:marLeft w:val="0"/>
                          <w:marRight w:val="0"/>
                          <w:marTop w:val="22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344018290">
      <w:bodyDiv w:val="1"/>
      <w:marLeft w:val="0"/>
      <w:marRight w:val="0"/>
      <w:marTop w:val="0"/>
      <w:marBottom w:val="0"/>
      <w:divBdr>
        <w:top w:val="none" w:sz="0" w:space="0" w:color="auto"/>
        <w:left w:val="none" w:sz="0" w:space="0" w:color="auto"/>
        <w:bottom w:val="none" w:sz="0" w:space="0" w:color="auto"/>
        <w:right w:val="none" w:sz="0" w:space="0" w:color="auto"/>
      </w:divBdr>
    </w:div>
    <w:div w:id="353001968">
      <w:bodyDiv w:val="1"/>
      <w:marLeft w:val="0"/>
      <w:marRight w:val="0"/>
      <w:marTop w:val="0"/>
      <w:marBottom w:val="0"/>
      <w:divBdr>
        <w:top w:val="none" w:sz="0" w:space="0" w:color="auto"/>
        <w:left w:val="none" w:sz="0" w:space="0" w:color="auto"/>
        <w:bottom w:val="none" w:sz="0" w:space="0" w:color="auto"/>
        <w:right w:val="none" w:sz="0" w:space="0" w:color="auto"/>
      </w:divBdr>
    </w:div>
    <w:div w:id="361594868">
      <w:bodyDiv w:val="1"/>
      <w:marLeft w:val="0"/>
      <w:marRight w:val="0"/>
      <w:marTop w:val="0"/>
      <w:marBottom w:val="0"/>
      <w:divBdr>
        <w:top w:val="none" w:sz="0" w:space="0" w:color="auto"/>
        <w:left w:val="none" w:sz="0" w:space="0" w:color="auto"/>
        <w:bottom w:val="none" w:sz="0" w:space="0" w:color="auto"/>
        <w:right w:val="none" w:sz="0" w:space="0" w:color="auto"/>
      </w:divBdr>
    </w:div>
    <w:div w:id="370229576">
      <w:bodyDiv w:val="1"/>
      <w:marLeft w:val="0"/>
      <w:marRight w:val="0"/>
      <w:marTop w:val="0"/>
      <w:marBottom w:val="0"/>
      <w:divBdr>
        <w:top w:val="none" w:sz="0" w:space="0" w:color="auto"/>
        <w:left w:val="none" w:sz="0" w:space="0" w:color="auto"/>
        <w:bottom w:val="none" w:sz="0" w:space="0" w:color="auto"/>
        <w:right w:val="none" w:sz="0" w:space="0" w:color="auto"/>
      </w:divBdr>
    </w:div>
    <w:div w:id="380708967">
      <w:bodyDiv w:val="1"/>
      <w:marLeft w:val="0"/>
      <w:marRight w:val="0"/>
      <w:marTop w:val="0"/>
      <w:marBottom w:val="0"/>
      <w:divBdr>
        <w:top w:val="none" w:sz="0" w:space="0" w:color="auto"/>
        <w:left w:val="none" w:sz="0" w:space="0" w:color="auto"/>
        <w:bottom w:val="none" w:sz="0" w:space="0" w:color="auto"/>
        <w:right w:val="none" w:sz="0" w:space="0" w:color="auto"/>
      </w:divBdr>
    </w:div>
    <w:div w:id="381831537">
      <w:bodyDiv w:val="1"/>
      <w:marLeft w:val="0"/>
      <w:marRight w:val="0"/>
      <w:marTop w:val="0"/>
      <w:marBottom w:val="0"/>
      <w:divBdr>
        <w:top w:val="none" w:sz="0" w:space="0" w:color="auto"/>
        <w:left w:val="none" w:sz="0" w:space="0" w:color="auto"/>
        <w:bottom w:val="none" w:sz="0" w:space="0" w:color="auto"/>
        <w:right w:val="none" w:sz="0" w:space="0" w:color="auto"/>
      </w:divBdr>
    </w:div>
    <w:div w:id="386685166">
      <w:bodyDiv w:val="1"/>
      <w:marLeft w:val="0"/>
      <w:marRight w:val="0"/>
      <w:marTop w:val="0"/>
      <w:marBottom w:val="0"/>
      <w:divBdr>
        <w:top w:val="none" w:sz="0" w:space="0" w:color="auto"/>
        <w:left w:val="none" w:sz="0" w:space="0" w:color="auto"/>
        <w:bottom w:val="none" w:sz="0" w:space="0" w:color="auto"/>
        <w:right w:val="none" w:sz="0" w:space="0" w:color="auto"/>
      </w:divBdr>
    </w:div>
    <w:div w:id="387919308">
      <w:bodyDiv w:val="1"/>
      <w:marLeft w:val="0"/>
      <w:marRight w:val="0"/>
      <w:marTop w:val="0"/>
      <w:marBottom w:val="0"/>
      <w:divBdr>
        <w:top w:val="none" w:sz="0" w:space="0" w:color="auto"/>
        <w:left w:val="none" w:sz="0" w:space="0" w:color="auto"/>
        <w:bottom w:val="none" w:sz="0" w:space="0" w:color="auto"/>
        <w:right w:val="none" w:sz="0" w:space="0" w:color="auto"/>
      </w:divBdr>
    </w:div>
    <w:div w:id="39459639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5787389">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4110844">
      <w:bodyDiv w:val="1"/>
      <w:marLeft w:val="0"/>
      <w:marRight w:val="0"/>
      <w:marTop w:val="0"/>
      <w:marBottom w:val="0"/>
      <w:divBdr>
        <w:top w:val="none" w:sz="0" w:space="0" w:color="auto"/>
        <w:left w:val="none" w:sz="0" w:space="0" w:color="auto"/>
        <w:bottom w:val="none" w:sz="0" w:space="0" w:color="auto"/>
        <w:right w:val="none" w:sz="0" w:space="0" w:color="auto"/>
      </w:divBdr>
    </w:div>
    <w:div w:id="429817775">
      <w:bodyDiv w:val="1"/>
      <w:marLeft w:val="0"/>
      <w:marRight w:val="0"/>
      <w:marTop w:val="0"/>
      <w:marBottom w:val="0"/>
      <w:divBdr>
        <w:top w:val="none" w:sz="0" w:space="0" w:color="auto"/>
        <w:left w:val="none" w:sz="0" w:space="0" w:color="auto"/>
        <w:bottom w:val="none" w:sz="0" w:space="0" w:color="auto"/>
        <w:right w:val="none" w:sz="0" w:space="0" w:color="auto"/>
      </w:divBdr>
    </w:div>
    <w:div w:id="435715741">
      <w:bodyDiv w:val="1"/>
      <w:marLeft w:val="0"/>
      <w:marRight w:val="0"/>
      <w:marTop w:val="0"/>
      <w:marBottom w:val="0"/>
      <w:divBdr>
        <w:top w:val="none" w:sz="0" w:space="0" w:color="auto"/>
        <w:left w:val="none" w:sz="0" w:space="0" w:color="auto"/>
        <w:bottom w:val="none" w:sz="0" w:space="0" w:color="auto"/>
        <w:right w:val="none" w:sz="0" w:space="0" w:color="auto"/>
      </w:divBdr>
    </w:div>
    <w:div w:id="436949509">
      <w:bodyDiv w:val="1"/>
      <w:marLeft w:val="0"/>
      <w:marRight w:val="0"/>
      <w:marTop w:val="0"/>
      <w:marBottom w:val="0"/>
      <w:divBdr>
        <w:top w:val="none" w:sz="0" w:space="0" w:color="auto"/>
        <w:left w:val="none" w:sz="0" w:space="0" w:color="auto"/>
        <w:bottom w:val="none" w:sz="0" w:space="0" w:color="auto"/>
        <w:right w:val="none" w:sz="0" w:space="0" w:color="auto"/>
      </w:divBdr>
    </w:div>
    <w:div w:id="439692309">
      <w:bodyDiv w:val="1"/>
      <w:marLeft w:val="0"/>
      <w:marRight w:val="0"/>
      <w:marTop w:val="0"/>
      <w:marBottom w:val="0"/>
      <w:divBdr>
        <w:top w:val="none" w:sz="0" w:space="0" w:color="auto"/>
        <w:left w:val="none" w:sz="0" w:space="0" w:color="auto"/>
        <w:bottom w:val="none" w:sz="0" w:space="0" w:color="auto"/>
        <w:right w:val="none" w:sz="0" w:space="0" w:color="auto"/>
      </w:divBdr>
    </w:div>
    <w:div w:id="448016212">
      <w:bodyDiv w:val="1"/>
      <w:marLeft w:val="0"/>
      <w:marRight w:val="0"/>
      <w:marTop w:val="0"/>
      <w:marBottom w:val="0"/>
      <w:divBdr>
        <w:top w:val="none" w:sz="0" w:space="0" w:color="auto"/>
        <w:left w:val="none" w:sz="0" w:space="0" w:color="auto"/>
        <w:bottom w:val="none" w:sz="0" w:space="0" w:color="auto"/>
        <w:right w:val="none" w:sz="0" w:space="0" w:color="auto"/>
      </w:divBdr>
    </w:div>
    <w:div w:id="451873527">
      <w:bodyDiv w:val="1"/>
      <w:marLeft w:val="0"/>
      <w:marRight w:val="0"/>
      <w:marTop w:val="0"/>
      <w:marBottom w:val="0"/>
      <w:divBdr>
        <w:top w:val="none" w:sz="0" w:space="0" w:color="auto"/>
        <w:left w:val="none" w:sz="0" w:space="0" w:color="auto"/>
        <w:bottom w:val="none" w:sz="0" w:space="0" w:color="auto"/>
        <w:right w:val="none" w:sz="0" w:space="0" w:color="auto"/>
      </w:divBdr>
    </w:div>
    <w:div w:id="455761708">
      <w:bodyDiv w:val="1"/>
      <w:marLeft w:val="0"/>
      <w:marRight w:val="0"/>
      <w:marTop w:val="0"/>
      <w:marBottom w:val="0"/>
      <w:divBdr>
        <w:top w:val="none" w:sz="0" w:space="0" w:color="auto"/>
        <w:left w:val="none" w:sz="0" w:space="0" w:color="auto"/>
        <w:bottom w:val="none" w:sz="0" w:space="0" w:color="auto"/>
        <w:right w:val="none" w:sz="0" w:space="0" w:color="auto"/>
      </w:divBdr>
    </w:div>
    <w:div w:id="475494693">
      <w:bodyDiv w:val="1"/>
      <w:marLeft w:val="0"/>
      <w:marRight w:val="0"/>
      <w:marTop w:val="0"/>
      <w:marBottom w:val="0"/>
      <w:divBdr>
        <w:top w:val="none" w:sz="0" w:space="0" w:color="auto"/>
        <w:left w:val="none" w:sz="0" w:space="0" w:color="auto"/>
        <w:bottom w:val="none" w:sz="0" w:space="0" w:color="auto"/>
        <w:right w:val="none" w:sz="0" w:space="0" w:color="auto"/>
      </w:divBdr>
    </w:div>
    <w:div w:id="485897882">
      <w:bodyDiv w:val="1"/>
      <w:marLeft w:val="0"/>
      <w:marRight w:val="0"/>
      <w:marTop w:val="0"/>
      <w:marBottom w:val="0"/>
      <w:divBdr>
        <w:top w:val="none" w:sz="0" w:space="0" w:color="auto"/>
        <w:left w:val="none" w:sz="0" w:space="0" w:color="auto"/>
        <w:bottom w:val="none" w:sz="0" w:space="0" w:color="auto"/>
        <w:right w:val="none" w:sz="0" w:space="0" w:color="auto"/>
      </w:divBdr>
    </w:div>
    <w:div w:id="486094097">
      <w:bodyDiv w:val="1"/>
      <w:marLeft w:val="0"/>
      <w:marRight w:val="0"/>
      <w:marTop w:val="0"/>
      <w:marBottom w:val="0"/>
      <w:divBdr>
        <w:top w:val="none" w:sz="0" w:space="0" w:color="auto"/>
        <w:left w:val="none" w:sz="0" w:space="0" w:color="auto"/>
        <w:bottom w:val="none" w:sz="0" w:space="0" w:color="auto"/>
        <w:right w:val="none" w:sz="0" w:space="0" w:color="auto"/>
      </w:divBdr>
    </w:div>
    <w:div w:id="488909223">
      <w:bodyDiv w:val="1"/>
      <w:marLeft w:val="0"/>
      <w:marRight w:val="0"/>
      <w:marTop w:val="0"/>
      <w:marBottom w:val="0"/>
      <w:divBdr>
        <w:top w:val="none" w:sz="0" w:space="0" w:color="auto"/>
        <w:left w:val="none" w:sz="0" w:space="0" w:color="auto"/>
        <w:bottom w:val="none" w:sz="0" w:space="0" w:color="auto"/>
        <w:right w:val="none" w:sz="0" w:space="0" w:color="auto"/>
      </w:divBdr>
    </w:div>
    <w:div w:id="499735075">
      <w:bodyDiv w:val="1"/>
      <w:marLeft w:val="0"/>
      <w:marRight w:val="0"/>
      <w:marTop w:val="0"/>
      <w:marBottom w:val="0"/>
      <w:divBdr>
        <w:top w:val="none" w:sz="0" w:space="0" w:color="auto"/>
        <w:left w:val="none" w:sz="0" w:space="0" w:color="auto"/>
        <w:bottom w:val="none" w:sz="0" w:space="0" w:color="auto"/>
        <w:right w:val="none" w:sz="0" w:space="0" w:color="auto"/>
      </w:divBdr>
    </w:div>
    <w:div w:id="526409690">
      <w:bodyDiv w:val="1"/>
      <w:marLeft w:val="0"/>
      <w:marRight w:val="0"/>
      <w:marTop w:val="0"/>
      <w:marBottom w:val="0"/>
      <w:divBdr>
        <w:top w:val="none" w:sz="0" w:space="0" w:color="auto"/>
        <w:left w:val="none" w:sz="0" w:space="0" w:color="auto"/>
        <w:bottom w:val="none" w:sz="0" w:space="0" w:color="auto"/>
        <w:right w:val="none" w:sz="0" w:space="0" w:color="auto"/>
      </w:divBdr>
    </w:div>
    <w:div w:id="536620541">
      <w:bodyDiv w:val="1"/>
      <w:marLeft w:val="0"/>
      <w:marRight w:val="0"/>
      <w:marTop w:val="0"/>
      <w:marBottom w:val="0"/>
      <w:divBdr>
        <w:top w:val="none" w:sz="0" w:space="0" w:color="auto"/>
        <w:left w:val="none" w:sz="0" w:space="0" w:color="auto"/>
        <w:bottom w:val="none" w:sz="0" w:space="0" w:color="auto"/>
        <w:right w:val="none" w:sz="0" w:space="0" w:color="auto"/>
      </w:divBdr>
    </w:div>
    <w:div w:id="536699104">
      <w:bodyDiv w:val="1"/>
      <w:marLeft w:val="0"/>
      <w:marRight w:val="0"/>
      <w:marTop w:val="0"/>
      <w:marBottom w:val="0"/>
      <w:divBdr>
        <w:top w:val="none" w:sz="0" w:space="0" w:color="auto"/>
        <w:left w:val="none" w:sz="0" w:space="0" w:color="auto"/>
        <w:bottom w:val="none" w:sz="0" w:space="0" w:color="auto"/>
        <w:right w:val="none" w:sz="0" w:space="0" w:color="auto"/>
      </w:divBdr>
    </w:div>
    <w:div w:id="541283974">
      <w:bodyDiv w:val="1"/>
      <w:marLeft w:val="0"/>
      <w:marRight w:val="0"/>
      <w:marTop w:val="0"/>
      <w:marBottom w:val="0"/>
      <w:divBdr>
        <w:top w:val="none" w:sz="0" w:space="0" w:color="auto"/>
        <w:left w:val="none" w:sz="0" w:space="0" w:color="auto"/>
        <w:bottom w:val="none" w:sz="0" w:space="0" w:color="auto"/>
        <w:right w:val="none" w:sz="0" w:space="0" w:color="auto"/>
      </w:divBdr>
    </w:div>
    <w:div w:id="545873257">
      <w:bodyDiv w:val="1"/>
      <w:marLeft w:val="0"/>
      <w:marRight w:val="0"/>
      <w:marTop w:val="0"/>
      <w:marBottom w:val="0"/>
      <w:divBdr>
        <w:top w:val="none" w:sz="0" w:space="0" w:color="auto"/>
        <w:left w:val="none" w:sz="0" w:space="0" w:color="auto"/>
        <w:bottom w:val="none" w:sz="0" w:space="0" w:color="auto"/>
        <w:right w:val="none" w:sz="0" w:space="0" w:color="auto"/>
      </w:divBdr>
    </w:div>
    <w:div w:id="557279551">
      <w:bodyDiv w:val="1"/>
      <w:marLeft w:val="0"/>
      <w:marRight w:val="0"/>
      <w:marTop w:val="0"/>
      <w:marBottom w:val="0"/>
      <w:divBdr>
        <w:top w:val="none" w:sz="0" w:space="0" w:color="auto"/>
        <w:left w:val="none" w:sz="0" w:space="0" w:color="auto"/>
        <w:bottom w:val="none" w:sz="0" w:space="0" w:color="auto"/>
        <w:right w:val="none" w:sz="0" w:space="0" w:color="auto"/>
      </w:divBdr>
    </w:div>
    <w:div w:id="564100578">
      <w:bodyDiv w:val="1"/>
      <w:marLeft w:val="0"/>
      <w:marRight w:val="0"/>
      <w:marTop w:val="0"/>
      <w:marBottom w:val="0"/>
      <w:divBdr>
        <w:top w:val="none" w:sz="0" w:space="0" w:color="auto"/>
        <w:left w:val="none" w:sz="0" w:space="0" w:color="auto"/>
        <w:bottom w:val="none" w:sz="0" w:space="0" w:color="auto"/>
        <w:right w:val="none" w:sz="0" w:space="0" w:color="auto"/>
      </w:divBdr>
    </w:div>
    <w:div w:id="594635538">
      <w:bodyDiv w:val="1"/>
      <w:marLeft w:val="0"/>
      <w:marRight w:val="0"/>
      <w:marTop w:val="0"/>
      <w:marBottom w:val="0"/>
      <w:divBdr>
        <w:top w:val="none" w:sz="0" w:space="0" w:color="auto"/>
        <w:left w:val="none" w:sz="0" w:space="0" w:color="auto"/>
        <w:bottom w:val="none" w:sz="0" w:space="0" w:color="auto"/>
        <w:right w:val="none" w:sz="0" w:space="0" w:color="auto"/>
      </w:divBdr>
    </w:div>
    <w:div w:id="595141643">
      <w:bodyDiv w:val="1"/>
      <w:marLeft w:val="0"/>
      <w:marRight w:val="0"/>
      <w:marTop w:val="0"/>
      <w:marBottom w:val="0"/>
      <w:divBdr>
        <w:top w:val="none" w:sz="0" w:space="0" w:color="auto"/>
        <w:left w:val="none" w:sz="0" w:space="0" w:color="auto"/>
        <w:bottom w:val="none" w:sz="0" w:space="0" w:color="auto"/>
        <w:right w:val="none" w:sz="0" w:space="0" w:color="auto"/>
      </w:divBdr>
    </w:div>
    <w:div w:id="596671991">
      <w:bodyDiv w:val="1"/>
      <w:marLeft w:val="0"/>
      <w:marRight w:val="0"/>
      <w:marTop w:val="0"/>
      <w:marBottom w:val="0"/>
      <w:divBdr>
        <w:top w:val="none" w:sz="0" w:space="0" w:color="auto"/>
        <w:left w:val="none" w:sz="0" w:space="0" w:color="auto"/>
        <w:bottom w:val="none" w:sz="0" w:space="0" w:color="auto"/>
        <w:right w:val="none" w:sz="0" w:space="0" w:color="auto"/>
      </w:divBdr>
    </w:div>
    <w:div w:id="612178341">
      <w:bodyDiv w:val="1"/>
      <w:marLeft w:val="0"/>
      <w:marRight w:val="0"/>
      <w:marTop w:val="0"/>
      <w:marBottom w:val="0"/>
      <w:divBdr>
        <w:top w:val="none" w:sz="0" w:space="0" w:color="auto"/>
        <w:left w:val="none" w:sz="0" w:space="0" w:color="auto"/>
        <w:bottom w:val="none" w:sz="0" w:space="0" w:color="auto"/>
        <w:right w:val="none" w:sz="0" w:space="0" w:color="auto"/>
      </w:divBdr>
    </w:div>
    <w:div w:id="625429377">
      <w:bodyDiv w:val="1"/>
      <w:marLeft w:val="0"/>
      <w:marRight w:val="0"/>
      <w:marTop w:val="0"/>
      <w:marBottom w:val="0"/>
      <w:divBdr>
        <w:top w:val="none" w:sz="0" w:space="0" w:color="auto"/>
        <w:left w:val="none" w:sz="0" w:space="0" w:color="auto"/>
        <w:bottom w:val="none" w:sz="0" w:space="0" w:color="auto"/>
        <w:right w:val="none" w:sz="0" w:space="0" w:color="auto"/>
      </w:divBdr>
    </w:div>
    <w:div w:id="625700192">
      <w:bodyDiv w:val="1"/>
      <w:marLeft w:val="0"/>
      <w:marRight w:val="0"/>
      <w:marTop w:val="0"/>
      <w:marBottom w:val="0"/>
      <w:divBdr>
        <w:top w:val="none" w:sz="0" w:space="0" w:color="auto"/>
        <w:left w:val="none" w:sz="0" w:space="0" w:color="auto"/>
        <w:bottom w:val="none" w:sz="0" w:space="0" w:color="auto"/>
        <w:right w:val="none" w:sz="0" w:space="0" w:color="auto"/>
      </w:divBdr>
    </w:div>
    <w:div w:id="633410818">
      <w:bodyDiv w:val="1"/>
      <w:marLeft w:val="0"/>
      <w:marRight w:val="0"/>
      <w:marTop w:val="0"/>
      <w:marBottom w:val="0"/>
      <w:divBdr>
        <w:top w:val="none" w:sz="0" w:space="0" w:color="auto"/>
        <w:left w:val="none" w:sz="0" w:space="0" w:color="auto"/>
        <w:bottom w:val="none" w:sz="0" w:space="0" w:color="auto"/>
        <w:right w:val="none" w:sz="0" w:space="0" w:color="auto"/>
      </w:divBdr>
    </w:div>
    <w:div w:id="645084070">
      <w:bodyDiv w:val="1"/>
      <w:marLeft w:val="0"/>
      <w:marRight w:val="0"/>
      <w:marTop w:val="0"/>
      <w:marBottom w:val="0"/>
      <w:divBdr>
        <w:top w:val="none" w:sz="0" w:space="0" w:color="auto"/>
        <w:left w:val="none" w:sz="0" w:space="0" w:color="auto"/>
        <w:bottom w:val="none" w:sz="0" w:space="0" w:color="auto"/>
        <w:right w:val="none" w:sz="0" w:space="0" w:color="auto"/>
      </w:divBdr>
    </w:div>
    <w:div w:id="647396529">
      <w:bodyDiv w:val="1"/>
      <w:marLeft w:val="0"/>
      <w:marRight w:val="0"/>
      <w:marTop w:val="0"/>
      <w:marBottom w:val="0"/>
      <w:divBdr>
        <w:top w:val="none" w:sz="0" w:space="0" w:color="auto"/>
        <w:left w:val="none" w:sz="0" w:space="0" w:color="auto"/>
        <w:bottom w:val="none" w:sz="0" w:space="0" w:color="auto"/>
        <w:right w:val="none" w:sz="0" w:space="0" w:color="auto"/>
      </w:divBdr>
    </w:div>
    <w:div w:id="652291429">
      <w:bodyDiv w:val="1"/>
      <w:marLeft w:val="0"/>
      <w:marRight w:val="0"/>
      <w:marTop w:val="0"/>
      <w:marBottom w:val="0"/>
      <w:divBdr>
        <w:top w:val="none" w:sz="0" w:space="0" w:color="auto"/>
        <w:left w:val="none" w:sz="0" w:space="0" w:color="auto"/>
        <w:bottom w:val="none" w:sz="0" w:space="0" w:color="auto"/>
        <w:right w:val="none" w:sz="0" w:space="0" w:color="auto"/>
      </w:divBdr>
    </w:div>
    <w:div w:id="666055154">
      <w:bodyDiv w:val="1"/>
      <w:marLeft w:val="0"/>
      <w:marRight w:val="0"/>
      <w:marTop w:val="0"/>
      <w:marBottom w:val="0"/>
      <w:divBdr>
        <w:top w:val="none" w:sz="0" w:space="0" w:color="auto"/>
        <w:left w:val="none" w:sz="0" w:space="0" w:color="auto"/>
        <w:bottom w:val="none" w:sz="0" w:space="0" w:color="auto"/>
        <w:right w:val="none" w:sz="0" w:space="0" w:color="auto"/>
      </w:divBdr>
    </w:div>
    <w:div w:id="674578825">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10806492">
      <w:bodyDiv w:val="1"/>
      <w:marLeft w:val="0"/>
      <w:marRight w:val="0"/>
      <w:marTop w:val="0"/>
      <w:marBottom w:val="0"/>
      <w:divBdr>
        <w:top w:val="none" w:sz="0" w:space="0" w:color="auto"/>
        <w:left w:val="none" w:sz="0" w:space="0" w:color="auto"/>
        <w:bottom w:val="none" w:sz="0" w:space="0" w:color="auto"/>
        <w:right w:val="none" w:sz="0" w:space="0" w:color="auto"/>
      </w:divBdr>
    </w:div>
    <w:div w:id="744642219">
      <w:bodyDiv w:val="1"/>
      <w:marLeft w:val="0"/>
      <w:marRight w:val="0"/>
      <w:marTop w:val="0"/>
      <w:marBottom w:val="0"/>
      <w:divBdr>
        <w:top w:val="none" w:sz="0" w:space="0" w:color="auto"/>
        <w:left w:val="none" w:sz="0" w:space="0" w:color="auto"/>
        <w:bottom w:val="none" w:sz="0" w:space="0" w:color="auto"/>
        <w:right w:val="none" w:sz="0" w:space="0" w:color="auto"/>
      </w:divBdr>
    </w:div>
    <w:div w:id="747653861">
      <w:bodyDiv w:val="1"/>
      <w:marLeft w:val="0"/>
      <w:marRight w:val="0"/>
      <w:marTop w:val="0"/>
      <w:marBottom w:val="0"/>
      <w:divBdr>
        <w:top w:val="none" w:sz="0" w:space="0" w:color="auto"/>
        <w:left w:val="none" w:sz="0" w:space="0" w:color="auto"/>
        <w:bottom w:val="none" w:sz="0" w:space="0" w:color="auto"/>
        <w:right w:val="none" w:sz="0" w:space="0" w:color="auto"/>
      </w:divBdr>
    </w:div>
    <w:div w:id="752508361">
      <w:bodyDiv w:val="1"/>
      <w:marLeft w:val="0"/>
      <w:marRight w:val="0"/>
      <w:marTop w:val="0"/>
      <w:marBottom w:val="0"/>
      <w:divBdr>
        <w:top w:val="none" w:sz="0" w:space="0" w:color="auto"/>
        <w:left w:val="none" w:sz="0" w:space="0" w:color="auto"/>
        <w:bottom w:val="none" w:sz="0" w:space="0" w:color="auto"/>
        <w:right w:val="none" w:sz="0" w:space="0" w:color="auto"/>
      </w:divBdr>
    </w:div>
    <w:div w:id="760370890">
      <w:bodyDiv w:val="1"/>
      <w:marLeft w:val="0"/>
      <w:marRight w:val="0"/>
      <w:marTop w:val="0"/>
      <w:marBottom w:val="0"/>
      <w:divBdr>
        <w:top w:val="none" w:sz="0" w:space="0" w:color="auto"/>
        <w:left w:val="none" w:sz="0" w:space="0" w:color="auto"/>
        <w:bottom w:val="none" w:sz="0" w:space="0" w:color="auto"/>
        <w:right w:val="none" w:sz="0" w:space="0" w:color="auto"/>
      </w:divBdr>
    </w:div>
    <w:div w:id="761490023">
      <w:bodyDiv w:val="1"/>
      <w:marLeft w:val="0"/>
      <w:marRight w:val="0"/>
      <w:marTop w:val="0"/>
      <w:marBottom w:val="0"/>
      <w:divBdr>
        <w:top w:val="none" w:sz="0" w:space="0" w:color="auto"/>
        <w:left w:val="none" w:sz="0" w:space="0" w:color="auto"/>
        <w:bottom w:val="none" w:sz="0" w:space="0" w:color="auto"/>
        <w:right w:val="none" w:sz="0" w:space="0" w:color="auto"/>
      </w:divBdr>
    </w:div>
    <w:div w:id="769542564">
      <w:bodyDiv w:val="1"/>
      <w:marLeft w:val="0"/>
      <w:marRight w:val="0"/>
      <w:marTop w:val="0"/>
      <w:marBottom w:val="0"/>
      <w:divBdr>
        <w:top w:val="none" w:sz="0" w:space="0" w:color="auto"/>
        <w:left w:val="none" w:sz="0" w:space="0" w:color="auto"/>
        <w:bottom w:val="none" w:sz="0" w:space="0" w:color="auto"/>
        <w:right w:val="none" w:sz="0" w:space="0" w:color="auto"/>
      </w:divBdr>
    </w:div>
    <w:div w:id="774979210">
      <w:bodyDiv w:val="1"/>
      <w:marLeft w:val="0"/>
      <w:marRight w:val="0"/>
      <w:marTop w:val="0"/>
      <w:marBottom w:val="0"/>
      <w:divBdr>
        <w:top w:val="none" w:sz="0" w:space="0" w:color="auto"/>
        <w:left w:val="none" w:sz="0" w:space="0" w:color="auto"/>
        <w:bottom w:val="none" w:sz="0" w:space="0" w:color="auto"/>
        <w:right w:val="none" w:sz="0" w:space="0" w:color="auto"/>
      </w:divBdr>
    </w:div>
    <w:div w:id="792094637">
      <w:bodyDiv w:val="1"/>
      <w:marLeft w:val="0"/>
      <w:marRight w:val="0"/>
      <w:marTop w:val="0"/>
      <w:marBottom w:val="0"/>
      <w:divBdr>
        <w:top w:val="none" w:sz="0" w:space="0" w:color="auto"/>
        <w:left w:val="none" w:sz="0" w:space="0" w:color="auto"/>
        <w:bottom w:val="none" w:sz="0" w:space="0" w:color="auto"/>
        <w:right w:val="none" w:sz="0" w:space="0" w:color="auto"/>
      </w:divBdr>
    </w:div>
    <w:div w:id="800345729">
      <w:bodyDiv w:val="1"/>
      <w:marLeft w:val="0"/>
      <w:marRight w:val="0"/>
      <w:marTop w:val="0"/>
      <w:marBottom w:val="0"/>
      <w:divBdr>
        <w:top w:val="none" w:sz="0" w:space="0" w:color="auto"/>
        <w:left w:val="none" w:sz="0" w:space="0" w:color="auto"/>
        <w:bottom w:val="none" w:sz="0" w:space="0" w:color="auto"/>
        <w:right w:val="none" w:sz="0" w:space="0" w:color="auto"/>
      </w:divBdr>
    </w:div>
    <w:div w:id="814491786">
      <w:bodyDiv w:val="1"/>
      <w:marLeft w:val="0"/>
      <w:marRight w:val="0"/>
      <w:marTop w:val="0"/>
      <w:marBottom w:val="0"/>
      <w:divBdr>
        <w:top w:val="none" w:sz="0" w:space="0" w:color="auto"/>
        <w:left w:val="none" w:sz="0" w:space="0" w:color="auto"/>
        <w:bottom w:val="none" w:sz="0" w:space="0" w:color="auto"/>
        <w:right w:val="none" w:sz="0" w:space="0" w:color="auto"/>
      </w:divBdr>
    </w:div>
    <w:div w:id="841164715">
      <w:bodyDiv w:val="1"/>
      <w:marLeft w:val="0"/>
      <w:marRight w:val="0"/>
      <w:marTop w:val="0"/>
      <w:marBottom w:val="0"/>
      <w:divBdr>
        <w:top w:val="none" w:sz="0" w:space="0" w:color="auto"/>
        <w:left w:val="none" w:sz="0" w:space="0" w:color="auto"/>
        <w:bottom w:val="none" w:sz="0" w:space="0" w:color="auto"/>
        <w:right w:val="none" w:sz="0" w:space="0" w:color="auto"/>
      </w:divBdr>
    </w:div>
    <w:div w:id="858473115">
      <w:bodyDiv w:val="1"/>
      <w:marLeft w:val="0"/>
      <w:marRight w:val="0"/>
      <w:marTop w:val="0"/>
      <w:marBottom w:val="0"/>
      <w:divBdr>
        <w:top w:val="none" w:sz="0" w:space="0" w:color="auto"/>
        <w:left w:val="none" w:sz="0" w:space="0" w:color="auto"/>
        <w:bottom w:val="none" w:sz="0" w:space="0" w:color="auto"/>
        <w:right w:val="none" w:sz="0" w:space="0" w:color="auto"/>
      </w:divBdr>
    </w:div>
    <w:div w:id="870000615">
      <w:bodyDiv w:val="1"/>
      <w:marLeft w:val="0"/>
      <w:marRight w:val="0"/>
      <w:marTop w:val="0"/>
      <w:marBottom w:val="0"/>
      <w:divBdr>
        <w:top w:val="none" w:sz="0" w:space="0" w:color="auto"/>
        <w:left w:val="none" w:sz="0" w:space="0" w:color="auto"/>
        <w:bottom w:val="none" w:sz="0" w:space="0" w:color="auto"/>
        <w:right w:val="none" w:sz="0" w:space="0" w:color="auto"/>
      </w:divBdr>
    </w:div>
    <w:div w:id="879125114">
      <w:bodyDiv w:val="1"/>
      <w:marLeft w:val="0"/>
      <w:marRight w:val="0"/>
      <w:marTop w:val="0"/>
      <w:marBottom w:val="0"/>
      <w:divBdr>
        <w:top w:val="none" w:sz="0" w:space="0" w:color="auto"/>
        <w:left w:val="none" w:sz="0" w:space="0" w:color="auto"/>
        <w:bottom w:val="none" w:sz="0" w:space="0" w:color="auto"/>
        <w:right w:val="none" w:sz="0" w:space="0" w:color="auto"/>
      </w:divBdr>
    </w:div>
    <w:div w:id="913323834">
      <w:bodyDiv w:val="1"/>
      <w:marLeft w:val="0"/>
      <w:marRight w:val="0"/>
      <w:marTop w:val="0"/>
      <w:marBottom w:val="0"/>
      <w:divBdr>
        <w:top w:val="none" w:sz="0" w:space="0" w:color="auto"/>
        <w:left w:val="none" w:sz="0" w:space="0" w:color="auto"/>
        <w:bottom w:val="none" w:sz="0" w:space="0" w:color="auto"/>
        <w:right w:val="none" w:sz="0" w:space="0" w:color="auto"/>
      </w:divBdr>
    </w:div>
    <w:div w:id="928196761">
      <w:bodyDiv w:val="1"/>
      <w:marLeft w:val="0"/>
      <w:marRight w:val="0"/>
      <w:marTop w:val="0"/>
      <w:marBottom w:val="0"/>
      <w:divBdr>
        <w:top w:val="none" w:sz="0" w:space="0" w:color="auto"/>
        <w:left w:val="none" w:sz="0" w:space="0" w:color="auto"/>
        <w:bottom w:val="none" w:sz="0" w:space="0" w:color="auto"/>
        <w:right w:val="none" w:sz="0" w:space="0" w:color="auto"/>
      </w:divBdr>
    </w:div>
    <w:div w:id="932474012">
      <w:bodyDiv w:val="1"/>
      <w:marLeft w:val="0"/>
      <w:marRight w:val="0"/>
      <w:marTop w:val="0"/>
      <w:marBottom w:val="0"/>
      <w:divBdr>
        <w:top w:val="none" w:sz="0" w:space="0" w:color="auto"/>
        <w:left w:val="none" w:sz="0" w:space="0" w:color="auto"/>
        <w:bottom w:val="none" w:sz="0" w:space="0" w:color="auto"/>
        <w:right w:val="none" w:sz="0" w:space="0" w:color="auto"/>
      </w:divBdr>
    </w:div>
    <w:div w:id="934437781">
      <w:bodyDiv w:val="1"/>
      <w:marLeft w:val="0"/>
      <w:marRight w:val="0"/>
      <w:marTop w:val="0"/>
      <w:marBottom w:val="0"/>
      <w:divBdr>
        <w:top w:val="none" w:sz="0" w:space="0" w:color="auto"/>
        <w:left w:val="none" w:sz="0" w:space="0" w:color="auto"/>
        <w:bottom w:val="none" w:sz="0" w:space="0" w:color="auto"/>
        <w:right w:val="none" w:sz="0" w:space="0" w:color="auto"/>
      </w:divBdr>
    </w:div>
    <w:div w:id="936017355">
      <w:bodyDiv w:val="1"/>
      <w:marLeft w:val="0"/>
      <w:marRight w:val="0"/>
      <w:marTop w:val="0"/>
      <w:marBottom w:val="0"/>
      <w:divBdr>
        <w:top w:val="none" w:sz="0" w:space="0" w:color="auto"/>
        <w:left w:val="none" w:sz="0" w:space="0" w:color="auto"/>
        <w:bottom w:val="none" w:sz="0" w:space="0" w:color="auto"/>
        <w:right w:val="none" w:sz="0" w:space="0" w:color="auto"/>
      </w:divBdr>
    </w:div>
    <w:div w:id="947276845">
      <w:bodyDiv w:val="1"/>
      <w:marLeft w:val="0"/>
      <w:marRight w:val="0"/>
      <w:marTop w:val="0"/>
      <w:marBottom w:val="0"/>
      <w:divBdr>
        <w:top w:val="none" w:sz="0" w:space="0" w:color="auto"/>
        <w:left w:val="none" w:sz="0" w:space="0" w:color="auto"/>
        <w:bottom w:val="none" w:sz="0" w:space="0" w:color="auto"/>
        <w:right w:val="none" w:sz="0" w:space="0" w:color="auto"/>
      </w:divBdr>
    </w:div>
    <w:div w:id="947548728">
      <w:bodyDiv w:val="1"/>
      <w:marLeft w:val="0"/>
      <w:marRight w:val="0"/>
      <w:marTop w:val="0"/>
      <w:marBottom w:val="0"/>
      <w:divBdr>
        <w:top w:val="none" w:sz="0" w:space="0" w:color="auto"/>
        <w:left w:val="none" w:sz="0" w:space="0" w:color="auto"/>
        <w:bottom w:val="none" w:sz="0" w:space="0" w:color="auto"/>
        <w:right w:val="none" w:sz="0" w:space="0" w:color="auto"/>
      </w:divBdr>
    </w:div>
    <w:div w:id="956840426">
      <w:bodyDiv w:val="1"/>
      <w:marLeft w:val="0"/>
      <w:marRight w:val="0"/>
      <w:marTop w:val="0"/>
      <w:marBottom w:val="0"/>
      <w:divBdr>
        <w:top w:val="none" w:sz="0" w:space="0" w:color="auto"/>
        <w:left w:val="none" w:sz="0" w:space="0" w:color="auto"/>
        <w:bottom w:val="none" w:sz="0" w:space="0" w:color="auto"/>
        <w:right w:val="none" w:sz="0" w:space="0" w:color="auto"/>
      </w:divBdr>
    </w:div>
    <w:div w:id="967199360">
      <w:bodyDiv w:val="1"/>
      <w:marLeft w:val="0"/>
      <w:marRight w:val="0"/>
      <w:marTop w:val="0"/>
      <w:marBottom w:val="0"/>
      <w:divBdr>
        <w:top w:val="none" w:sz="0" w:space="0" w:color="auto"/>
        <w:left w:val="none" w:sz="0" w:space="0" w:color="auto"/>
        <w:bottom w:val="none" w:sz="0" w:space="0" w:color="auto"/>
        <w:right w:val="none" w:sz="0" w:space="0" w:color="auto"/>
      </w:divBdr>
    </w:div>
    <w:div w:id="969744986">
      <w:bodyDiv w:val="1"/>
      <w:marLeft w:val="0"/>
      <w:marRight w:val="0"/>
      <w:marTop w:val="0"/>
      <w:marBottom w:val="0"/>
      <w:divBdr>
        <w:top w:val="none" w:sz="0" w:space="0" w:color="auto"/>
        <w:left w:val="none" w:sz="0" w:space="0" w:color="auto"/>
        <w:bottom w:val="none" w:sz="0" w:space="0" w:color="auto"/>
        <w:right w:val="none" w:sz="0" w:space="0" w:color="auto"/>
      </w:divBdr>
    </w:div>
    <w:div w:id="974063132">
      <w:bodyDiv w:val="1"/>
      <w:marLeft w:val="0"/>
      <w:marRight w:val="0"/>
      <w:marTop w:val="0"/>
      <w:marBottom w:val="0"/>
      <w:divBdr>
        <w:top w:val="none" w:sz="0" w:space="0" w:color="auto"/>
        <w:left w:val="none" w:sz="0" w:space="0" w:color="auto"/>
        <w:bottom w:val="none" w:sz="0" w:space="0" w:color="auto"/>
        <w:right w:val="none" w:sz="0" w:space="0" w:color="auto"/>
      </w:divBdr>
    </w:div>
    <w:div w:id="979267114">
      <w:bodyDiv w:val="1"/>
      <w:marLeft w:val="0"/>
      <w:marRight w:val="0"/>
      <w:marTop w:val="0"/>
      <w:marBottom w:val="0"/>
      <w:divBdr>
        <w:top w:val="none" w:sz="0" w:space="0" w:color="auto"/>
        <w:left w:val="none" w:sz="0" w:space="0" w:color="auto"/>
        <w:bottom w:val="none" w:sz="0" w:space="0" w:color="auto"/>
        <w:right w:val="none" w:sz="0" w:space="0" w:color="auto"/>
      </w:divBdr>
    </w:div>
    <w:div w:id="979650802">
      <w:bodyDiv w:val="1"/>
      <w:marLeft w:val="0"/>
      <w:marRight w:val="0"/>
      <w:marTop w:val="0"/>
      <w:marBottom w:val="0"/>
      <w:divBdr>
        <w:top w:val="none" w:sz="0" w:space="0" w:color="auto"/>
        <w:left w:val="none" w:sz="0" w:space="0" w:color="auto"/>
        <w:bottom w:val="none" w:sz="0" w:space="0" w:color="auto"/>
        <w:right w:val="none" w:sz="0" w:space="0" w:color="auto"/>
      </w:divBdr>
    </w:div>
    <w:div w:id="986519132">
      <w:bodyDiv w:val="1"/>
      <w:marLeft w:val="0"/>
      <w:marRight w:val="0"/>
      <w:marTop w:val="0"/>
      <w:marBottom w:val="0"/>
      <w:divBdr>
        <w:top w:val="none" w:sz="0" w:space="0" w:color="auto"/>
        <w:left w:val="none" w:sz="0" w:space="0" w:color="auto"/>
        <w:bottom w:val="none" w:sz="0" w:space="0" w:color="auto"/>
        <w:right w:val="none" w:sz="0" w:space="0" w:color="auto"/>
      </w:divBdr>
    </w:div>
    <w:div w:id="1011377298">
      <w:bodyDiv w:val="1"/>
      <w:marLeft w:val="0"/>
      <w:marRight w:val="0"/>
      <w:marTop w:val="0"/>
      <w:marBottom w:val="0"/>
      <w:divBdr>
        <w:top w:val="none" w:sz="0" w:space="0" w:color="auto"/>
        <w:left w:val="none" w:sz="0" w:space="0" w:color="auto"/>
        <w:bottom w:val="none" w:sz="0" w:space="0" w:color="auto"/>
        <w:right w:val="none" w:sz="0" w:space="0" w:color="auto"/>
      </w:divBdr>
    </w:div>
    <w:div w:id="1015687130">
      <w:bodyDiv w:val="1"/>
      <w:marLeft w:val="0"/>
      <w:marRight w:val="0"/>
      <w:marTop w:val="0"/>
      <w:marBottom w:val="0"/>
      <w:divBdr>
        <w:top w:val="none" w:sz="0" w:space="0" w:color="auto"/>
        <w:left w:val="none" w:sz="0" w:space="0" w:color="auto"/>
        <w:bottom w:val="none" w:sz="0" w:space="0" w:color="auto"/>
        <w:right w:val="none" w:sz="0" w:space="0" w:color="auto"/>
      </w:divBdr>
    </w:div>
    <w:div w:id="1028261697">
      <w:bodyDiv w:val="1"/>
      <w:marLeft w:val="0"/>
      <w:marRight w:val="0"/>
      <w:marTop w:val="0"/>
      <w:marBottom w:val="0"/>
      <w:divBdr>
        <w:top w:val="none" w:sz="0" w:space="0" w:color="auto"/>
        <w:left w:val="none" w:sz="0" w:space="0" w:color="auto"/>
        <w:bottom w:val="none" w:sz="0" w:space="0" w:color="auto"/>
        <w:right w:val="none" w:sz="0" w:space="0" w:color="auto"/>
      </w:divBdr>
    </w:div>
    <w:div w:id="1030186161">
      <w:bodyDiv w:val="1"/>
      <w:marLeft w:val="0"/>
      <w:marRight w:val="0"/>
      <w:marTop w:val="0"/>
      <w:marBottom w:val="0"/>
      <w:divBdr>
        <w:top w:val="none" w:sz="0" w:space="0" w:color="auto"/>
        <w:left w:val="none" w:sz="0" w:space="0" w:color="auto"/>
        <w:bottom w:val="none" w:sz="0" w:space="0" w:color="auto"/>
        <w:right w:val="none" w:sz="0" w:space="0" w:color="auto"/>
      </w:divBdr>
    </w:div>
    <w:div w:id="1030380358">
      <w:bodyDiv w:val="1"/>
      <w:marLeft w:val="0"/>
      <w:marRight w:val="0"/>
      <w:marTop w:val="0"/>
      <w:marBottom w:val="0"/>
      <w:divBdr>
        <w:top w:val="none" w:sz="0" w:space="0" w:color="auto"/>
        <w:left w:val="none" w:sz="0" w:space="0" w:color="auto"/>
        <w:bottom w:val="none" w:sz="0" w:space="0" w:color="auto"/>
        <w:right w:val="none" w:sz="0" w:space="0" w:color="auto"/>
      </w:divBdr>
    </w:div>
    <w:div w:id="1058476012">
      <w:bodyDiv w:val="1"/>
      <w:marLeft w:val="0"/>
      <w:marRight w:val="0"/>
      <w:marTop w:val="0"/>
      <w:marBottom w:val="0"/>
      <w:divBdr>
        <w:top w:val="none" w:sz="0" w:space="0" w:color="auto"/>
        <w:left w:val="none" w:sz="0" w:space="0" w:color="auto"/>
        <w:bottom w:val="none" w:sz="0" w:space="0" w:color="auto"/>
        <w:right w:val="none" w:sz="0" w:space="0" w:color="auto"/>
      </w:divBdr>
    </w:div>
    <w:div w:id="1059206569">
      <w:bodyDiv w:val="1"/>
      <w:marLeft w:val="0"/>
      <w:marRight w:val="0"/>
      <w:marTop w:val="0"/>
      <w:marBottom w:val="0"/>
      <w:divBdr>
        <w:top w:val="none" w:sz="0" w:space="0" w:color="auto"/>
        <w:left w:val="none" w:sz="0" w:space="0" w:color="auto"/>
        <w:bottom w:val="none" w:sz="0" w:space="0" w:color="auto"/>
        <w:right w:val="none" w:sz="0" w:space="0" w:color="auto"/>
      </w:divBdr>
    </w:div>
    <w:div w:id="1069037373">
      <w:bodyDiv w:val="1"/>
      <w:marLeft w:val="0"/>
      <w:marRight w:val="0"/>
      <w:marTop w:val="0"/>
      <w:marBottom w:val="0"/>
      <w:divBdr>
        <w:top w:val="none" w:sz="0" w:space="0" w:color="auto"/>
        <w:left w:val="none" w:sz="0" w:space="0" w:color="auto"/>
        <w:bottom w:val="none" w:sz="0" w:space="0" w:color="auto"/>
        <w:right w:val="none" w:sz="0" w:space="0" w:color="auto"/>
      </w:divBdr>
    </w:div>
    <w:div w:id="1079255784">
      <w:bodyDiv w:val="1"/>
      <w:marLeft w:val="0"/>
      <w:marRight w:val="0"/>
      <w:marTop w:val="0"/>
      <w:marBottom w:val="0"/>
      <w:divBdr>
        <w:top w:val="none" w:sz="0" w:space="0" w:color="auto"/>
        <w:left w:val="none" w:sz="0" w:space="0" w:color="auto"/>
        <w:bottom w:val="none" w:sz="0" w:space="0" w:color="auto"/>
        <w:right w:val="none" w:sz="0" w:space="0" w:color="auto"/>
      </w:divBdr>
    </w:div>
    <w:div w:id="1086541093">
      <w:bodyDiv w:val="1"/>
      <w:marLeft w:val="0"/>
      <w:marRight w:val="0"/>
      <w:marTop w:val="0"/>
      <w:marBottom w:val="0"/>
      <w:divBdr>
        <w:top w:val="none" w:sz="0" w:space="0" w:color="auto"/>
        <w:left w:val="none" w:sz="0" w:space="0" w:color="auto"/>
        <w:bottom w:val="none" w:sz="0" w:space="0" w:color="auto"/>
        <w:right w:val="none" w:sz="0" w:space="0" w:color="auto"/>
      </w:divBdr>
    </w:div>
    <w:div w:id="1086806616">
      <w:bodyDiv w:val="1"/>
      <w:marLeft w:val="0"/>
      <w:marRight w:val="0"/>
      <w:marTop w:val="0"/>
      <w:marBottom w:val="0"/>
      <w:divBdr>
        <w:top w:val="none" w:sz="0" w:space="0" w:color="auto"/>
        <w:left w:val="none" w:sz="0" w:space="0" w:color="auto"/>
        <w:bottom w:val="none" w:sz="0" w:space="0" w:color="auto"/>
        <w:right w:val="none" w:sz="0" w:space="0" w:color="auto"/>
      </w:divBdr>
      <w:divsChild>
        <w:div w:id="803621678">
          <w:marLeft w:val="0"/>
          <w:marRight w:val="0"/>
          <w:marTop w:val="0"/>
          <w:marBottom w:val="0"/>
          <w:divBdr>
            <w:top w:val="none" w:sz="0" w:space="0" w:color="auto"/>
            <w:left w:val="none" w:sz="0" w:space="0" w:color="auto"/>
            <w:bottom w:val="none" w:sz="0" w:space="0" w:color="auto"/>
            <w:right w:val="none" w:sz="0" w:space="0" w:color="auto"/>
          </w:divBdr>
          <w:divsChild>
            <w:div w:id="83115373">
              <w:marLeft w:val="0"/>
              <w:marRight w:val="0"/>
              <w:marTop w:val="0"/>
              <w:marBottom w:val="0"/>
              <w:divBdr>
                <w:top w:val="none" w:sz="0" w:space="0" w:color="auto"/>
                <w:left w:val="none" w:sz="0" w:space="0" w:color="auto"/>
                <w:bottom w:val="none" w:sz="0" w:space="0" w:color="auto"/>
                <w:right w:val="none" w:sz="0" w:space="0" w:color="auto"/>
              </w:divBdr>
            </w:div>
            <w:div w:id="107166204">
              <w:marLeft w:val="0"/>
              <w:marRight w:val="0"/>
              <w:marTop w:val="0"/>
              <w:marBottom w:val="0"/>
              <w:divBdr>
                <w:top w:val="none" w:sz="0" w:space="0" w:color="auto"/>
                <w:left w:val="none" w:sz="0" w:space="0" w:color="auto"/>
                <w:bottom w:val="none" w:sz="0" w:space="0" w:color="auto"/>
                <w:right w:val="none" w:sz="0" w:space="0" w:color="auto"/>
              </w:divBdr>
            </w:div>
            <w:div w:id="590970579">
              <w:marLeft w:val="0"/>
              <w:marRight w:val="0"/>
              <w:marTop w:val="0"/>
              <w:marBottom w:val="0"/>
              <w:divBdr>
                <w:top w:val="none" w:sz="0" w:space="0" w:color="auto"/>
                <w:left w:val="none" w:sz="0" w:space="0" w:color="auto"/>
                <w:bottom w:val="none" w:sz="0" w:space="0" w:color="auto"/>
                <w:right w:val="none" w:sz="0" w:space="0" w:color="auto"/>
              </w:divBdr>
            </w:div>
            <w:div w:id="621764535">
              <w:marLeft w:val="0"/>
              <w:marRight w:val="0"/>
              <w:marTop w:val="0"/>
              <w:marBottom w:val="0"/>
              <w:divBdr>
                <w:top w:val="none" w:sz="0" w:space="0" w:color="auto"/>
                <w:left w:val="none" w:sz="0" w:space="0" w:color="auto"/>
                <w:bottom w:val="none" w:sz="0" w:space="0" w:color="auto"/>
                <w:right w:val="none" w:sz="0" w:space="0" w:color="auto"/>
              </w:divBdr>
            </w:div>
            <w:div w:id="585387900">
              <w:marLeft w:val="0"/>
              <w:marRight w:val="0"/>
              <w:marTop w:val="0"/>
              <w:marBottom w:val="0"/>
              <w:divBdr>
                <w:top w:val="none" w:sz="0" w:space="0" w:color="auto"/>
                <w:left w:val="none" w:sz="0" w:space="0" w:color="auto"/>
                <w:bottom w:val="none" w:sz="0" w:space="0" w:color="auto"/>
                <w:right w:val="none" w:sz="0" w:space="0" w:color="auto"/>
              </w:divBdr>
            </w:div>
            <w:div w:id="2009555205">
              <w:marLeft w:val="0"/>
              <w:marRight w:val="0"/>
              <w:marTop w:val="0"/>
              <w:marBottom w:val="0"/>
              <w:divBdr>
                <w:top w:val="none" w:sz="0" w:space="0" w:color="auto"/>
                <w:left w:val="none" w:sz="0" w:space="0" w:color="auto"/>
                <w:bottom w:val="none" w:sz="0" w:space="0" w:color="auto"/>
                <w:right w:val="none" w:sz="0" w:space="0" w:color="auto"/>
              </w:divBdr>
            </w:div>
            <w:div w:id="251594299">
              <w:marLeft w:val="0"/>
              <w:marRight w:val="0"/>
              <w:marTop w:val="0"/>
              <w:marBottom w:val="0"/>
              <w:divBdr>
                <w:top w:val="none" w:sz="0" w:space="0" w:color="auto"/>
                <w:left w:val="none" w:sz="0" w:space="0" w:color="auto"/>
                <w:bottom w:val="none" w:sz="0" w:space="0" w:color="auto"/>
                <w:right w:val="none" w:sz="0" w:space="0" w:color="auto"/>
              </w:divBdr>
            </w:div>
            <w:div w:id="367416931">
              <w:marLeft w:val="0"/>
              <w:marRight w:val="0"/>
              <w:marTop w:val="0"/>
              <w:marBottom w:val="0"/>
              <w:divBdr>
                <w:top w:val="none" w:sz="0" w:space="0" w:color="auto"/>
                <w:left w:val="none" w:sz="0" w:space="0" w:color="auto"/>
                <w:bottom w:val="none" w:sz="0" w:space="0" w:color="auto"/>
                <w:right w:val="none" w:sz="0" w:space="0" w:color="auto"/>
              </w:divBdr>
            </w:div>
            <w:div w:id="785806680">
              <w:marLeft w:val="0"/>
              <w:marRight w:val="0"/>
              <w:marTop w:val="0"/>
              <w:marBottom w:val="0"/>
              <w:divBdr>
                <w:top w:val="none" w:sz="0" w:space="0" w:color="auto"/>
                <w:left w:val="none" w:sz="0" w:space="0" w:color="auto"/>
                <w:bottom w:val="none" w:sz="0" w:space="0" w:color="auto"/>
                <w:right w:val="none" w:sz="0" w:space="0" w:color="auto"/>
              </w:divBdr>
            </w:div>
            <w:div w:id="1548253116">
              <w:marLeft w:val="0"/>
              <w:marRight w:val="0"/>
              <w:marTop w:val="0"/>
              <w:marBottom w:val="0"/>
              <w:divBdr>
                <w:top w:val="none" w:sz="0" w:space="0" w:color="auto"/>
                <w:left w:val="none" w:sz="0" w:space="0" w:color="auto"/>
                <w:bottom w:val="none" w:sz="0" w:space="0" w:color="auto"/>
                <w:right w:val="none" w:sz="0" w:space="0" w:color="auto"/>
              </w:divBdr>
            </w:div>
            <w:div w:id="400564341">
              <w:marLeft w:val="0"/>
              <w:marRight w:val="0"/>
              <w:marTop w:val="0"/>
              <w:marBottom w:val="0"/>
              <w:divBdr>
                <w:top w:val="none" w:sz="0" w:space="0" w:color="auto"/>
                <w:left w:val="none" w:sz="0" w:space="0" w:color="auto"/>
                <w:bottom w:val="none" w:sz="0" w:space="0" w:color="auto"/>
                <w:right w:val="none" w:sz="0" w:space="0" w:color="auto"/>
              </w:divBdr>
            </w:div>
            <w:div w:id="909079928">
              <w:marLeft w:val="0"/>
              <w:marRight w:val="0"/>
              <w:marTop w:val="0"/>
              <w:marBottom w:val="0"/>
              <w:divBdr>
                <w:top w:val="none" w:sz="0" w:space="0" w:color="auto"/>
                <w:left w:val="none" w:sz="0" w:space="0" w:color="auto"/>
                <w:bottom w:val="none" w:sz="0" w:space="0" w:color="auto"/>
                <w:right w:val="none" w:sz="0" w:space="0" w:color="auto"/>
              </w:divBdr>
            </w:div>
            <w:div w:id="621771502">
              <w:marLeft w:val="0"/>
              <w:marRight w:val="0"/>
              <w:marTop w:val="0"/>
              <w:marBottom w:val="0"/>
              <w:divBdr>
                <w:top w:val="none" w:sz="0" w:space="0" w:color="auto"/>
                <w:left w:val="none" w:sz="0" w:space="0" w:color="auto"/>
                <w:bottom w:val="none" w:sz="0" w:space="0" w:color="auto"/>
                <w:right w:val="none" w:sz="0" w:space="0" w:color="auto"/>
              </w:divBdr>
            </w:div>
            <w:div w:id="417672814">
              <w:marLeft w:val="0"/>
              <w:marRight w:val="0"/>
              <w:marTop w:val="0"/>
              <w:marBottom w:val="0"/>
              <w:divBdr>
                <w:top w:val="none" w:sz="0" w:space="0" w:color="auto"/>
                <w:left w:val="none" w:sz="0" w:space="0" w:color="auto"/>
                <w:bottom w:val="none" w:sz="0" w:space="0" w:color="auto"/>
                <w:right w:val="none" w:sz="0" w:space="0" w:color="auto"/>
              </w:divBdr>
            </w:div>
            <w:div w:id="987779807">
              <w:marLeft w:val="0"/>
              <w:marRight w:val="0"/>
              <w:marTop w:val="0"/>
              <w:marBottom w:val="0"/>
              <w:divBdr>
                <w:top w:val="none" w:sz="0" w:space="0" w:color="auto"/>
                <w:left w:val="none" w:sz="0" w:space="0" w:color="auto"/>
                <w:bottom w:val="none" w:sz="0" w:space="0" w:color="auto"/>
                <w:right w:val="none" w:sz="0" w:space="0" w:color="auto"/>
              </w:divBdr>
            </w:div>
            <w:div w:id="1738505728">
              <w:marLeft w:val="0"/>
              <w:marRight w:val="0"/>
              <w:marTop w:val="0"/>
              <w:marBottom w:val="0"/>
              <w:divBdr>
                <w:top w:val="none" w:sz="0" w:space="0" w:color="auto"/>
                <w:left w:val="none" w:sz="0" w:space="0" w:color="auto"/>
                <w:bottom w:val="none" w:sz="0" w:space="0" w:color="auto"/>
                <w:right w:val="none" w:sz="0" w:space="0" w:color="auto"/>
              </w:divBdr>
            </w:div>
            <w:div w:id="1874031671">
              <w:marLeft w:val="0"/>
              <w:marRight w:val="0"/>
              <w:marTop w:val="0"/>
              <w:marBottom w:val="0"/>
              <w:divBdr>
                <w:top w:val="none" w:sz="0" w:space="0" w:color="auto"/>
                <w:left w:val="none" w:sz="0" w:space="0" w:color="auto"/>
                <w:bottom w:val="none" w:sz="0" w:space="0" w:color="auto"/>
                <w:right w:val="none" w:sz="0" w:space="0" w:color="auto"/>
              </w:divBdr>
            </w:div>
            <w:div w:id="242837764">
              <w:marLeft w:val="0"/>
              <w:marRight w:val="0"/>
              <w:marTop w:val="0"/>
              <w:marBottom w:val="0"/>
              <w:divBdr>
                <w:top w:val="none" w:sz="0" w:space="0" w:color="auto"/>
                <w:left w:val="none" w:sz="0" w:space="0" w:color="auto"/>
                <w:bottom w:val="none" w:sz="0" w:space="0" w:color="auto"/>
                <w:right w:val="none" w:sz="0" w:space="0" w:color="auto"/>
              </w:divBdr>
            </w:div>
            <w:div w:id="1697122106">
              <w:marLeft w:val="0"/>
              <w:marRight w:val="0"/>
              <w:marTop w:val="0"/>
              <w:marBottom w:val="0"/>
              <w:divBdr>
                <w:top w:val="none" w:sz="0" w:space="0" w:color="auto"/>
                <w:left w:val="none" w:sz="0" w:space="0" w:color="auto"/>
                <w:bottom w:val="none" w:sz="0" w:space="0" w:color="auto"/>
                <w:right w:val="none" w:sz="0" w:space="0" w:color="auto"/>
              </w:divBdr>
            </w:div>
            <w:div w:id="1214149638">
              <w:marLeft w:val="0"/>
              <w:marRight w:val="0"/>
              <w:marTop w:val="0"/>
              <w:marBottom w:val="0"/>
              <w:divBdr>
                <w:top w:val="none" w:sz="0" w:space="0" w:color="auto"/>
                <w:left w:val="none" w:sz="0" w:space="0" w:color="auto"/>
                <w:bottom w:val="none" w:sz="0" w:space="0" w:color="auto"/>
                <w:right w:val="none" w:sz="0" w:space="0" w:color="auto"/>
              </w:divBdr>
            </w:div>
            <w:div w:id="1020551535">
              <w:marLeft w:val="0"/>
              <w:marRight w:val="0"/>
              <w:marTop w:val="0"/>
              <w:marBottom w:val="0"/>
              <w:divBdr>
                <w:top w:val="none" w:sz="0" w:space="0" w:color="auto"/>
                <w:left w:val="none" w:sz="0" w:space="0" w:color="auto"/>
                <w:bottom w:val="none" w:sz="0" w:space="0" w:color="auto"/>
                <w:right w:val="none" w:sz="0" w:space="0" w:color="auto"/>
              </w:divBdr>
            </w:div>
            <w:div w:id="130291454">
              <w:marLeft w:val="0"/>
              <w:marRight w:val="0"/>
              <w:marTop w:val="0"/>
              <w:marBottom w:val="0"/>
              <w:divBdr>
                <w:top w:val="none" w:sz="0" w:space="0" w:color="auto"/>
                <w:left w:val="none" w:sz="0" w:space="0" w:color="auto"/>
                <w:bottom w:val="none" w:sz="0" w:space="0" w:color="auto"/>
                <w:right w:val="none" w:sz="0" w:space="0" w:color="auto"/>
              </w:divBdr>
            </w:div>
            <w:div w:id="518129890">
              <w:marLeft w:val="0"/>
              <w:marRight w:val="0"/>
              <w:marTop w:val="0"/>
              <w:marBottom w:val="0"/>
              <w:divBdr>
                <w:top w:val="none" w:sz="0" w:space="0" w:color="auto"/>
                <w:left w:val="none" w:sz="0" w:space="0" w:color="auto"/>
                <w:bottom w:val="none" w:sz="0" w:space="0" w:color="auto"/>
                <w:right w:val="none" w:sz="0" w:space="0" w:color="auto"/>
              </w:divBdr>
            </w:div>
            <w:div w:id="143420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523453">
      <w:bodyDiv w:val="1"/>
      <w:marLeft w:val="0"/>
      <w:marRight w:val="0"/>
      <w:marTop w:val="0"/>
      <w:marBottom w:val="0"/>
      <w:divBdr>
        <w:top w:val="none" w:sz="0" w:space="0" w:color="auto"/>
        <w:left w:val="none" w:sz="0" w:space="0" w:color="auto"/>
        <w:bottom w:val="none" w:sz="0" w:space="0" w:color="auto"/>
        <w:right w:val="none" w:sz="0" w:space="0" w:color="auto"/>
      </w:divBdr>
    </w:div>
    <w:div w:id="1121801418">
      <w:bodyDiv w:val="1"/>
      <w:marLeft w:val="0"/>
      <w:marRight w:val="0"/>
      <w:marTop w:val="0"/>
      <w:marBottom w:val="0"/>
      <w:divBdr>
        <w:top w:val="none" w:sz="0" w:space="0" w:color="auto"/>
        <w:left w:val="none" w:sz="0" w:space="0" w:color="auto"/>
        <w:bottom w:val="none" w:sz="0" w:space="0" w:color="auto"/>
        <w:right w:val="none" w:sz="0" w:space="0" w:color="auto"/>
      </w:divBdr>
    </w:div>
    <w:div w:id="1132286835">
      <w:bodyDiv w:val="1"/>
      <w:marLeft w:val="0"/>
      <w:marRight w:val="0"/>
      <w:marTop w:val="0"/>
      <w:marBottom w:val="0"/>
      <w:divBdr>
        <w:top w:val="none" w:sz="0" w:space="0" w:color="auto"/>
        <w:left w:val="none" w:sz="0" w:space="0" w:color="auto"/>
        <w:bottom w:val="none" w:sz="0" w:space="0" w:color="auto"/>
        <w:right w:val="none" w:sz="0" w:space="0" w:color="auto"/>
      </w:divBdr>
    </w:div>
    <w:div w:id="1144470218">
      <w:bodyDiv w:val="1"/>
      <w:marLeft w:val="0"/>
      <w:marRight w:val="0"/>
      <w:marTop w:val="0"/>
      <w:marBottom w:val="0"/>
      <w:divBdr>
        <w:top w:val="none" w:sz="0" w:space="0" w:color="auto"/>
        <w:left w:val="none" w:sz="0" w:space="0" w:color="auto"/>
        <w:bottom w:val="none" w:sz="0" w:space="0" w:color="auto"/>
        <w:right w:val="none" w:sz="0" w:space="0" w:color="auto"/>
      </w:divBdr>
    </w:div>
    <w:div w:id="1147358870">
      <w:bodyDiv w:val="1"/>
      <w:marLeft w:val="0"/>
      <w:marRight w:val="0"/>
      <w:marTop w:val="0"/>
      <w:marBottom w:val="0"/>
      <w:divBdr>
        <w:top w:val="none" w:sz="0" w:space="0" w:color="auto"/>
        <w:left w:val="none" w:sz="0" w:space="0" w:color="auto"/>
        <w:bottom w:val="none" w:sz="0" w:space="0" w:color="auto"/>
        <w:right w:val="none" w:sz="0" w:space="0" w:color="auto"/>
      </w:divBdr>
    </w:div>
    <w:div w:id="1147404727">
      <w:bodyDiv w:val="1"/>
      <w:marLeft w:val="0"/>
      <w:marRight w:val="0"/>
      <w:marTop w:val="0"/>
      <w:marBottom w:val="0"/>
      <w:divBdr>
        <w:top w:val="none" w:sz="0" w:space="0" w:color="auto"/>
        <w:left w:val="none" w:sz="0" w:space="0" w:color="auto"/>
        <w:bottom w:val="none" w:sz="0" w:space="0" w:color="auto"/>
        <w:right w:val="none" w:sz="0" w:space="0" w:color="auto"/>
      </w:divBdr>
    </w:div>
    <w:div w:id="1150244349">
      <w:bodyDiv w:val="1"/>
      <w:marLeft w:val="0"/>
      <w:marRight w:val="0"/>
      <w:marTop w:val="0"/>
      <w:marBottom w:val="0"/>
      <w:divBdr>
        <w:top w:val="none" w:sz="0" w:space="0" w:color="auto"/>
        <w:left w:val="none" w:sz="0" w:space="0" w:color="auto"/>
        <w:bottom w:val="none" w:sz="0" w:space="0" w:color="auto"/>
        <w:right w:val="none" w:sz="0" w:space="0" w:color="auto"/>
      </w:divBdr>
    </w:div>
    <w:div w:id="1185290161">
      <w:bodyDiv w:val="1"/>
      <w:marLeft w:val="0"/>
      <w:marRight w:val="0"/>
      <w:marTop w:val="0"/>
      <w:marBottom w:val="0"/>
      <w:divBdr>
        <w:top w:val="none" w:sz="0" w:space="0" w:color="auto"/>
        <w:left w:val="none" w:sz="0" w:space="0" w:color="auto"/>
        <w:bottom w:val="none" w:sz="0" w:space="0" w:color="auto"/>
        <w:right w:val="none" w:sz="0" w:space="0" w:color="auto"/>
      </w:divBdr>
    </w:div>
    <w:div w:id="1192643053">
      <w:bodyDiv w:val="1"/>
      <w:marLeft w:val="0"/>
      <w:marRight w:val="0"/>
      <w:marTop w:val="0"/>
      <w:marBottom w:val="0"/>
      <w:divBdr>
        <w:top w:val="none" w:sz="0" w:space="0" w:color="auto"/>
        <w:left w:val="none" w:sz="0" w:space="0" w:color="auto"/>
        <w:bottom w:val="none" w:sz="0" w:space="0" w:color="auto"/>
        <w:right w:val="none" w:sz="0" w:space="0" w:color="auto"/>
      </w:divBdr>
    </w:div>
    <w:div w:id="1195189599">
      <w:bodyDiv w:val="1"/>
      <w:marLeft w:val="0"/>
      <w:marRight w:val="0"/>
      <w:marTop w:val="0"/>
      <w:marBottom w:val="0"/>
      <w:divBdr>
        <w:top w:val="none" w:sz="0" w:space="0" w:color="auto"/>
        <w:left w:val="none" w:sz="0" w:space="0" w:color="auto"/>
        <w:bottom w:val="none" w:sz="0" w:space="0" w:color="auto"/>
        <w:right w:val="none" w:sz="0" w:space="0" w:color="auto"/>
      </w:divBdr>
    </w:div>
    <w:div w:id="1202203834">
      <w:bodyDiv w:val="1"/>
      <w:marLeft w:val="0"/>
      <w:marRight w:val="0"/>
      <w:marTop w:val="0"/>
      <w:marBottom w:val="0"/>
      <w:divBdr>
        <w:top w:val="none" w:sz="0" w:space="0" w:color="auto"/>
        <w:left w:val="none" w:sz="0" w:space="0" w:color="auto"/>
        <w:bottom w:val="none" w:sz="0" w:space="0" w:color="auto"/>
        <w:right w:val="none" w:sz="0" w:space="0" w:color="auto"/>
      </w:divBdr>
    </w:div>
    <w:div w:id="1210454781">
      <w:bodyDiv w:val="1"/>
      <w:marLeft w:val="0"/>
      <w:marRight w:val="0"/>
      <w:marTop w:val="0"/>
      <w:marBottom w:val="0"/>
      <w:divBdr>
        <w:top w:val="none" w:sz="0" w:space="0" w:color="auto"/>
        <w:left w:val="none" w:sz="0" w:space="0" w:color="auto"/>
        <w:bottom w:val="none" w:sz="0" w:space="0" w:color="auto"/>
        <w:right w:val="none" w:sz="0" w:space="0" w:color="auto"/>
      </w:divBdr>
    </w:div>
    <w:div w:id="1219784036">
      <w:bodyDiv w:val="1"/>
      <w:marLeft w:val="0"/>
      <w:marRight w:val="0"/>
      <w:marTop w:val="0"/>
      <w:marBottom w:val="0"/>
      <w:divBdr>
        <w:top w:val="none" w:sz="0" w:space="0" w:color="auto"/>
        <w:left w:val="none" w:sz="0" w:space="0" w:color="auto"/>
        <w:bottom w:val="none" w:sz="0" w:space="0" w:color="auto"/>
        <w:right w:val="none" w:sz="0" w:space="0" w:color="auto"/>
      </w:divBdr>
    </w:div>
    <w:div w:id="1243681018">
      <w:bodyDiv w:val="1"/>
      <w:marLeft w:val="0"/>
      <w:marRight w:val="0"/>
      <w:marTop w:val="0"/>
      <w:marBottom w:val="0"/>
      <w:divBdr>
        <w:top w:val="none" w:sz="0" w:space="0" w:color="auto"/>
        <w:left w:val="none" w:sz="0" w:space="0" w:color="auto"/>
        <w:bottom w:val="none" w:sz="0" w:space="0" w:color="auto"/>
        <w:right w:val="none" w:sz="0" w:space="0" w:color="auto"/>
      </w:divBdr>
    </w:div>
    <w:div w:id="1244801253">
      <w:bodyDiv w:val="1"/>
      <w:marLeft w:val="0"/>
      <w:marRight w:val="0"/>
      <w:marTop w:val="0"/>
      <w:marBottom w:val="0"/>
      <w:divBdr>
        <w:top w:val="none" w:sz="0" w:space="0" w:color="auto"/>
        <w:left w:val="none" w:sz="0" w:space="0" w:color="auto"/>
        <w:bottom w:val="none" w:sz="0" w:space="0" w:color="auto"/>
        <w:right w:val="none" w:sz="0" w:space="0" w:color="auto"/>
      </w:divBdr>
    </w:div>
    <w:div w:id="1251155288">
      <w:bodyDiv w:val="1"/>
      <w:marLeft w:val="0"/>
      <w:marRight w:val="0"/>
      <w:marTop w:val="0"/>
      <w:marBottom w:val="0"/>
      <w:divBdr>
        <w:top w:val="none" w:sz="0" w:space="0" w:color="auto"/>
        <w:left w:val="none" w:sz="0" w:space="0" w:color="auto"/>
        <w:bottom w:val="none" w:sz="0" w:space="0" w:color="auto"/>
        <w:right w:val="none" w:sz="0" w:space="0" w:color="auto"/>
      </w:divBdr>
    </w:div>
    <w:div w:id="1255086558">
      <w:bodyDiv w:val="1"/>
      <w:marLeft w:val="0"/>
      <w:marRight w:val="0"/>
      <w:marTop w:val="0"/>
      <w:marBottom w:val="0"/>
      <w:divBdr>
        <w:top w:val="none" w:sz="0" w:space="0" w:color="auto"/>
        <w:left w:val="none" w:sz="0" w:space="0" w:color="auto"/>
        <w:bottom w:val="none" w:sz="0" w:space="0" w:color="auto"/>
        <w:right w:val="none" w:sz="0" w:space="0" w:color="auto"/>
      </w:divBdr>
    </w:div>
    <w:div w:id="1262296168">
      <w:bodyDiv w:val="1"/>
      <w:marLeft w:val="0"/>
      <w:marRight w:val="0"/>
      <w:marTop w:val="0"/>
      <w:marBottom w:val="0"/>
      <w:divBdr>
        <w:top w:val="none" w:sz="0" w:space="0" w:color="auto"/>
        <w:left w:val="none" w:sz="0" w:space="0" w:color="auto"/>
        <w:bottom w:val="none" w:sz="0" w:space="0" w:color="auto"/>
        <w:right w:val="none" w:sz="0" w:space="0" w:color="auto"/>
      </w:divBdr>
    </w:div>
    <w:div w:id="1278222510">
      <w:bodyDiv w:val="1"/>
      <w:marLeft w:val="0"/>
      <w:marRight w:val="0"/>
      <w:marTop w:val="0"/>
      <w:marBottom w:val="0"/>
      <w:divBdr>
        <w:top w:val="none" w:sz="0" w:space="0" w:color="auto"/>
        <w:left w:val="none" w:sz="0" w:space="0" w:color="auto"/>
        <w:bottom w:val="none" w:sz="0" w:space="0" w:color="auto"/>
        <w:right w:val="none" w:sz="0" w:space="0" w:color="auto"/>
      </w:divBdr>
    </w:div>
    <w:div w:id="1282495149">
      <w:bodyDiv w:val="1"/>
      <w:marLeft w:val="0"/>
      <w:marRight w:val="0"/>
      <w:marTop w:val="0"/>
      <w:marBottom w:val="0"/>
      <w:divBdr>
        <w:top w:val="none" w:sz="0" w:space="0" w:color="auto"/>
        <w:left w:val="none" w:sz="0" w:space="0" w:color="auto"/>
        <w:bottom w:val="none" w:sz="0" w:space="0" w:color="auto"/>
        <w:right w:val="none" w:sz="0" w:space="0" w:color="auto"/>
      </w:divBdr>
    </w:div>
    <w:div w:id="1285886834">
      <w:bodyDiv w:val="1"/>
      <w:marLeft w:val="0"/>
      <w:marRight w:val="0"/>
      <w:marTop w:val="0"/>
      <w:marBottom w:val="0"/>
      <w:divBdr>
        <w:top w:val="none" w:sz="0" w:space="0" w:color="auto"/>
        <w:left w:val="none" w:sz="0" w:space="0" w:color="auto"/>
        <w:bottom w:val="none" w:sz="0" w:space="0" w:color="auto"/>
        <w:right w:val="none" w:sz="0" w:space="0" w:color="auto"/>
      </w:divBdr>
    </w:div>
    <w:div w:id="1288314651">
      <w:bodyDiv w:val="1"/>
      <w:marLeft w:val="0"/>
      <w:marRight w:val="0"/>
      <w:marTop w:val="0"/>
      <w:marBottom w:val="0"/>
      <w:divBdr>
        <w:top w:val="none" w:sz="0" w:space="0" w:color="auto"/>
        <w:left w:val="none" w:sz="0" w:space="0" w:color="auto"/>
        <w:bottom w:val="none" w:sz="0" w:space="0" w:color="auto"/>
        <w:right w:val="none" w:sz="0" w:space="0" w:color="auto"/>
      </w:divBdr>
    </w:div>
    <w:div w:id="1300769168">
      <w:bodyDiv w:val="1"/>
      <w:marLeft w:val="0"/>
      <w:marRight w:val="0"/>
      <w:marTop w:val="0"/>
      <w:marBottom w:val="0"/>
      <w:divBdr>
        <w:top w:val="none" w:sz="0" w:space="0" w:color="auto"/>
        <w:left w:val="none" w:sz="0" w:space="0" w:color="auto"/>
        <w:bottom w:val="none" w:sz="0" w:space="0" w:color="auto"/>
        <w:right w:val="none" w:sz="0" w:space="0" w:color="auto"/>
      </w:divBdr>
    </w:div>
    <w:div w:id="1304845263">
      <w:bodyDiv w:val="1"/>
      <w:marLeft w:val="0"/>
      <w:marRight w:val="0"/>
      <w:marTop w:val="0"/>
      <w:marBottom w:val="0"/>
      <w:divBdr>
        <w:top w:val="none" w:sz="0" w:space="0" w:color="auto"/>
        <w:left w:val="none" w:sz="0" w:space="0" w:color="auto"/>
        <w:bottom w:val="none" w:sz="0" w:space="0" w:color="auto"/>
        <w:right w:val="none" w:sz="0" w:space="0" w:color="auto"/>
      </w:divBdr>
    </w:div>
    <w:div w:id="1323503793">
      <w:bodyDiv w:val="1"/>
      <w:marLeft w:val="0"/>
      <w:marRight w:val="0"/>
      <w:marTop w:val="0"/>
      <w:marBottom w:val="0"/>
      <w:divBdr>
        <w:top w:val="none" w:sz="0" w:space="0" w:color="auto"/>
        <w:left w:val="none" w:sz="0" w:space="0" w:color="auto"/>
        <w:bottom w:val="none" w:sz="0" w:space="0" w:color="auto"/>
        <w:right w:val="none" w:sz="0" w:space="0" w:color="auto"/>
      </w:divBdr>
    </w:div>
    <w:div w:id="1332635093">
      <w:bodyDiv w:val="1"/>
      <w:marLeft w:val="0"/>
      <w:marRight w:val="0"/>
      <w:marTop w:val="0"/>
      <w:marBottom w:val="0"/>
      <w:divBdr>
        <w:top w:val="none" w:sz="0" w:space="0" w:color="auto"/>
        <w:left w:val="none" w:sz="0" w:space="0" w:color="auto"/>
        <w:bottom w:val="none" w:sz="0" w:space="0" w:color="auto"/>
        <w:right w:val="none" w:sz="0" w:space="0" w:color="auto"/>
      </w:divBdr>
    </w:div>
    <w:div w:id="1372799488">
      <w:bodyDiv w:val="1"/>
      <w:marLeft w:val="0"/>
      <w:marRight w:val="0"/>
      <w:marTop w:val="0"/>
      <w:marBottom w:val="0"/>
      <w:divBdr>
        <w:top w:val="none" w:sz="0" w:space="0" w:color="auto"/>
        <w:left w:val="none" w:sz="0" w:space="0" w:color="auto"/>
        <w:bottom w:val="none" w:sz="0" w:space="0" w:color="auto"/>
        <w:right w:val="none" w:sz="0" w:space="0" w:color="auto"/>
      </w:divBdr>
    </w:div>
    <w:div w:id="1383480548">
      <w:bodyDiv w:val="1"/>
      <w:marLeft w:val="0"/>
      <w:marRight w:val="0"/>
      <w:marTop w:val="0"/>
      <w:marBottom w:val="0"/>
      <w:divBdr>
        <w:top w:val="none" w:sz="0" w:space="0" w:color="auto"/>
        <w:left w:val="none" w:sz="0" w:space="0" w:color="auto"/>
        <w:bottom w:val="none" w:sz="0" w:space="0" w:color="auto"/>
        <w:right w:val="none" w:sz="0" w:space="0" w:color="auto"/>
      </w:divBdr>
    </w:div>
    <w:div w:id="1391541552">
      <w:bodyDiv w:val="1"/>
      <w:marLeft w:val="0"/>
      <w:marRight w:val="0"/>
      <w:marTop w:val="0"/>
      <w:marBottom w:val="0"/>
      <w:divBdr>
        <w:top w:val="none" w:sz="0" w:space="0" w:color="auto"/>
        <w:left w:val="none" w:sz="0" w:space="0" w:color="auto"/>
        <w:bottom w:val="none" w:sz="0" w:space="0" w:color="auto"/>
        <w:right w:val="none" w:sz="0" w:space="0" w:color="auto"/>
      </w:divBdr>
    </w:div>
    <w:div w:id="1401489577">
      <w:bodyDiv w:val="1"/>
      <w:marLeft w:val="0"/>
      <w:marRight w:val="0"/>
      <w:marTop w:val="0"/>
      <w:marBottom w:val="0"/>
      <w:divBdr>
        <w:top w:val="none" w:sz="0" w:space="0" w:color="auto"/>
        <w:left w:val="none" w:sz="0" w:space="0" w:color="auto"/>
        <w:bottom w:val="none" w:sz="0" w:space="0" w:color="auto"/>
        <w:right w:val="none" w:sz="0" w:space="0" w:color="auto"/>
      </w:divBdr>
    </w:div>
    <w:div w:id="1411928525">
      <w:bodyDiv w:val="1"/>
      <w:marLeft w:val="0"/>
      <w:marRight w:val="0"/>
      <w:marTop w:val="0"/>
      <w:marBottom w:val="0"/>
      <w:divBdr>
        <w:top w:val="none" w:sz="0" w:space="0" w:color="auto"/>
        <w:left w:val="none" w:sz="0" w:space="0" w:color="auto"/>
        <w:bottom w:val="none" w:sz="0" w:space="0" w:color="auto"/>
        <w:right w:val="none" w:sz="0" w:space="0" w:color="auto"/>
      </w:divBdr>
    </w:div>
    <w:div w:id="1463041117">
      <w:bodyDiv w:val="1"/>
      <w:marLeft w:val="0"/>
      <w:marRight w:val="0"/>
      <w:marTop w:val="0"/>
      <w:marBottom w:val="0"/>
      <w:divBdr>
        <w:top w:val="none" w:sz="0" w:space="0" w:color="auto"/>
        <w:left w:val="none" w:sz="0" w:space="0" w:color="auto"/>
        <w:bottom w:val="none" w:sz="0" w:space="0" w:color="auto"/>
        <w:right w:val="none" w:sz="0" w:space="0" w:color="auto"/>
      </w:divBdr>
    </w:div>
    <w:div w:id="1476140832">
      <w:bodyDiv w:val="1"/>
      <w:marLeft w:val="0"/>
      <w:marRight w:val="0"/>
      <w:marTop w:val="0"/>
      <w:marBottom w:val="0"/>
      <w:divBdr>
        <w:top w:val="none" w:sz="0" w:space="0" w:color="auto"/>
        <w:left w:val="none" w:sz="0" w:space="0" w:color="auto"/>
        <w:bottom w:val="none" w:sz="0" w:space="0" w:color="auto"/>
        <w:right w:val="none" w:sz="0" w:space="0" w:color="auto"/>
      </w:divBdr>
    </w:div>
    <w:div w:id="1479153210">
      <w:bodyDiv w:val="1"/>
      <w:marLeft w:val="0"/>
      <w:marRight w:val="0"/>
      <w:marTop w:val="0"/>
      <w:marBottom w:val="0"/>
      <w:divBdr>
        <w:top w:val="none" w:sz="0" w:space="0" w:color="auto"/>
        <w:left w:val="none" w:sz="0" w:space="0" w:color="auto"/>
        <w:bottom w:val="none" w:sz="0" w:space="0" w:color="auto"/>
        <w:right w:val="none" w:sz="0" w:space="0" w:color="auto"/>
      </w:divBdr>
    </w:div>
    <w:div w:id="1483112309">
      <w:bodyDiv w:val="1"/>
      <w:marLeft w:val="0"/>
      <w:marRight w:val="0"/>
      <w:marTop w:val="0"/>
      <w:marBottom w:val="0"/>
      <w:divBdr>
        <w:top w:val="none" w:sz="0" w:space="0" w:color="auto"/>
        <w:left w:val="none" w:sz="0" w:space="0" w:color="auto"/>
        <w:bottom w:val="none" w:sz="0" w:space="0" w:color="auto"/>
        <w:right w:val="none" w:sz="0" w:space="0" w:color="auto"/>
      </w:divBdr>
    </w:div>
    <w:div w:id="1484930750">
      <w:bodyDiv w:val="1"/>
      <w:marLeft w:val="0"/>
      <w:marRight w:val="0"/>
      <w:marTop w:val="0"/>
      <w:marBottom w:val="0"/>
      <w:divBdr>
        <w:top w:val="none" w:sz="0" w:space="0" w:color="auto"/>
        <w:left w:val="none" w:sz="0" w:space="0" w:color="auto"/>
        <w:bottom w:val="none" w:sz="0" w:space="0" w:color="auto"/>
        <w:right w:val="none" w:sz="0" w:space="0" w:color="auto"/>
      </w:divBdr>
    </w:div>
    <w:div w:id="1485000557">
      <w:bodyDiv w:val="1"/>
      <w:marLeft w:val="0"/>
      <w:marRight w:val="0"/>
      <w:marTop w:val="0"/>
      <w:marBottom w:val="0"/>
      <w:divBdr>
        <w:top w:val="none" w:sz="0" w:space="0" w:color="auto"/>
        <w:left w:val="none" w:sz="0" w:space="0" w:color="auto"/>
        <w:bottom w:val="none" w:sz="0" w:space="0" w:color="auto"/>
        <w:right w:val="none" w:sz="0" w:space="0" w:color="auto"/>
      </w:divBdr>
    </w:div>
    <w:div w:id="1498303474">
      <w:bodyDiv w:val="1"/>
      <w:marLeft w:val="0"/>
      <w:marRight w:val="0"/>
      <w:marTop w:val="0"/>
      <w:marBottom w:val="0"/>
      <w:divBdr>
        <w:top w:val="none" w:sz="0" w:space="0" w:color="auto"/>
        <w:left w:val="none" w:sz="0" w:space="0" w:color="auto"/>
        <w:bottom w:val="none" w:sz="0" w:space="0" w:color="auto"/>
        <w:right w:val="none" w:sz="0" w:space="0" w:color="auto"/>
      </w:divBdr>
    </w:div>
    <w:div w:id="1527019640">
      <w:bodyDiv w:val="1"/>
      <w:marLeft w:val="0"/>
      <w:marRight w:val="0"/>
      <w:marTop w:val="0"/>
      <w:marBottom w:val="0"/>
      <w:divBdr>
        <w:top w:val="none" w:sz="0" w:space="0" w:color="auto"/>
        <w:left w:val="none" w:sz="0" w:space="0" w:color="auto"/>
        <w:bottom w:val="none" w:sz="0" w:space="0" w:color="auto"/>
        <w:right w:val="none" w:sz="0" w:space="0" w:color="auto"/>
      </w:divBdr>
    </w:div>
    <w:div w:id="1543206290">
      <w:bodyDiv w:val="1"/>
      <w:marLeft w:val="0"/>
      <w:marRight w:val="0"/>
      <w:marTop w:val="0"/>
      <w:marBottom w:val="0"/>
      <w:divBdr>
        <w:top w:val="none" w:sz="0" w:space="0" w:color="auto"/>
        <w:left w:val="none" w:sz="0" w:space="0" w:color="auto"/>
        <w:bottom w:val="none" w:sz="0" w:space="0" w:color="auto"/>
        <w:right w:val="none" w:sz="0" w:space="0" w:color="auto"/>
      </w:divBdr>
    </w:div>
    <w:div w:id="1556161567">
      <w:bodyDiv w:val="1"/>
      <w:marLeft w:val="0"/>
      <w:marRight w:val="0"/>
      <w:marTop w:val="0"/>
      <w:marBottom w:val="0"/>
      <w:divBdr>
        <w:top w:val="none" w:sz="0" w:space="0" w:color="auto"/>
        <w:left w:val="none" w:sz="0" w:space="0" w:color="auto"/>
        <w:bottom w:val="none" w:sz="0" w:space="0" w:color="auto"/>
        <w:right w:val="none" w:sz="0" w:space="0" w:color="auto"/>
      </w:divBdr>
    </w:div>
    <w:div w:id="1561207778">
      <w:bodyDiv w:val="1"/>
      <w:marLeft w:val="0"/>
      <w:marRight w:val="0"/>
      <w:marTop w:val="0"/>
      <w:marBottom w:val="0"/>
      <w:divBdr>
        <w:top w:val="none" w:sz="0" w:space="0" w:color="auto"/>
        <w:left w:val="none" w:sz="0" w:space="0" w:color="auto"/>
        <w:bottom w:val="none" w:sz="0" w:space="0" w:color="auto"/>
        <w:right w:val="none" w:sz="0" w:space="0" w:color="auto"/>
      </w:divBdr>
    </w:div>
    <w:div w:id="1566641558">
      <w:bodyDiv w:val="1"/>
      <w:marLeft w:val="0"/>
      <w:marRight w:val="0"/>
      <w:marTop w:val="0"/>
      <w:marBottom w:val="0"/>
      <w:divBdr>
        <w:top w:val="none" w:sz="0" w:space="0" w:color="auto"/>
        <w:left w:val="none" w:sz="0" w:space="0" w:color="auto"/>
        <w:bottom w:val="none" w:sz="0" w:space="0" w:color="auto"/>
        <w:right w:val="none" w:sz="0" w:space="0" w:color="auto"/>
      </w:divBdr>
    </w:div>
    <w:div w:id="1581596330">
      <w:bodyDiv w:val="1"/>
      <w:marLeft w:val="0"/>
      <w:marRight w:val="0"/>
      <w:marTop w:val="0"/>
      <w:marBottom w:val="0"/>
      <w:divBdr>
        <w:top w:val="none" w:sz="0" w:space="0" w:color="auto"/>
        <w:left w:val="none" w:sz="0" w:space="0" w:color="auto"/>
        <w:bottom w:val="none" w:sz="0" w:space="0" w:color="auto"/>
        <w:right w:val="none" w:sz="0" w:space="0" w:color="auto"/>
      </w:divBdr>
    </w:div>
    <w:div w:id="1584797341">
      <w:bodyDiv w:val="1"/>
      <w:marLeft w:val="0"/>
      <w:marRight w:val="0"/>
      <w:marTop w:val="0"/>
      <w:marBottom w:val="0"/>
      <w:divBdr>
        <w:top w:val="none" w:sz="0" w:space="0" w:color="auto"/>
        <w:left w:val="none" w:sz="0" w:space="0" w:color="auto"/>
        <w:bottom w:val="none" w:sz="0" w:space="0" w:color="auto"/>
        <w:right w:val="none" w:sz="0" w:space="0" w:color="auto"/>
      </w:divBdr>
    </w:div>
    <w:div w:id="1603491975">
      <w:bodyDiv w:val="1"/>
      <w:marLeft w:val="0"/>
      <w:marRight w:val="0"/>
      <w:marTop w:val="0"/>
      <w:marBottom w:val="0"/>
      <w:divBdr>
        <w:top w:val="none" w:sz="0" w:space="0" w:color="auto"/>
        <w:left w:val="none" w:sz="0" w:space="0" w:color="auto"/>
        <w:bottom w:val="none" w:sz="0" w:space="0" w:color="auto"/>
        <w:right w:val="none" w:sz="0" w:space="0" w:color="auto"/>
      </w:divBdr>
    </w:div>
    <w:div w:id="161154750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1297543">
      <w:bodyDiv w:val="1"/>
      <w:marLeft w:val="0"/>
      <w:marRight w:val="0"/>
      <w:marTop w:val="0"/>
      <w:marBottom w:val="0"/>
      <w:divBdr>
        <w:top w:val="none" w:sz="0" w:space="0" w:color="auto"/>
        <w:left w:val="none" w:sz="0" w:space="0" w:color="auto"/>
        <w:bottom w:val="none" w:sz="0" w:space="0" w:color="auto"/>
        <w:right w:val="none" w:sz="0" w:space="0" w:color="auto"/>
      </w:divBdr>
    </w:div>
    <w:div w:id="1623074484">
      <w:bodyDiv w:val="1"/>
      <w:marLeft w:val="0"/>
      <w:marRight w:val="0"/>
      <w:marTop w:val="0"/>
      <w:marBottom w:val="0"/>
      <w:divBdr>
        <w:top w:val="none" w:sz="0" w:space="0" w:color="auto"/>
        <w:left w:val="none" w:sz="0" w:space="0" w:color="auto"/>
        <w:bottom w:val="none" w:sz="0" w:space="0" w:color="auto"/>
        <w:right w:val="none" w:sz="0" w:space="0" w:color="auto"/>
      </w:divBdr>
    </w:div>
    <w:div w:id="1637486881">
      <w:bodyDiv w:val="1"/>
      <w:marLeft w:val="0"/>
      <w:marRight w:val="0"/>
      <w:marTop w:val="0"/>
      <w:marBottom w:val="0"/>
      <w:divBdr>
        <w:top w:val="none" w:sz="0" w:space="0" w:color="auto"/>
        <w:left w:val="none" w:sz="0" w:space="0" w:color="auto"/>
        <w:bottom w:val="none" w:sz="0" w:space="0" w:color="auto"/>
        <w:right w:val="none" w:sz="0" w:space="0" w:color="auto"/>
      </w:divBdr>
    </w:div>
    <w:div w:id="1638219144">
      <w:bodyDiv w:val="1"/>
      <w:marLeft w:val="0"/>
      <w:marRight w:val="0"/>
      <w:marTop w:val="0"/>
      <w:marBottom w:val="0"/>
      <w:divBdr>
        <w:top w:val="none" w:sz="0" w:space="0" w:color="auto"/>
        <w:left w:val="none" w:sz="0" w:space="0" w:color="auto"/>
        <w:bottom w:val="none" w:sz="0" w:space="0" w:color="auto"/>
        <w:right w:val="none" w:sz="0" w:space="0" w:color="auto"/>
      </w:divBdr>
    </w:div>
    <w:div w:id="1642535621">
      <w:bodyDiv w:val="1"/>
      <w:marLeft w:val="0"/>
      <w:marRight w:val="0"/>
      <w:marTop w:val="0"/>
      <w:marBottom w:val="0"/>
      <w:divBdr>
        <w:top w:val="none" w:sz="0" w:space="0" w:color="auto"/>
        <w:left w:val="none" w:sz="0" w:space="0" w:color="auto"/>
        <w:bottom w:val="none" w:sz="0" w:space="0" w:color="auto"/>
        <w:right w:val="none" w:sz="0" w:space="0" w:color="auto"/>
      </w:divBdr>
    </w:div>
    <w:div w:id="1642734618">
      <w:bodyDiv w:val="1"/>
      <w:marLeft w:val="0"/>
      <w:marRight w:val="0"/>
      <w:marTop w:val="0"/>
      <w:marBottom w:val="0"/>
      <w:divBdr>
        <w:top w:val="none" w:sz="0" w:space="0" w:color="auto"/>
        <w:left w:val="none" w:sz="0" w:space="0" w:color="auto"/>
        <w:bottom w:val="none" w:sz="0" w:space="0" w:color="auto"/>
        <w:right w:val="none" w:sz="0" w:space="0" w:color="auto"/>
      </w:divBdr>
    </w:div>
    <w:div w:id="1654679406">
      <w:bodyDiv w:val="1"/>
      <w:marLeft w:val="0"/>
      <w:marRight w:val="0"/>
      <w:marTop w:val="0"/>
      <w:marBottom w:val="0"/>
      <w:divBdr>
        <w:top w:val="none" w:sz="0" w:space="0" w:color="auto"/>
        <w:left w:val="none" w:sz="0" w:space="0" w:color="auto"/>
        <w:bottom w:val="none" w:sz="0" w:space="0" w:color="auto"/>
        <w:right w:val="none" w:sz="0" w:space="0" w:color="auto"/>
      </w:divBdr>
    </w:div>
    <w:div w:id="1658149220">
      <w:bodyDiv w:val="1"/>
      <w:marLeft w:val="0"/>
      <w:marRight w:val="0"/>
      <w:marTop w:val="0"/>
      <w:marBottom w:val="0"/>
      <w:divBdr>
        <w:top w:val="none" w:sz="0" w:space="0" w:color="auto"/>
        <w:left w:val="none" w:sz="0" w:space="0" w:color="auto"/>
        <w:bottom w:val="none" w:sz="0" w:space="0" w:color="auto"/>
        <w:right w:val="none" w:sz="0" w:space="0" w:color="auto"/>
      </w:divBdr>
    </w:div>
    <w:div w:id="1661229330">
      <w:bodyDiv w:val="1"/>
      <w:marLeft w:val="0"/>
      <w:marRight w:val="0"/>
      <w:marTop w:val="0"/>
      <w:marBottom w:val="0"/>
      <w:divBdr>
        <w:top w:val="none" w:sz="0" w:space="0" w:color="auto"/>
        <w:left w:val="none" w:sz="0" w:space="0" w:color="auto"/>
        <w:bottom w:val="none" w:sz="0" w:space="0" w:color="auto"/>
        <w:right w:val="none" w:sz="0" w:space="0" w:color="auto"/>
      </w:divBdr>
    </w:div>
    <w:div w:id="1667783346">
      <w:bodyDiv w:val="1"/>
      <w:marLeft w:val="0"/>
      <w:marRight w:val="0"/>
      <w:marTop w:val="0"/>
      <w:marBottom w:val="0"/>
      <w:divBdr>
        <w:top w:val="none" w:sz="0" w:space="0" w:color="auto"/>
        <w:left w:val="none" w:sz="0" w:space="0" w:color="auto"/>
        <w:bottom w:val="none" w:sz="0" w:space="0" w:color="auto"/>
        <w:right w:val="none" w:sz="0" w:space="0" w:color="auto"/>
      </w:divBdr>
    </w:div>
    <w:div w:id="1680812008">
      <w:bodyDiv w:val="1"/>
      <w:marLeft w:val="0"/>
      <w:marRight w:val="0"/>
      <w:marTop w:val="0"/>
      <w:marBottom w:val="0"/>
      <w:divBdr>
        <w:top w:val="none" w:sz="0" w:space="0" w:color="auto"/>
        <w:left w:val="none" w:sz="0" w:space="0" w:color="auto"/>
        <w:bottom w:val="none" w:sz="0" w:space="0" w:color="auto"/>
        <w:right w:val="none" w:sz="0" w:space="0" w:color="auto"/>
      </w:divBdr>
    </w:div>
    <w:div w:id="1682245735">
      <w:bodyDiv w:val="1"/>
      <w:marLeft w:val="0"/>
      <w:marRight w:val="0"/>
      <w:marTop w:val="0"/>
      <w:marBottom w:val="0"/>
      <w:divBdr>
        <w:top w:val="none" w:sz="0" w:space="0" w:color="auto"/>
        <w:left w:val="none" w:sz="0" w:space="0" w:color="auto"/>
        <w:bottom w:val="none" w:sz="0" w:space="0" w:color="auto"/>
        <w:right w:val="none" w:sz="0" w:space="0" w:color="auto"/>
      </w:divBdr>
    </w:div>
    <w:div w:id="1684865173">
      <w:bodyDiv w:val="1"/>
      <w:marLeft w:val="0"/>
      <w:marRight w:val="0"/>
      <w:marTop w:val="0"/>
      <w:marBottom w:val="0"/>
      <w:divBdr>
        <w:top w:val="none" w:sz="0" w:space="0" w:color="auto"/>
        <w:left w:val="none" w:sz="0" w:space="0" w:color="auto"/>
        <w:bottom w:val="none" w:sz="0" w:space="0" w:color="auto"/>
        <w:right w:val="none" w:sz="0" w:space="0" w:color="auto"/>
      </w:divBdr>
    </w:div>
    <w:div w:id="1704356471">
      <w:bodyDiv w:val="1"/>
      <w:marLeft w:val="0"/>
      <w:marRight w:val="0"/>
      <w:marTop w:val="0"/>
      <w:marBottom w:val="0"/>
      <w:divBdr>
        <w:top w:val="none" w:sz="0" w:space="0" w:color="auto"/>
        <w:left w:val="none" w:sz="0" w:space="0" w:color="auto"/>
        <w:bottom w:val="none" w:sz="0" w:space="0" w:color="auto"/>
        <w:right w:val="none" w:sz="0" w:space="0" w:color="auto"/>
      </w:divBdr>
    </w:div>
    <w:div w:id="1706059188">
      <w:bodyDiv w:val="1"/>
      <w:marLeft w:val="0"/>
      <w:marRight w:val="0"/>
      <w:marTop w:val="0"/>
      <w:marBottom w:val="0"/>
      <w:divBdr>
        <w:top w:val="none" w:sz="0" w:space="0" w:color="auto"/>
        <w:left w:val="none" w:sz="0" w:space="0" w:color="auto"/>
        <w:bottom w:val="none" w:sz="0" w:space="0" w:color="auto"/>
        <w:right w:val="none" w:sz="0" w:space="0" w:color="auto"/>
      </w:divBdr>
    </w:div>
    <w:div w:id="1730227188">
      <w:bodyDiv w:val="1"/>
      <w:marLeft w:val="0"/>
      <w:marRight w:val="0"/>
      <w:marTop w:val="0"/>
      <w:marBottom w:val="0"/>
      <w:divBdr>
        <w:top w:val="none" w:sz="0" w:space="0" w:color="auto"/>
        <w:left w:val="none" w:sz="0" w:space="0" w:color="auto"/>
        <w:bottom w:val="none" w:sz="0" w:space="0" w:color="auto"/>
        <w:right w:val="none" w:sz="0" w:space="0" w:color="auto"/>
      </w:divBdr>
    </w:div>
    <w:div w:id="1731537043">
      <w:bodyDiv w:val="1"/>
      <w:marLeft w:val="0"/>
      <w:marRight w:val="0"/>
      <w:marTop w:val="0"/>
      <w:marBottom w:val="0"/>
      <w:divBdr>
        <w:top w:val="none" w:sz="0" w:space="0" w:color="auto"/>
        <w:left w:val="none" w:sz="0" w:space="0" w:color="auto"/>
        <w:bottom w:val="none" w:sz="0" w:space="0" w:color="auto"/>
        <w:right w:val="none" w:sz="0" w:space="0" w:color="auto"/>
      </w:divBdr>
    </w:div>
    <w:div w:id="1771851644">
      <w:bodyDiv w:val="1"/>
      <w:marLeft w:val="0"/>
      <w:marRight w:val="0"/>
      <w:marTop w:val="0"/>
      <w:marBottom w:val="0"/>
      <w:divBdr>
        <w:top w:val="none" w:sz="0" w:space="0" w:color="auto"/>
        <w:left w:val="none" w:sz="0" w:space="0" w:color="auto"/>
        <w:bottom w:val="none" w:sz="0" w:space="0" w:color="auto"/>
        <w:right w:val="none" w:sz="0" w:space="0" w:color="auto"/>
      </w:divBdr>
    </w:div>
    <w:div w:id="1782872365">
      <w:bodyDiv w:val="1"/>
      <w:marLeft w:val="0"/>
      <w:marRight w:val="0"/>
      <w:marTop w:val="0"/>
      <w:marBottom w:val="0"/>
      <w:divBdr>
        <w:top w:val="none" w:sz="0" w:space="0" w:color="auto"/>
        <w:left w:val="none" w:sz="0" w:space="0" w:color="auto"/>
        <w:bottom w:val="none" w:sz="0" w:space="0" w:color="auto"/>
        <w:right w:val="none" w:sz="0" w:space="0" w:color="auto"/>
      </w:divBdr>
    </w:div>
    <w:div w:id="1783769005">
      <w:bodyDiv w:val="1"/>
      <w:marLeft w:val="0"/>
      <w:marRight w:val="0"/>
      <w:marTop w:val="0"/>
      <w:marBottom w:val="0"/>
      <w:divBdr>
        <w:top w:val="none" w:sz="0" w:space="0" w:color="auto"/>
        <w:left w:val="none" w:sz="0" w:space="0" w:color="auto"/>
        <w:bottom w:val="none" w:sz="0" w:space="0" w:color="auto"/>
        <w:right w:val="none" w:sz="0" w:space="0" w:color="auto"/>
      </w:divBdr>
    </w:div>
    <w:div w:id="1815100889">
      <w:bodyDiv w:val="1"/>
      <w:marLeft w:val="0"/>
      <w:marRight w:val="0"/>
      <w:marTop w:val="0"/>
      <w:marBottom w:val="0"/>
      <w:divBdr>
        <w:top w:val="none" w:sz="0" w:space="0" w:color="auto"/>
        <w:left w:val="none" w:sz="0" w:space="0" w:color="auto"/>
        <w:bottom w:val="none" w:sz="0" w:space="0" w:color="auto"/>
        <w:right w:val="none" w:sz="0" w:space="0" w:color="auto"/>
      </w:divBdr>
    </w:div>
    <w:div w:id="1819417231">
      <w:bodyDiv w:val="1"/>
      <w:marLeft w:val="0"/>
      <w:marRight w:val="0"/>
      <w:marTop w:val="0"/>
      <w:marBottom w:val="0"/>
      <w:divBdr>
        <w:top w:val="none" w:sz="0" w:space="0" w:color="auto"/>
        <w:left w:val="none" w:sz="0" w:space="0" w:color="auto"/>
        <w:bottom w:val="none" w:sz="0" w:space="0" w:color="auto"/>
        <w:right w:val="none" w:sz="0" w:space="0" w:color="auto"/>
      </w:divBdr>
    </w:div>
    <w:div w:id="1819954361">
      <w:bodyDiv w:val="1"/>
      <w:marLeft w:val="0"/>
      <w:marRight w:val="0"/>
      <w:marTop w:val="0"/>
      <w:marBottom w:val="0"/>
      <w:divBdr>
        <w:top w:val="none" w:sz="0" w:space="0" w:color="auto"/>
        <w:left w:val="none" w:sz="0" w:space="0" w:color="auto"/>
        <w:bottom w:val="none" w:sz="0" w:space="0" w:color="auto"/>
        <w:right w:val="none" w:sz="0" w:space="0" w:color="auto"/>
      </w:divBdr>
    </w:div>
    <w:div w:id="1829782711">
      <w:bodyDiv w:val="1"/>
      <w:marLeft w:val="0"/>
      <w:marRight w:val="0"/>
      <w:marTop w:val="0"/>
      <w:marBottom w:val="0"/>
      <w:divBdr>
        <w:top w:val="none" w:sz="0" w:space="0" w:color="auto"/>
        <w:left w:val="none" w:sz="0" w:space="0" w:color="auto"/>
        <w:bottom w:val="none" w:sz="0" w:space="0" w:color="auto"/>
        <w:right w:val="none" w:sz="0" w:space="0" w:color="auto"/>
      </w:divBdr>
    </w:div>
    <w:div w:id="1838107340">
      <w:bodyDiv w:val="1"/>
      <w:marLeft w:val="0"/>
      <w:marRight w:val="0"/>
      <w:marTop w:val="0"/>
      <w:marBottom w:val="0"/>
      <w:divBdr>
        <w:top w:val="none" w:sz="0" w:space="0" w:color="auto"/>
        <w:left w:val="none" w:sz="0" w:space="0" w:color="auto"/>
        <w:bottom w:val="none" w:sz="0" w:space="0" w:color="auto"/>
        <w:right w:val="none" w:sz="0" w:space="0" w:color="auto"/>
      </w:divBdr>
    </w:div>
    <w:div w:id="1848711785">
      <w:bodyDiv w:val="1"/>
      <w:marLeft w:val="0"/>
      <w:marRight w:val="0"/>
      <w:marTop w:val="0"/>
      <w:marBottom w:val="0"/>
      <w:divBdr>
        <w:top w:val="none" w:sz="0" w:space="0" w:color="auto"/>
        <w:left w:val="none" w:sz="0" w:space="0" w:color="auto"/>
        <w:bottom w:val="none" w:sz="0" w:space="0" w:color="auto"/>
        <w:right w:val="none" w:sz="0" w:space="0" w:color="auto"/>
      </w:divBdr>
    </w:div>
    <w:div w:id="1852915293">
      <w:bodyDiv w:val="1"/>
      <w:marLeft w:val="0"/>
      <w:marRight w:val="0"/>
      <w:marTop w:val="0"/>
      <w:marBottom w:val="0"/>
      <w:divBdr>
        <w:top w:val="none" w:sz="0" w:space="0" w:color="auto"/>
        <w:left w:val="none" w:sz="0" w:space="0" w:color="auto"/>
        <w:bottom w:val="none" w:sz="0" w:space="0" w:color="auto"/>
        <w:right w:val="none" w:sz="0" w:space="0" w:color="auto"/>
      </w:divBdr>
    </w:div>
    <w:div w:id="1862470043">
      <w:bodyDiv w:val="1"/>
      <w:marLeft w:val="0"/>
      <w:marRight w:val="0"/>
      <w:marTop w:val="0"/>
      <w:marBottom w:val="0"/>
      <w:divBdr>
        <w:top w:val="none" w:sz="0" w:space="0" w:color="auto"/>
        <w:left w:val="none" w:sz="0" w:space="0" w:color="auto"/>
        <w:bottom w:val="none" w:sz="0" w:space="0" w:color="auto"/>
        <w:right w:val="none" w:sz="0" w:space="0" w:color="auto"/>
      </w:divBdr>
    </w:div>
    <w:div w:id="1868984972">
      <w:bodyDiv w:val="1"/>
      <w:marLeft w:val="0"/>
      <w:marRight w:val="0"/>
      <w:marTop w:val="0"/>
      <w:marBottom w:val="0"/>
      <w:divBdr>
        <w:top w:val="none" w:sz="0" w:space="0" w:color="auto"/>
        <w:left w:val="none" w:sz="0" w:space="0" w:color="auto"/>
        <w:bottom w:val="none" w:sz="0" w:space="0" w:color="auto"/>
        <w:right w:val="none" w:sz="0" w:space="0" w:color="auto"/>
      </w:divBdr>
    </w:div>
    <w:div w:id="1881630101">
      <w:bodyDiv w:val="1"/>
      <w:marLeft w:val="0"/>
      <w:marRight w:val="0"/>
      <w:marTop w:val="0"/>
      <w:marBottom w:val="0"/>
      <w:divBdr>
        <w:top w:val="none" w:sz="0" w:space="0" w:color="auto"/>
        <w:left w:val="none" w:sz="0" w:space="0" w:color="auto"/>
        <w:bottom w:val="none" w:sz="0" w:space="0" w:color="auto"/>
        <w:right w:val="none" w:sz="0" w:space="0" w:color="auto"/>
      </w:divBdr>
    </w:div>
    <w:div w:id="1896508245">
      <w:bodyDiv w:val="1"/>
      <w:marLeft w:val="0"/>
      <w:marRight w:val="0"/>
      <w:marTop w:val="0"/>
      <w:marBottom w:val="0"/>
      <w:divBdr>
        <w:top w:val="none" w:sz="0" w:space="0" w:color="auto"/>
        <w:left w:val="none" w:sz="0" w:space="0" w:color="auto"/>
        <w:bottom w:val="none" w:sz="0" w:space="0" w:color="auto"/>
        <w:right w:val="none" w:sz="0" w:space="0" w:color="auto"/>
      </w:divBdr>
    </w:div>
    <w:div w:id="1898659136">
      <w:bodyDiv w:val="1"/>
      <w:marLeft w:val="0"/>
      <w:marRight w:val="0"/>
      <w:marTop w:val="0"/>
      <w:marBottom w:val="0"/>
      <w:divBdr>
        <w:top w:val="none" w:sz="0" w:space="0" w:color="auto"/>
        <w:left w:val="none" w:sz="0" w:space="0" w:color="auto"/>
        <w:bottom w:val="none" w:sz="0" w:space="0" w:color="auto"/>
        <w:right w:val="none" w:sz="0" w:space="0" w:color="auto"/>
      </w:divBdr>
    </w:div>
    <w:div w:id="1901402632">
      <w:bodyDiv w:val="1"/>
      <w:marLeft w:val="0"/>
      <w:marRight w:val="0"/>
      <w:marTop w:val="0"/>
      <w:marBottom w:val="0"/>
      <w:divBdr>
        <w:top w:val="none" w:sz="0" w:space="0" w:color="auto"/>
        <w:left w:val="none" w:sz="0" w:space="0" w:color="auto"/>
        <w:bottom w:val="none" w:sz="0" w:space="0" w:color="auto"/>
        <w:right w:val="none" w:sz="0" w:space="0" w:color="auto"/>
      </w:divBdr>
    </w:div>
    <w:div w:id="1914198075">
      <w:bodyDiv w:val="1"/>
      <w:marLeft w:val="0"/>
      <w:marRight w:val="0"/>
      <w:marTop w:val="0"/>
      <w:marBottom w:val="0"/>
      <w:divBdr>
        <w:top w:val="none" w:sz="0" w:space="0" w:color="auto"/>
        <w:left w:val="none" w:sz="0" w:space="0" w:color="auto"/>
        <w:bottom w:val="none" w:sz="0" w:space="0" w:color="auto"/>
        <w:right w:val="none" w:sz="0" w:space="0" w:color="auto"/>
      </w:divBdr>
    </w:div>
    <w:div w:id="1922833903">
      <w:bodyDiv w:val="1"/>
      <w:marLeft w:val="0"/>
      <w:marRight w:val="0"/>
      <w:marTop w:val="0"/>
      <w:marBottom w:val="0"/>
      <w:divBdr>
        <w:top w:val="none" w:sz="0" w:space="0" w:color="auto"/>
        <w:left w:val="none" w:sz="0" w:space="0" w:color="auto"/>
        <w:bottom w:val="none" w:sz="0" w:space="0" w:color="auto"/>
        <w:right w:val="none" w:sz="0" w:space="0" w:color="auto"/>
      </w:divBdr>
    </w:div>
    <w:div w:id="1923754594">
      <w:bodyDiv w:val="1"/>
      <w:marLeft w:val="0"/>
      <w:marRight w:val="0"/>
      <w:marTop w:val="0"/>
      <w:marBottom w:val="0"/>
      <w:divBdr>
        <w:top w:val="none" w:sz="0" w:space="0" w:color="auto"/>
        <w:left w:val="none" w:sz="0" w:space="0" w:color="auto"/>
        <w:bottom w:val="none" w:sz="0" w:space="0" w:color="auto"/>
        <w:right w:val="none" w:sz="0" w:space="0" w:color="auto"/>
      </w:divBdr>
    </w:div>
    <w:div w:id="1949659614">
      <w:bodyDiv w:val="1"/>
      <w:marLeft w:val="0"/>
      <w:marRight w:val="0"/>
      <w:marTop w:val="0"/>
      <w:marBottom w:val="0"/>
      <w:divBdr>
        <w:top w:val="none" w:sz="0" w:space="0" w:color="auto"/>
        <w:left w:val="none" w:sz="0" w:space="0" w:color="auto"/>
        <w:bottom w:val="none" w:sz="0" w:space="0" w:color="auto"/>
        <w:right w:val="none" w:sz="0" w:space="0" w:color="auto"/>
      </w:divBdr>
    </w:div>
    <w:div w:id="1954289914">
      <w:bodyDiv w:val="1"/>
      <w:marLeft w:val="0"/>
      <w:marRight w:val="0"/>
      <w:marTop w:val="0"/>
      <w:marBottom w:val="0"/>
      <w:divBdr>
        <w:top w:val="none" w:sz="0" w:space="0" w:color="auto"/>
        <w:left w:val="none" w:sz="0" w:space="0" w:color="auto"/>
        <w:bottom w:val="none" w:sz="0" w:space="0" w:color="auto"/>
        <w:right w:val="none" w:sz="0" w:space="0" w:color="auto"/>
      </w:divBdr>
    </w:div>
    <w:div w:id="1957366208">
      <w:bodyDiv w:val="1"/>
      <w:marLeft w:val="0"/>
      <w:marRight w:val="0"/>
      <w:marTop w:val="0"/>
      <w:marBottom w:val="0"/>
      <w:divBdr>
        <w:top w:val="none" w:sz="0" w:space="0" w:color="auto"/>
        <w:left w:val="none" w:sz="0" w:space="0" w:color="auto"/>
        <w:bottom w:val="none" w:sz="0" w:space="0" w:color="auto"/>
        <w:right w:val="none" w:sz="0" w:space="0" w:color="auto"/>
      </w:divBdr>
    </w:div>
    <w:div w:id="1984773303">
      <w:bodyDiv w:val="1"/>
      <w:marLeft w:val="0"/>
      <w:marRight w:val="0"/>
      <w:marTop w:val="0"/>
      <w:marBottom w:val="0"/>
      <w:divBdr>
        <w:top w:val="none" w:sz="0" w:space="0" w:color="auto"/>
        <w:left w:val="none" w:sz="0" w:space="0" w:color="auto"/>
        <w:bottom w:val="none" w:sz="0" w:space="0" w:color="auto"/>
        <w:right w:val="none" w:sz="0" w:space="0" w:color="auto"/>
      </w:divBdr>
    </w:div>
    <w:div w:id="1995143406">
      <w:bodyDiv w:val="1"/>
      <w:marLeft w:val="0"/>
      <w:marRight w:val="0"/>
      <w:marTop w:val="0"/>
      <w:marBottom w:val="0"/>
      <w:divBdr>
        <w:top w:val="none" w:sz="0" w:space="0" w:color="auto"/>
        <w:left w:val="none" w:sz="0" w:space="0" w:color="auto"/>
        <w:bottom w:val="none" w:sz="0" w:space="0" w:color="auto"/>
        <w:right w:val="none" w:sz="0" w:space="0" w:color="auto"/>
      </w:divBdr>
    </w:div>
    <w:div w:id="1998531628">
      <w:bodyDiv w:val="1"/>
      <w:marLeft w:val="0"/>
      <w:marRight w:val="0"/>
      <w:marTop w:val="0"/>
      <w:marBottom w:val="0"/>
      <w:divBdr>
        <w:top w:val="none" w:sz="0" w:space="0" w:color="auto"/>
        <w:left w:val="none" w:sz="0" w:space="0" w:color="auto"/>
        <w:bottom w:val="none" w:sz="0" w:space="0" w:color="auto"/>
        <w:right w:val="none" w:sz="0" w:space="0" w:color="auto"/>
      </w:divBdr>
    </w:div>
    <w:div w:id="2000376165">
      <w:bodyDiv w:val="1"/>
      <w:marLeft w:val="0"/>
      <w:marRight w:val="0"/>
      <w:marTop w:val="0"/>
      <w:marBottom w:val="0"/>
      <w:divBdr>
        <w:top w:val="none" w:sz="0" w:space="0" w:color="auto"/>
        <w:left w:val="none" w:sz="0" w:space="0" w:color="auto"/>
        <w:bottom w:val="none" w:sz="0" w:space="0" w:color="auto"/>
        <w:right w:val="none" w:sz="0" w:space="0" w:color="auto"/>
      </w:divBdr>
    </w:div>
    <w:div w:id="2054845647">
      <w:bodyDiv w:val="1"/>
      <w:marLeft w:val="0"/>
      <w:marRight w:val="0"/>
      <w:marTop w:val="0"/>
      <w:marBottom w:val="0"/>
      <w:divBdr>
        <w:top w:val="none" w:sz="0" w:space="0" w:color="auto"/>
        <w:left w:val="none" w:sz="0" w:space="0" w:color="auto"/>
        <w:bottom w:val="none" w:sz="0" w:space="0" w:color="auto"/>
        <w:right w:val="none" w:sz="0" w:space="0" w:color="auto"/>
      </w:divBdr>
    </w:div>
    <w:div w:id="2060543662">
      <w:bodyDiv w:val="1"/>
      <w:marLeft w:val="0"/>
      <w:marRight w:val="0"/>
      <w:marTop w:val="0"/>
      <w:marBottom w:val="0"/>
      <w:divBdr>
        <w:top w:val="none" w:sz="0" w:space="0" w:color="auto"/>
        <w:left w:val="none" w:sz="0" w:space="0" w:color="auto"/>
        <w:bottom w:val="none" w:sz="0" w:space="0" w:color="auto"/>
        <w:right w:val="none" w:sz="0" w:space="0" w:color="auto"/>
      </w:divBdr>
    </w:div>
    <w:div w:id="2065449239">
      <w:bodyDiv w:val="1"/>
      <w:marLeft w:val="0"/>
      <w:marRight w:val="0"/>
      <w:marTop w:val="0"/>
      <w:marBottom w:val="0"/>
      <w:divBdr>
        <w:top w:val="none" w:sz="0" w:space="0" w:color="auto"/>
        <w:left w:val="none" w:sz="0" w:space="0" w:color="auto"/>
        <w:bottom w:val="none" w:sz="0" w:space="0" w:color="auto"/>
        <w:right w:val="none" w:sz="0" w:space="0" w:color="auto"/>
      </w:divBdr>
    </w:div>
    <w:div w:id="2068410706">
      <w:bodyDiv w:val="1"/>
      <w:marLeft w:val="0"/>
      <w:marRight w:val="0"/>
      <w:marTop w:val="0"/>
      <w:marBottom w:val="0"/>
      <w:divBdr>
        <w:top w:val="none" w:sz="0" w:space="0" w:color="auto"/>
        <w:left w:val="none" w:sz="0" w:space="0" w:color="auto"/>
        <w:bottom w:val="none" w:sz="0" w:space="0" w:color="auto"/>
        <w:right w:val="none" w:sz="0" w:space="0" w:color="auto"/>
      </w:divBdr>
    </w:div>
    <w:div w:id="2074620099">
      <w:bodyDiv w:val="1"/>
      <w:marLeft w:val="0"/>
      <w:marRight w:val="0"/>
      <w:marTop w:val="0"/>
      <w:marBottom w:val="0"/>
      <w:divBdr>
        <w:top w:val="none" w:sz="0" w:space="0" w:color="auto"/>
        <w:left w:val="none" w:sz="0" w:space="0" w:color="auto"/>
        <w:bottom w:val="none" w:sz="0" w:space="0" w:color="auto"/>
        <w:right w:val="none" w:sz="0" w:space="0" w:color="auto"/>
      </w:divBdr>
    </w:div>
    <w:div w:id="2077438480">
      <w:bodyDiv w:val="1"/>
      <w:marLeft w:val="0"/>
      <w:marRight w:val="0"/>
      <w:marTop w:val="0"/>
      <w:marBottom w:val="0"/>
      <w:divBdr>
        <w:top w:val="none" w:sz="0" w:space="0" w:color="auto"/>
        <w:left w:val="none" w:sz="0" w:space="0" w:color="auto"/>
        <w:bottom w:val="none" w:sz="0" w:space="0" w:color="auto"/>
        <w:right w:val="none" w:sz="0" w:space="0" w:color="auto"/>
      </w:divBdr>
    </w:div>
    <w:div w:id="2078094173">
      <w:bodyDiv w:val="1"/>
      <w:marLeft w:val="0"/>
      <w:marRight w:val="0"/>
      <w:marTop w:val="0"/>
      <w:marBottom w:val="0"/>
      <w:divBdr>
        <w:top w:val="none" w:sz="0" w:space="0" w:color="auto"/>
        <w:left w:val="none" w:sz="0" w:space="0" w:color="auto"/>
        <w:bottom w:val="none" w:sz="0" w:space="0" w:color="auto"/>
        <w:right w:val="none" w:sz="0" w:space="0" w:color="auto"/>
      </w:divBdr>
    </w:div>
    <w:div w:id="2078823198">
      <w:bodyDiv w:val="1"/>
      <w:marLeft w:val="0"/>
      <w:marRight w:val="0"/>
      <w:marTop w:val="0"/>
      <w:marBottom w:val="0"/>
      <w:divBdr>
        <w:top w:val="none" w:sz="0" w:space="0" w:color="auto"/>
        <w:left w:val="none" w:sz="0" w:space="0" w:color="auto"/>
        <w:bottom w:val="none" w:sz="0" w:space="0" w:color="auto"/>
        <w:right w:val="none" w:sz="0" w:space="0" w:color="auto"/>
      </w:divBdr>
    </w:div>
    <w:div w:id="2079011145">
      <w:bodyDiv w:val="1"/>
      <w:marLeft w:val="0"/>
      <w:marRight w:val="0"/>
      <w:marTop w:val="0"/>
      <w:marBottom w:val="0"/>
      <w:divBdr>
        <w:top w:val="none" w:sz="0" w:space="0" w:color="auto"/>
        <w:left w:val="none" w:sz="0" w:space="0" w:color="auto"/>
        <w:bottom w:val="none" w:sz="0" w:space="0" w:color="auto"/>
        <w:right w:val="none" w:sz="0" w:space="0" w:color="auto"/>
      </w:divBdr>
    </w:div>
    <w:div w:id="2087217019">
      <w:bodyDiv w:val="1"/>
      <w:marLeft w:val="0"/>
      <w:marRight w:val="0"/>
      <w:marTop w:val="0"/>
      <w:marBottom w:val="0"/>
      <w:divBdr>
        <w:top w:val="none" w:sz="0" w:space="0" w:color="auto"/>
        <w:left w:val="none" w:sz="0" w:space="0" w:color="auto"/>
        <w:bottom w:val="none" w:sz="0" w:space="0" w:color="auto"/>
        <w:right w:val="none" w:sz="0" w:space="0" w:color="auto"/>
      </w:divBdr>
    </w:div>
    <w:div w:id="2108499435">
      <w:bodyDiv w:val="1"/>
      <w:marLeft w:val="0"/>
      <w:marRight w:val="0"/>
      <w:marTop w:val="0"/>
      <w:marBottom w:val="0"/>
      <w:divBdr>
        <w:top w:val="none" w:sz="0" w:space="0" w:color="auto"/>
        <w:left w:val="none" w:sz="0" w:space="0" w:color="auto"/>
        <w:bottom w:val="none" w:sz="0" w:space="0" w:color="auto"/>
        <w:right w:val="none" w:sz="0" w:space="0" w:color="auto"/>
      </w:divBdr>
    </w:div>
    <w:div w:id="2109496652">
      <w:bodyDiv w:val="1"/>
      <w:marLeft w:val="0"/>
      <w:marRight w:val="0"/>
      <w:marTop w:val="0"/>
      <w:marBottom w:val="0"/>
      <w:divBdr>
        <w:top w:val="none" w:sz="0" w:space="0" w:color="auto"/>
        <w:left w:val="none" w:sz="0" w:space="0" w:color="auto"/>
        <w:bottom w:val="none" w:sz="0" w:space="0" w:color="auto"/>
        <w:right w:val="none" w:sz="0" w:space="0" w:color="auto"/>
      </w:divBdr>
    </w:div>
    <w:div w:id="2112621811">
      <w:bodyDiv w:val="1"/>
      <w:marLeft w:val="0"/>
      <w:marRight w:val="0"/>
      <w:marTop w:val="0"/>
      <w:marBottom w:val="0"/>
      <w:divBdr>
        <w:top w:val="none" w:sz="0" w:space="0" w:color="auto"/>
        <w:left w:val="none" w:sz="0" w:space="0" w:color="auto"/>
        <w:bottom w:val="none" w:sz="0" w:space="0" w:color="auto"/>
        <w:right w:val="none" w:sz="0" w:space="0" w:color="auto"/>
      </w:divBdr>
    </w:div>
    <w:div w:id="2123066243">
      <w:bodyDiv w:val="1"/>
      <w:marLeft w:val="0"/>
      <w:marRight w:val="0"/>
      <w:marTop w:val="0"/>
      <w:marBottom w:val="0"/>
      <w:divBdr>
        <w:top w:val="none" w:sz="0" w:space="0" w:color="auto"/>
        <w:left w:val="none" w:sz="0" w:space="0" w:color="auto"/>
        <w:bottom w:val="none" w:sz="0" w:space="0" w:color="auto"/>
        <w:right w:val="none" w:sz="0" w:space="0" w:color="auto"/>
      </w:divBdr>
    </w:div>
    <w:div w:id="2127429910">
      <w:bodyDiv w:val="1"/>
      <w:marLeft w:val="0"/>
      <w:marRight w:val="0"/>
      <w:marTop w:val="0"/>
      <w:marBottom w:val="0"/>
      <w:divBdr>
        <w:top w:val="none" w:sz="0" w:space="0" w:color="auto"/>
        <w:left w:val="none" w:sz="0" w:space="0" w:color="auto"/>
        <w:bottom w:val="none" w:sz="0" w:space="0" w:color="auto"/>
        <w:right w:val="none" w:sz="0" w:space="0" w:color="auto"/>
      </w:divBdr>
    </w:div>
    <w:div w:id="2135710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79BBB36-DA38-1342-A6DC-FAA85012719D}">
  <ds:schemaRefs>
    <ds:schemaRef ds:uri="http://schemas.openxmlformats.org/officeDocument/2006/bibliography"/>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618</TotalTime>
  <Pages>17</Pages>
  <Words>6095</Words>
  <Characters>34745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40759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george butcher</cp:lastModifiedBy>
  <cp:revision>35</cp:revision>
  <dcterms:created xsi:type="dcterms:W3CDTF">2026-06-30T10:39:00Z</dcterms:created>
  <dcterms:modified xsi:type="dcterms:W3CDTF">2026-07-16T19:20:00Z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