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0"/>
          <w:szCs w:val="20"/>
        </w:rPr>
        <w:id w:val="568767351"/>
        <w:docPartObj>
          <w:docPartGallery w:val="Cover Pages"/>
          <w:docPartUnique/>
        </w:docPartObj>
      </w:sdtPr>
      <w:sdtContent>
        <w:p w14:paraId="338BAB48" w14:textId="1B5B19A2" w:rsidR="00A52496" w:rsidRPr="000E4CB2" w:rsidRDefault="00A52496" w:rsidP="000E4CB2">
          <w:pPr>
            <w:spacing w:line="360" w:lineRule="auto"/>
            <w:rPr>
              <w:rFonts w:ascii="Times New Roman" w:hAnsi="Times New Roman" w:cs="Times New Roman"/>
              <w:sz w:val="20"/>
              <w:szCs w:val="20"/>
            </w:rPr>
          </w:pPr>
          <w:r w:rsidRPr="000E4CB2">
            <w:rPr>
              <w:rFonts w:ascii="Times New Roman" w:hAnsi="Times New Roman" w:cs="Times New Roman"/>
              <w:noProof/>
              <w:sz w:val="20"/>
              <w:szCs w:val="20"/>
            </w:rPr>
            <mc:AlternateContent>
              <mc:Choice Requires="wpg">
                <w:drawing>
                  <wp:anchor distT="0" distB="0" distL="114300" distR="114300" simplePos="0" relativeHeight="251659264" behindDoc="1" locked="0" layoutInCell="1" allowOverlap="1" wp14:anchorId="1036BB95" wp14:editId="1EC7061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A1702AD" w14:textId="0D2D0E5D" w:rsidR="00A52496" w:rsidRDefault="00A52496">
                                      <w:pPr>
                                        <w:pStyle w:val="NoSpacing"/>
                                        <w:spacing w:before="120"/>
                                        <w:jc w:val="center"/>
                                        <w:rPr>
                                          <w:color w:val="FFFFFF" w:themeColor="background1"/>
                                        </w:rPr>
                                      </w:pPr>
                                      <w:r>
                                        <w:rPr>
                                          <w:color w:val="FFFFFF" w:themeColor="background1"/>
                                        </w:rPr>
                                        <w:t>Ian Cockerham (2105630)</w:t>
                                      </w:r>
                                    </w:p>
                                  </w:sdtContent>
                                </w:sdt>
                                <w:p w14:paraId="4FCE6C28" w14:textId="77777777" w:rsidR="00A52496" w:rsidRDefault="00A5249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FEC3105" w14:textId="362D212D" w:rsidR="00A52496" w:rsidRDefault="00A5249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globalised sports environment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36BB95"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A1702AD" w14:textId="0D2D0E5D" w:rsidR="00A52496" w:rsidRDefault="00A52496">
                                <w:pPr>
                                  <w:pStyle w:val="NoSpacing"/>
                                  <w:spacing w:before="120"/>
                                  <w:jc w:val="center"/>
                                  <w:rPr>
                                    <w:color w:val="FFFFFF" w:themeColor="background1"/>
                                  </w:rPr>
                                </w:pPr>
                                <w:r>
                                  <w:rPr>
                                    <w:color w:val="FFFFFF" w:themeColor="background1"/>
                                  </w:rPr>
                                  <w:t>Ian Cockerham (2105630)</w:t>
                                </w:r>
                              </w:p>
                            </w:sdtContent>
                          </w:sdt>
                          <w:p w14:paraId="4FCE6C28" w14:textId="77777777" w:rsidR="00A52496" w:rsidRDefault="00A5249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FEC3105" w14:textId="362D212D" w:rsidR="00A52496" w:rsidRDefault="00A5249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globalised sports environment</w:t>
                                </w:r>
                              </w:p>
                            </w:sdtContent>
                          </w:sdt>
                        </w:txbxContent>
                      </v:textbox>
                    </v:shape>
                    <w10:wrap anchorx="page" anchory="page"/>
                  </v:group>
                </w:pict>
              </mc:Fallback>
            </mc:AlternateContent>
          </w:r>
        </w:p>
        <w:p w14:paraId="1CC71A1D" w14:textId="54426F36" w:rsidR="00A52496" w:rsidRPr="000E4CB2" w:rsidRDefault="00A52496"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br w:type="page"/>
          </w:r>
        </w:p>
      </w:sdtContent>
    </w:sdt>
    <w:p w14:paraId="2BBBB574" w14:textId="2C9217F0" w:rsidR="00A52496" w:rsidRPr="000A4118" w:rsidRDefault="002A2BF5" w:rsidP="000A4118">
      <w:pPr>
        <w:pStyle w:val="TOC3"/>
        <w:rPr>
          <w:b/>
          <w:bCs/>
        </w:rPr>
      </w:pPr>
      <w:r w:rsidRPr="000A4118">
        <w:rPr>
          <w:b/>
          <w:bCs/>
        </w:rPr>
        <w:lastRenderedPageBreak/>
        <w:t>Contents Page:</w:t>
      </w:r>
    </w:p>
    <w:p w14:paraId="38DE8F7F" w14:textId="2BEF6A12" w:rsidR="002A2BF5" w:rsidRPr="000A4118" w:rsidRDefault="002A2BF5"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Introduction</w:t>
      </w:r>
    </w:p>
    <w:p w14:paraId="13108492" w14:textId="3192EB0D" w:rsidR="002A2BF5" w:rsidRPr="000A4118" w:rsidRDefault="002A2BF5"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Ownership</w:t>
      </w:r>
    </w:p>
    <w:p w14:paraId="3EA1F272" w14:textId="5542000A" w:rsidR="00C26578" w:rsidRPr="000A4118" w:rsidRDefault="00C26578"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Broadcasting Rights</w:t>
      </w:r>
    </w:p>
    <w:p w14:paraId="3BB9447E" w14:textId="44FC1C2D" w:rsidR="00C26578" w:rsidRPr="000A4118" w:rsidRDefault="00C26578"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Sponsorship</w:t>
      </w:r>
    </w:p>
    <w:p w14:paraId="23A74154" w14:textId="4F8DE5AF" w:rsidR="00486680" w:rsidRPr="000A4118" w:rsidRDefault="00486680"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Stadium</w:t>
      </w:r>
    </w:p>
    <w:p w14:paraId="591F6C1E" w14:textId="67891144" w:rsidR="00C26578" w:rsidRPr="000A4118" w:rsidRDefault="00C26578"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Conclusion</w:t>
      </w:r>
    </w:p>
    <w:p w14:paraId="0A63D2F2" w14:textId="6C2D566D" w:rsidR="00C26578" w:rsidRPr="000A4118" w:rsidRDefault="00C26578"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t>References</w:t>
      </w:r>
    </w:p>
    <w:p w14:paraId="0E2D4FBA" w14:textId="77777777" w:rsidR="008D73C7" w:rsidRPr="000E4CB2" w:rsidRDefault="008D73C7" w:rsidP="000E4CB2">
      <w:pPr>
        <w:spacing w:line="360" w:lineRule="auto"/>
        <w:rPr>
          <w:rFonts w:ascii="Times New Roman" w:hAnsi="Times New Roman" w:cs="Times New Roman"/>
          <w:sz w:val="20"/>
          <w:szCs w:val="20"/>
          <w:lang w:val="en-US"/>
        </w:rPr>
      </w:pPr>
    </w:p>
    <w:p w14:paraId="081902C8" w14:textId="6FC71B18" w:rsidR="008D73C7" w:rsidRPr="000E4CB2" w:rsidRDefault="008D73C7" w:rsidP="000E4CB2">
      <w:pPr>
        <w:spacing w:line="360" w:lineRule="auto"/>
        <w:rPr>
          <w:rFonts w:ascii="Times New Roman" w:hAnsi="Times New Roman" w:cs="Times New Roman"/>
          <w:sz w:val="20"/>
          <w:szCs w:val="20"/>
          <w:lang w:val="en-US"/>
        </w:rPr>
      </w:pPr>
    </w:p>
    <w:p w14:paraId="44674D79" w14:textId="2D1E1D4B" w:rsidR="007D235C" w:rsidRPr="000E4CB2" w:rsidRDefault="008D73C7" w:rsidP="000E4CB2">
      <w:pPr>
        <w:spacing w:line="360" w:lineRule="auto"/>
        <w:rPr>
          <w:rFonts w:ascii="Times New Roman" w:hAnsi="Times New Roman" w:cs="Times New Roman"/>
          <w:sz w:val="20"/>
          <w:szCs w:val="20"/>
          <w:lang w:val="en-US"/>
        </w:rPr>
      </w:pPr>
      <w:r w:rsidRPr="000E4CB2">
        <w:rPr>
          <w:rFonts w:ascii="Times New Roman" w:hAnsi="Times New Roman" w:cs="Times New Roman"/>
          <w:sz w:val="20"/>
          <w:szCs w:val="20"/>
          <w:lang w:val="en-US"/>
        </w:rPr>
        <w:br w:type="page"/>
      </w:r>
    </w:p>
    <w:p w14:paraId="77569D29" w14:textId="114137FF" w:rsidR="007D235C" w:rsidRPr="000A4118" w:rsidRDefault="002571FB" w:rsidP="000E4CB2">
      <w:pPr>
        <w:spacing w:line="360" w:lineRule="auto"/>
        <w:rPr>
          <w:rFonts w:ascii="Times New Roman" w:hAnsi="Times New Roman" w:cs="Times New Roman"/>
          <w:b/>
          <w:bCs/>
          <w:sz w:val="24"/>
          <w:szCs w:val="24"/>
          <w:lang w:val="en-US"/>
        </w:rPr>
      </w:pPr>
      <w:r w:rsidRPr="000A4118">
        <w:rPr>
          <w:rFonts w:ascii="Times New Roman" w:hAnsi="Times New Roman" w:cs="Times New Roman"/>
          <w:b/>
          <w:bCs/>
          <w:sz w:val="24"/>
          <w:szCs w:val="24"/>
          <w:lang w:val="en-US"/>
        </w:rPr>
        <w:lastRenderedPageBreak/>
        <w:t>Introduction:</w:t>
      </w:r>
      <w:r w:rsidR="000A49DB" w:rsidRPr="000A4118">
        <w:rPr>
          <w:rFonts w:ascii="Times New Roman" w:hAnsi="Times New Roman" w:cs="Times New Roman"/>
          <w:b/>
          <w:bCs/>
          <w:sz w:val="24"/>
          <w:szCs w:val="24"/>
          <w:lang w:val="en-US"/>
        </w:rPr>
        <w:t xml:space="preserve"> </w:t>
      </w:r>
    </w:p>
    <w:p w14:paraId="10E44512" w14:textId="77777777" w:rsidR="00D2616F" w:rsidRDefault="00B34EB2" w:rsidP="000E4CB2">
      <w:pPr>
        <w:spacing w:line="360" w:lineRule="auto"/>
        <w:rPr>
          <w:rFonts w:ascii="Times New Roman" w:hAnsi="Times New Roman" w:cs="Times New Roman"/>
          <w:b/>
          <w:bCs/>
          <w:sz w:val="24"/>
          <w:szCs w:val="24"/>
          <w:lang w:val="en-US"/>
        </w:rPr>
      </w:pPr>
      <w:r w:rsidRPr="000E4CB2">
        <w:rPr>
          <w:rFonts w:ascii="Times New Roman" w:hAnsi="Times New Roman" w:cs="Times New Roman"/>
          <w:sz w:val="20"/>
          <w:szCs w:val="20"/>
          <w:lang w:val="en-US"/>
        </w:rPr>
        <w:t xml:space="preserve">The distinct cultural differences between North America and the United Kingdom </w:t>
      </w:r>
      <w:r w:rsidR="00086EBA" w:rsidRPr="000E4CB2">
        <w:rPr>
          <w:rFonts w:ascii="Times New Roman" w:hAnsi="Times New Roman" w:cs="Times New Roman"/>
          <w:sz w:val="20"/>
          <w:szCs w:val="20"/>
          <w:lang w:val="en-US"/>
        </w:rPr>
        <w:t xml:space="preserve">have generated two similar yet </w:t>
      </w:r>
      <w:r w:rsidR="008F1C06" w:rsidRPr="000E4CB2">
        <w:rPr>
          <w:rFonts w:ascii="Times New Roman" w:hAnsi="Times New Roman" w:cs="Times New Roman"/>
          <w:sz w:val="20"/>
          <w:szCs w:val="20"/>
          <w:lang w:val="en-US"/>
        </w:rPr>
        <w:t>opposing environments in which professional team sports can be engaged with and consume</w:t>
      </w:r>
      <w:r w:rsidR="00EF1C68" w:rsidRPr="000E4CB2">
        <w:rPr>
          <w:rFonts w:ascii="Times New Roman" w:hAnsi="Times New Roman" w:cs="Times New Roman"/>
          <w:sz w:val="20"/>
          <w:szCs w:val="20"/>
          <w:lang w:val="en-US"/>
        </w:rPr>
        <w:t>d</w:t>
      </w:r>
      <w:r w:rsidR="008F1C06" w:rsidRPr="000E4CB2">
        <w:rPr>
          <w:rFonts w:ascii="Times New Roman" w:hAnsi="Times New Roman" w:cs="Times New Roman"/>
          <w:sz w:val="20"/>
          <w:szCs w:val="20"/>
          <w:lang w:val="en-US"/>
        </w:rPr>
        <w:t>.</w:t>
      </w:r>
      <w:r w:rsidR="00F70511" w:rsidRPr="000E4CB2">
        <w:rPr>
          <w:rFonts w:ascii="Times New Roman" w:hAnsi="Times New Roman" w:cs="Times New Roman"/>
          <w:sz w:val="20"/>
          <w:szCs w:val="20"/>
          <w:lang w:val="en-US"/>
        </w:rPr>
        <w:t xml:space="preserve"> By addressing the similarities </w:t>
      </w:r>
      <w:r w:rsidR="00BF60DC" w:rsidRPr="000E4CB2">
        <w:rPr>
          <w:rFonts w:ascii="Times New Roman" w:hAnsi="Times New Roman" w:cs="Times New Roman"/>
          <w:sz w:val="20"/>
          <w:szCs w:val="20"/>
          <w:lang w:val="en-US"/>
        </w:rPr>
        <w:t xml:space="preserve">in revenue generation, </w:t>
      </w:r>
      <w:r w:rsidR="002E037D" w:rsidRPr="000E4CB2">
        <w:rPr>
          <w:rFonts w:ascii="Times New Roman" w:hAnsi="Times New Roman" w:cs="Times New Roman"/>
          <w:sz w:val="20"/>
          <w:szCs w:val="20"/>
          <w:lang w:val="en-US"/>
        </w:rPr>
        <w:t xml:space="preserve">broadcasting rights, and </w:t>
      </w:r>
      <w:r w:rsidR="00883680" w:rsidRPr="000E4CB2">
        <w:rPr>
          <w:rFonts w:ascii="Times New Roman" w:hAnsi="Times New Roman" w:cs="Times New Roman"/>
          <w:sz w:val="20"/>
          <w:szCs w:val="20"/>
          <w:lang w:val="en-US"/>
        </w:rPr>
        <w:t>consumer expectations</w:t>
      </w:r>
      <w:r w:rsidR="00E53381" w:rsidRPr="000E4CB2">
        <w:rPr>
          <w:rFonts w:ascii="Times New Roman" w:hAnsi="Times New Roman" w:cs="Times New Roman"/>
          <w:sz w:val="20"/>
          <w:szCs w:val="20"/>
          <w:lang w:val="en-US"/>
        </w:rPr>
        <w:t>;</w:t>
      </w:r>
      <w:r w:rsidR="00883680" w:rsidRPr="000E4CB2">
        <w:rPr>
          <w:rFonts w:ascii="Times New Roman" w:hAnsi="Times New Roman" w:cs="Times New Roman"/>
          <w:sz w:val="20"/>
          <w:szCs w:val="20"/>
          <w:lang w:val="en-US"/>
        </w:rPr>
        <w:t xml:space="preserve"> </w:t>
      </w:r>
      <w:r w:rsidR="00072925" w:rsidRPr="000E4CB2">
        <w:rPr>
          <w:rFonts w:ascii="Times New Roman" w:hAnsi="Times New Roman" w:cs="Times New Roman"/>
          <w:sz w:val="20"/>
          <w:szCs w:val="20"/>
          <w:lang w:val="en-US"/>
        </w:rPr>
        <w:t xml:space="preserve">while discerning how different ownership models, league structures, and </w:t>
      </w:r>
      <w:r w:rsidR="00E53381" w:rsidRPr="000E4CB2">
        <w:rPr>
          <w:rFonts w:ascii="Times New Roman" w:hAnsi="Times New Roman" w:cs="Times New Roman"/>
          <w:sz w:val="20"/>
          <w:szCs w:val="20"/>
          <w:lang w:val="en-US"/>
        </w:rPr>
        <w:t>organizations’</w:t>
      </w:r>
      <w:r w:rsidR="007F10F6" w:rsidRPr="000E4CB2">
        <w:rPr>
          <w:rFonts w:ascii="Times New Roman" w:hAnsi="Times New Roman" w:cs="Times New Roman"/>
          <w:sz w:val="20"/>
          <w:szCs w:val="20"/>
          <w:lang w:val="en-US"/>
        </w:rPr>
        <w:t xml:space="preserve"> strategies</w:t>
      </w:r>
      <w:r w:rsidR="00E53381" w:rsidRPr="000E4CB2">
        <w:rPr>
          <w:rFonts w:ascii="Times New Roman" w:hAnsi="Times New Roman" w:cs="Times New Roman"/>
          <w:sz w:val="20"/>
          <w:szCs w:val="20"/>
          <w:lang w:val="en-US"/>
        </w:rPr>
        <w:t>, this report seeks to address</w:t>
      </w:r>
      <w:r w:rsidR="001134AD" w:rsidRPr="000E4CB2">
        <w:rPr>
          <w:rFonts w:ascii="Times New Roman" w:hAnsi="Times New Roman" w:cs="Times New Roman"/>
          <w:sz w:val="20"/>
          <w:szCs w:val="20"/>
          <w:lang w:val="en-US"/>
        </w:rPr>
        <w:t xml:space="preserve"> the strengths and weaknesses of each </w:t>
      </w:r>
      <w:r w:rsidR="00C6076D" w:rsidRPr="000E4CB2">
        <w:rPr>
          <w:rFonts w:ascii="Times New Roman" w:hAnsi="Times New Roman" w:cs="Times New Roman"/>
          <w:sz w:val="20"/>
          <w:szCs w:val="20"/>
          <w:lang w:val="en-US"/>
        </w:rPr>
        <w:t xml:space="preserve">environment. </w:t>
      </w:r>
    </w:p>
    <w:p w14:paraId="009DE77B" w14:textId="77777777" w:rsidR="00D2616F" w:rsidRDefault="00D2616F" w:rsidP="000E4CB2">
      <w:pPr>
        <w:spacing w:line="360" w:lineRule="auto"/>
        <w:rPr>
          <w:rFonts w:ascii="Times New Roman" w:hAnsi="Times New Roman" w:cs="Times New Roman"/>
          <w:b/>
          <w:bCs/>
          <w:sz w:val="24"/>
          <w:szCs w:val="24"/>
          <w:lang w:val="en-US"/>
        </w:rPr>
      </w:pPr>
    </w:p>
    <w:p w14:paraId="3B5F89FE" w14:textId="203A88C6" w:rsidR="00E26621" w:rsidRPr="00D2616F" w:rsidRDefault="008D73C7" w:rsidP="000E4CB2">
      <w:pPr>
        <w:spacing w:line="360" w:lineRule="auto"/>
        <w:rPr>
          <w:rFonts w:ascii="Times New Roman" w:hAnsi="Times New Roman" w:cs="Times New Roman"/>
          <w:sz w:val="20"/>
          <w:szCs w:val="20"/>
          <w:lang w:val="en-US"/>
        </w:rPr>
      </w:pPr>
      <w:r w:rsidRPr="000A4118">
        <w:rPr>
          <w:rFonts w:ascii="Times New Roman" w:hAnsi="Times New Roman" w:cs="Times New Roman"/>
          <w:b/>
          <w:bCs/>
          <w:sz w:val="24"/>
          <w:szCs w:val="24"/>
          <w:lang w:val="en-US"/>
        </w:rPr>
        <w:t>Ownership</w:t>
      </w:r>
      <w:r w:rsidR="00E26621" w:rsidRPr="000A4118">
        <w:rPr>
          <w:rFonts w:ascii="Times New Roman" w:hAnsi="Times New Roman" w:cs="Times New Roman"/>
          <w:b/>
          <w:bCs/>
          <w:sz w:val="24"/>
          <w:szCs w:val="24"/>
          <w:lang w:val="en-US"/>
        </w:rPr>
        <w:t>:</w:t>
      </w:r>
    </w:p>
    <w:p w14:paraId="5B3DB75A" w14:textId="639B7BFA" w:rsidR="00E26621" w:rsidRPr="000E4CB2" w:rsidRDefault="00E26621"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ownership and structure of professional team sports are heavily reliant on the structure of the league they are competing. Following the North American model, who use a draft system, ownership typically follows a franchise and owner model with the objective of profit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(Wilson Plumley and Ramchandani, 2013; Mason, Sant, and Soebbing, 2017; Plumley and Wilson, 2019). Europe and, for the most part, the rest of the world follow a different system. Specifically in the United Kingdom (UK), there are three distinct ownership models a professional team may adopt, the stock market model, the supporter trust model, and the foreign ownership model (Plumley and Wilson, 2019). Within the UK, the objective of professional sports teams has historically been utility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or ‘win’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(Garcia-del-Barro and Szymanski, 2006; Plumley and Wilson, 2019).</w:t>
      </w:r>
    </w:p>
    <w:p w14:paraId="69AFEEFB" w14:textId="77777777" w:rsidR="00E26621" w:rsidRPr="000E4CB2" w:rsidRDefault="00E26621" w:rsidP="000E4CB2">
      <w:pPr>
        <w:spacing w:line="360" w:lineRule="auto"/>
        <w:rPr>
          <w:rFonts w:ascii="Times New Roman" w:hAnsi="Times New Roman" w:cs="Times New Roman"/>
          <w:sz w:val="20"/>
          <w:szCs w:val="20"/>
        </w:rPr>
      </w:pPr>
    </w:p>
    <w:p w14:paraId="1D6FF39E" w14:textId="138C6E0F" w:rsidR="00E26621" w:rsidRPr="000E4CB2" w:rsidRDefault="00E26621"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stock market model of ownership in the UK originated in the 1980s when Tottenham Hotspur floated on the stock market. Despite generating £3.3 million, indiscernible results of other businesses over the following years resulted in floatation being considered to be unbeneficial until the mid-1990s (Dobson and Goddard, 2011). In the mid-1990s, following the formation of the English Premier League (EPL), interest returned to floating on the stock market when Tottenham Hotspur increased its share value by 300%, prompting 15 further teams to float on the stock market (Wilson and Plumley, 2019). Interest faded at the start of the new century as share prices followed previous trends and dropped. The drop in share price is attributed to the nature of the EPL league structure. Competitive teams with a focus on utility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are at odds with shareholders who </w:t>
      </w:r>
      <w:r w:rsidR="00662C42" w:rsidRPr="000E4CB2">
        <w:rPr>
          <w:rFonts w:ascii="Times New Roman" w:hAnsi="Times New Roman" w:cs="Times New Roman"/>
          <w:sz w:val="20"/>
          <w:szCs w:val="20"/>
        </w:rPr>
        <w:t>prioritize</w:t>
      </w:r>
      <w:r w:rsidRPr="000E4CB2">
        <w:rPr>
          <w:rFonts w:ascii="Times New Roman" w:hAnsi="Times New Roman" w:cs="Times New Roman"/>
          <w:sz w:val="20"/>
          <w:szCs w:val="20"/>
        </w:rPr>
        <w:t xml:space="preserve"> profit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(Garcia-del-Barro and Szymanski, 2006). The two conflicting objectives are in part the reason all EPL clubs raised £175 million through stock market flotations in 2009 (Plumley and Wilson, 2019). In contrast, Manchester City received £150 million in TV broadcasting money for one season alone in the 2017/2018 season (Plumley and Wilson, 2019). Due to various other streams of finance, many clubs have lost interest in </w:t>
      </w:r>
      <w:r w:rsidR="00662C42" w:rsidRPr="000E4CB2">
        <w:rPr>
          <w:rFonts w:ascii="Times New Roman" w:hAnsi="Times New Roman" w:cs="Times New Roman"/>
          <w:sz w:val="20"/>
          <w:szCs w:val="20"/>
        </w:rPr>
        <w:t>utilizing</w:t>
      </w:r>
      <w:r w:rsidRPr="000E4CB2">
        <w:rPr>
          <w:rFonts w:ascii="Times New Roman" w:hAnsi="Times New Roman" w:cs="Times New Roman"/>
          <w:sz w:val="20"/>
          <w:szCs w:val="20"/>
        </w:rPr>
        <w:t xml:space="preserve"> flotation to procure finances. </w:t>
      </w:r>
    </w:p>
    <w:p w14:paraId="6AE1C578" w14:textId="77777777" w:rsidR="00E26621" w:rsidRPr="000E4CB2" w:rsidRDefault="00E26621" w:rsidP="000E4CB2">
      <w:pPr>
        <w:spacing w:line="360" w:lineRule="auto"/>
        <w:rPr>
          <w:rFonts w:ascii="Times New Roman" w:hAnsi="Times New Roman" w:cs="Times New Roman"/>
          <w:sz w:val="20"/>
          <w:szCs w:val="20"/>
        </w:rPr>
      </w:pPr>
    </w:p>
    <w:p w14:paraId="72617AF6" w14:textId="33B79D47" w:rsidR="00E26621" w:rsidRPr="000E4CB2" w:rsidRDefault="00E26621"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An alternative ownership model that is not very common in professional team sports environment, but still credible in the UK is the support trust model. This model involves a group of supporters investing and financing a club (Wilson and Plumley, 2019). The supporter trust model’s largest discredit is the lack in ability to source large amounts of finance. While the philosophy in the UK is utility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their true intentions are utility </w:t>
      </w:r>
      <w:r w:rsidR="009262B2" w:rsidRPr="000E4CB2">
        <w:rPr>
          <w:rFonts w:ascii="Times New Roman" w:hAnsi="Times New Roman" w:cs="Times New Roman"/>
          <w:sz w:val="20"/>
          <w:szCs w:val="20"/>
        </w:rPr>
        <w:lastRenderedPageBreak/>
        <w:t>maximization</w:t>
      </w:r>
      <w:r w:rsidRPr="000E4CB2">
        <w:rPr>
          <w:rFonts w:ascii="Times New Roman" w:hAnsi="Times New Roman" w:cs="Times New Roman"/>
          <w:sz w:val="20"/>
          <w:szCs w:val="20"/>
        </w:rPr>
        <w:t xml:space="preserve"> while remaining solvent (Wilson and Plumley, 2019). Given the large sums of money accessible by other ownership models, the support trust model has only two teams following this model in all divisions of professional football in the UK (Wilson and Plumley, 2019). Despite its obvious shortcomings, the supporter trust model associates with the UK’s culture surrounding football. Hall’s (1998) notion of cultural identity supports that groups who identify common characteristics among themselves form an attachment and fondness. The supporter trust model is the epitome of this. Groups of individuals who pool their resources together to support their common team. While not practical, this level of camaraderie truly separates the UK environment from the North American environment. </w:t>
      </w:r>
    </w:p>
    <w:p w14:paraId="20B71EA3" w14:textId="77777777" w:rsidR="00E26621" w:rsidRPr="000E4CB2" w:rsidRDefault="00E26621" w:rsidP="000E4CB2">
      <w:pPr>
        <w:spacing w:line="360" w:lineRule="auto"/>
        <w:rPr>
          <w:rFonts w:ascii="Times New Roman" w:hAnsi="Times New Roman" w:cs="Times New Roman"/>
          <w:sz w:val="20"/>
          <w:szCs w:val="20"/>
        </w:rPr>
      </w:pPr>
    </w:p>
    <w:p w14:paraId="2C1F2304" w14:textId="37437506" w:rsidR="00E26621" w:rsidRPr="000E4CB2" w:rsidRDefault="00E26621"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third, and recently most common, model present in the UK environment is foreign investment. The foreign investment model is when wealthy business owners, attracted to the EPL for numerous reasons, </w:t>
      </w:r>
      <w:r w:rsidR="00662C42" w:rsidRPr="000E4CB2">
        <w:rPr>
          <w:rFonts w:ascii="Times New Roman" w:hAnsi="Times New Roman" w:cs="Times New Roman"/>
          <w:sz w:val="20"/>
          <w:szCs w:val="20"/>
        </w:rPr>
        <w:t>take</w:t>
      </w:r>
      <w:r w:rsidRPr="000E4CB2">
        <w:rPr>
          <w:rFonts w:ascii="Times New Roman" w:hAnsi="Times New Roman" w:cs="Times New Roman"/>
          <w:sz w:val="20"/>
          <w:szCs w:val="20"/>
        </w:rPr>
        <w:t xml:space="preserve"> over or </w:t>
      </w:r>
      <w:r w:rsidR="00662C42" w:rsidRPr="000E4CB2">
        <w:rPr>
          <w:rFonts w:ascii="Times New Roman" w:hAnsi="Times New Roman" w:cs="Times New Roman"/>
          <w:sz w:val="20"/>
          <w:szCs w:val="20"/>
        </w:rPr>
        <w:t>buy</w:t>
      </w:r>
      <w:r w:rsidRPr="000E4CB2">
        <w:rPr>
          <w:rFonts w:ascii="Times New Roman" w:hAnsi="Times New Roman" w:cs="Times New Roman"/>
          <w:sz w:val="20"/>
          <w:szCs w:val="20"/>
        </w:rPr>
        <w:t xml:space="preserve"> a controlling portion of a club (Plumley and Wilson, 2019). The foreign investment model has been met with considerable backlash. Current fans argue new foreign investors have not invested for the correct reasons (</w:t>
      </w:r>
      <w:proofErr w:type="spellStart"/>
      <w:r w:rsidRPr="000E4CB2">
        <w:rPr>
          <w:rFonts w:ascii="Times New Roman" w:hAnsi="Times New Roman" w:cs="Times New Roman"/>
          <w:sz w:val="20"/>
          <w:szCs w:val="20"/>
        </w:rPr>
        <w:t>Barshad</w:t>
      </w:r>
      <w:proofErr w:type="spellEnd"/>
      <w:r w:rsidRPr="000E4CB2">
        <w:rPr>
          <w:rFonts w:ascii="Times New Roman" w:hAnsi="Times New Roman" w:cs="Times New Roman"/>
          <w:sz w:val="20"/>
          <w:szCs w:val="20"/>
        </w:rPr>
        <w:t xml:space="preserve">, 2022). Indeed, Wilson and Plumley (2019) argue utility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is not the only justification for a wealthy business to invest in an EPL club. Some will be enticed by the history and record of a club, others are avoiding paying more tax on high earnings in their own country (Wilson and Plumley, 2019). These concerns are the most prominent cause for concern amongst current fan bases. In essence, according to Hall (1998), the fans do not identify with the new foreign investors. Still, these foreign investors bring increased capital and new financial backing that many clubs need in order to compete in the top flight of English Football. In a free market, clubs are able to recruit the best players at any level of compensation. To maintain fair competition the EPL introduced new regulations like Financial Fair Play (FFP). Yet despite new regulations, foreign investors are still becoming increasingly prominent in the UK environment (Wilson and Plumley, 2019).</w:t>
      </w:r>
    </w:p>
    <w:p w14:paraId="418F1516" w14:textId="77777777" w:rsidR="00E26621" w:rsidRPr="000E4CB2" w:rsidRDefault="00E26621" w:rsidP="000E4CB2">
      <w:pPr>
        <w:spacing w:line="360" w:lineRule="auto"/>
        <w:rPr>
          <w:rFonts w:ascii="Times New Roman" w:hAnsi="Times New Roman" w:cs="Times New Roman"/>
          <w:sz w:val="20"/>
          <w:szCs w:val="20"/>
        </w:rPr>
      </w:pPr>
    </w:p>
    <w:p w14:paraId="1E9411B5" w14:textId="10BE605E" w:rsidR="00E26621" w:rsidRPr="000E4CB2" w:rsidRDefault="00E26621"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In the American environment, the structure of ownership follows a franchise model. Each of the 32 franchises has either a sole owner or a partnership. With de facto monopolistic control, the league determines the number of franchises allowed to operate while franchises choose the geographical location. Unlike in the UK environment, franchises have been known to relocate from one geographical location to another (Mason, Sant, and Soebbing, 2017). Multiple reasons can be attributed to why a franchise would relocate, the most glaring of all would be profit. The North American environment is known primarily for its profit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(Winfree </w:t>
      </w:r>
      <w:r w:rsidRPr="000E4CB2">
        <w:rPr>
          <w:rFonts w:ascii="Times New Roman" w:hAnsi="Times New Roman" w:cs="Times New Roman"/>
          <w:i/>
          <w:iCs/>
          <w:sz w:val="20"/>
          <w:szCs w:val="20"/>
        </w:rPr>
        <w:t>et al.,</w:t>
      </w:r>
      <w:r w:rsidRPr="000E4CB2">
        <w:rPr>
          <w:rFonts w:ascii="Times New Roman" w:hAnsi="Times New Roman" w:cs="Times New Roman"/>
          <w:sz w:val="20"/>
          <w:szCs w:val="20"/>
        </w:rPr>
        <w:t xml:space="preserve"> 2018; Wynne, 2019). Through the monopolistic market, franchises are able to exert pressure, and even threaten, local suppliers to ensure subsidised prices (</w:t>
      </w:r>
      <w:proofErr w:type="spellStart"/>
      <w:r w:rsidRPr="000E4CB2">
        <w:rPr>
          <w:rFonts w:ascii="Times New Roman" w:hAnsi="Times New Roman" w:cs="Times New Roman"/>
          <w:sz w:val="20"/>
          <w:szCs w:val="20"/>
        </w:rPr>
        <w:t>Rosentraub</w:t>
      </w:r>
      <w:proofErr w:type="spellEnd"/>
      <w:r w:rsidRPr="000E4CB2">
        <w:rPr>
          <w:rFonts w:ascii="Times New Roman" w:hAnsi="Times New Roman" w:cs="Times New Roman"/>
          <w:sz w:val="20"/>
          <w:szCs w:val="20"/>
        </w:rPr>
        <w:t xml:space="preserve">, 2010; Mason, Sant, and Soebbing, 2017). Mason, Sant, and Soebbing (2017) have likened this </w:t>
      </w:r>
      <w:r w:rsidR="00514657" w:rsidRPr="000E4CB2">
        <w:rPr>
          <w:rFonts w:ascii="Times New Roman" w:hAnsi="Times New Roman" w:cs="Times New Roman"/>
          <w:sz w:val="20"/>
          <w:szCs w:val="20"/>
        </w:rPr>
        <w:t>behaviour</w:t>
      </w:r>
      <w:r w:rsidRPr="000E4CB2">
        <w:rPr>
          <w:rFonts w:ascii="Times New Roman" w:hAnsi="Times New Roman" w:cs="Times New Roman"/>
          <w:sz w:val="20"/>
          <w:szCs w:val="20"/>
        </w:rPr>
        <w:t xml:space="preserve"> to an urban regime. This regime has been able to form due to public officials and business leaders collaborating to foster economic growth for both parties (Mason, Sant, and Soebbing, 2017; Vault, 2024). Further solidification of the creation of a </w:t>
      </w:r>
      <w:r w:rsidR="00514657" w:rsidRPr="000E4CB2">
        <w:rPr>
          <w:rFonts w:ascii="Times New Roman" w:hAnsi="Times New Roman" w:cs="Times New Roman"/>
          <w:sz w:val="20"/>
          <w:szCs w:val="20"/>
        </w:rPr>
        <w:t>de</w:t>
      </w:r>
      <w:r w:rsidRPr="000E4CB2">
        <w:rPr>
          <w:rFonts w:ascii="Times New Roman" w:hAnsi="Times New Roman" w:cs="Times New Roman"/>
          <w:sz w:val="20"/>
          <w:szCs w:val="20"/>
        </w:rPr>
        <w:t xml:space="preserve"> facto monopoly was appointed in 1961 when Congress made an exception to The Sherman Antitrust Act (Nathanson, 2023). Incidentally, all revenue generated through the NFL is split equally (NFL, 2021). From tickets and merchandise to broadcasting rights, the revenue from every team is pooled together and then redistributed. The collaboration to foster economic growth is married by the lack of variability professional sports teams are exposed to </w:t>
      </w:r>
      <w:r w:rsidRPr="000E4CB2">
        <w:rPr>
          <w:rFonts w:ascii="Times New Roman" w:hAnsi="Times New Roman" w:cs="Times New Roman"/>
          <w:sz w:val="20"/>
          <w:szCs w:val="20"/>
        </w:rPr>
        <w:lastRenderedPageBreak/>
        <w:t>promotes increasing interest in the NFL while maintaining a competitive balance. In the UK environment teams get promoted or relegated, suffering or profiting from the league's payouts, the American environment is much more consistent. Under the draft system, teams are not relegated. Instead, the lowest-ranked team is given the chance to pick the very best player the next year. Coupled with the talent identification, there is a minimum payout from the league to all franchises. This stability creates an environment that becomes increasingly predictable and easily manipulated. This phenomenon has been studied and researched thoroughly with Humphreys (2008), Propheter (2012), and Mason, Sant, and Soebbing (2017) highlighting potential misconduct. There is a growing debate in the literature surrounding the benefits of the North American ownership model (Humphreys, 2008; Propheter, 2012; Mason, Sant, and Soebbing 2017; Nathanson, 2023; Ozanian, 2023; Weprin, 2023). Some researchers point to the win-win bigger scenario as holistically beneficial to the sports market in North America (Nathanson, 2023; Ozanian, 2023; Weprin, 2023). While others highlight the bully-</w:t>
      </w:r>
      <w:proofErr w:type="spellStart"/>
      <w:r w:rsidRPr="000E4CB2">
        <w:rPr>
          <w:rFonts w:ascii="Times New Roman" w:hAnsi="Times New Roman" w:cs="Times New Roman"/>
          <w:sz w:val="20"/>
          <w:szCs w:val="20"/>
        </w:rPr>
        <w:t>ish</w:t>
      </w:r>
      <w:proofErr w:type="spellEnd"/>
      <w:r w:rsidRPr="000E4CB2">
        <w:rPr>
          <w:rFonts w:ascii="Times New Roman" w:hAnsi="Times New Roman" w:cs="Times New Roman"/>
          <w:sz w:val="20"/>
          <w:szCs w:val="20"/>
        </w:rPr>
        <w:t xml:space="preserve"> </w:t>
      </w:r>
      <w:r w:rsidR="006F79DE" w:rsidRPr="000E4CB2">
        <w:rPr>
          <w:rFonts w:ascii="Times New Roman" w:hAnsi="Times New Roman" w:cs="Times New Roman"/>
          <w:sz w:val="20"/>
          <w:szCs w:val="20"/>
        </w:rPr>
        <w:t>behaviour</w:t>
      </w:r>
      <w:r w:rsidRPr="000E4CB2">
        <w:rPr>
          <w:rFonts w:ascii="Times New Roman" w:hAnsi="Times New Roman" w:cs="Times New Roman"/>
          <w:sz w:val="20"/>
          <w:szCs w:val="20"/>
        </w:rPr>
        <w:t xml:space="preserve"> to prevent fair market prices, calling for more stringent regulations (Humphreys, 2008; Propheter, 2012; Mason, Sant, and Soebbing, 2017). </w:t>
      </w:r>
    </w:p>
    <w:p w14:paraId="3177FDAF" w14:textId="77777777" w:rsidR="00E26621" w:rsidRPr="000E4CB2" w:rsidRDefault="00E26621" w:rsidP="000E4CB2">
      <w:pPr>
        <w:spacing w:line="360" w:lineRule="auto"/>
        <w:rPr>
          <w:rFonts w:ascii="Times New Roman" w:hAnsi="Times New Roman" w:cs="Times New Roman"/>
          <w:sz w:val="20"/>
          <w:szCs w:val="20"/>
        </w:rPr>
      </w:pPr>
    </w:p>
    <w:p w14:paraId="52753179" w14:textId="07D82056" w:rsidR="009C5675" w:rsidRPr="000E4CB2" w:rsidRDefault="009C5675" w:rsidP="000E4CB2">
      <w:pPr>
        <w:spacing w:line="360" w:lineRule="auto"/>
        <w:rPr>
          <w:rFonts w:ascii="Times New Roman" w:hAnsi="Times New Roman" w:cs="Times New Roman"/>
          <w:sz w:val="20"/>
          <w:szCs w:val="20"/>
        </w:rPr>
      </w:pPr>
    </w:p>
    <w:p w14:paraId="21B9658C" w14:textId="1B2997F4" w:rsidR="00AD4926" w:rsidRPr="000A4118" w:rsidRDefault="00AD4926" w:rsidP="000E4CB2">
      <w:pPr>
        <w:spacing w:line="360" w:lineRule="auto"/>
        <w:rPr>
          <w:rFonts w:ascii="Times New Roman" w:hAnsi="Times New Roman" w:cs="Times New Roman"/>
          <w:b/>
          <w:bCs/>
          <w:sz w:val="24"/>
          <w:szCs w:val="24"/>
        </w:rPr>
      </w:pPr>
      <w:r w:rsidRPr="000A4118">
        <w:rPr>
          <w:rFonts w:ascii="Times New Roman" w:hAnsi="Times New Roman" w:cs="Times New Roman"/>
          <w:b/>
          <w:bCs/>
          <w:sz w:val="24"/>
          <w:szCs w:val="24"/>
        </w:rPr>
        <w:t>Broadcasting Rights:</w:t>
      </w:r>
    </w:p>
    <w:p w14:paraId="26451EBF" w14:textId="77777777" w:rsidR="00AD4926" w:rsidRDefault="00AD4926"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In the North American market, live sports are the most popular form of television with coverage of the NFL being the single most popular broadcast in the last 5 years (James, 2021; Ozanian, 2023; Weprin, 2023). So popular is the NFL that 24 of the top 25 and 77 of the top 100 most viewed programs on television were NFL games (NFL, 2021; Weprin, 2023). Due to the superlative nature of NFL broadcasting, the NFL broadcasting rights will be used to represent the North American model. </w:t>
      </w:r>
    </w:p>
    <w:p w14:paraId="2E77306F" w14:textId="77777777" w:rsidR="00E8632C" w:rsidRPr="000E4CB2" w:rsidRDefault="00E8632C" w:rsidP="000E4CB2">
      <w:pPr>
        <w:spacing w:line="360" w:lineRule="auto"/>
        <w:rPr>
          <w:rFonts w:ascii="Times New Roman" w:hAnsi="Times New Roman" w:cs="Times New Roman"/>
          <w:sz w:val="20"/>
          <w:szCs w:val="20"/>
        </w:rPr>
      </w:pPr>
    </w:p>
    <w:p w14:paraId="44B95290" w14:textId="288319F2" w:rsidR="00AD4926" w:rsidRDefault="00AD4926"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National Football League’s (NFL) broadcasting rights </w:t>
      </w:r>
      <w:r w:rsidR="006F79DE" w:rsidRPr="000E4CB2">
        <w:rPr>
          <w:rFonts w:ascii="Times New Roman" w:hAnsi="Times New Roman" w:cs="Times New Roman"/>
          <w:sz w:val="20"/>
          <w:szCs w:val="20"/>
        </w:rPr>
        <w:t>compile</w:t>
      </w:r>
      <w:r w:rsidRPr="000E4CB2">
        <w:rPr>
          <w:rFonts w:ascii="Times New Roman" w:hAnsi="Times New Roman" w:cs="Times New Roman"/>
          <w:sz w:val="20"/>
          <w:szCs w:val="20"/>
        </w:rPr>
        <w:t xml:space="preserve"> to an incredible $125.5bn over the next decade, or $3.92bn per team (NFL, 2021; Ozanian, 2023; Weprin, 2023). This vast sum of revenue has taken years to accumulate and achieve its price point. The turning point for the NFL broadcasting rights came in 1961 when Congress made an exception to The Sherman Antitrust Act, which allowed the NFL to directly make broadcasting agreements directly with networks instead of each franchise competing with each other, cementing a win-win bigger strategy (Gardner, 2019; Nathanson, 2023; Ozanian, 2023; Weprin, 2023). Previously, all the franchises that constituted the NFL had to compete against each other for broadcasting rights, with one franchise creating its own distributor (Nathanson, 2023). Since then many advancements have been made, both in the technology used to broadcast and in distribution methods. </w:t>
      </w:r>
    </w:p>
    <w:p w14:paraId="1EAB78A5" w14:textId="77777777" w:rsidR="00E8632C" w:rsidRPr="000E4CB2" w:rsidRDefault="00E8632C" w:rsidP="000E4CB2">
      <w:pPr>
        <w:spacing w:line="360" w:lineRule="auto"/>
        <w:rPr>
          <w:rFonts w:ascii="Times New Roman" w:hAnsi="Times New Roman" w:cs="Times New Roman"/>
          <w:sz w:val="20"/>
          <w:szCs w:val="20"/>
        </w:rPr>
      </w:pPr>
    </w:p>
    <w:p w14:paraId="14A13B9A" w14:textId="414FD86B" w:rsidR="00AD4926" w:rsidRDefault="00AD4926"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NFL is the only sports league to deliver all of its games on free, over-the-air television (NFL, 2021). However, only certain games are shown on the free local channels. DirecTV was the first distributor to charge fans a monthly subscription fee to access any Sunday games played outside of their home cities; starting in 1994 and lasting until 2014 (Nathanson, 2023). Since then a multitude of distributors have made deals with the NFL </w:t>
      </w:r>
      <w:r w:rsidRPr="000E4CB2">
        <w:rPr>
          <w:rFonts w:ascii="Times New Roman" w:hAnsi="Times New Roman" w:cs="Times New Roman"/>
          <w:sz w:val="20"/>
          <w:szCs w:val="20"/>
        </w:rPr>
        <w:lastRenderedPageBreak/>
        <w:t xml:space="preserve">to broadcast NFL coverage. FOX produces coverage </w:t>
      </w:r>
      <w:r w:rsidR="006F79DE" w:rsidRPr="000E4CB2">
        <w:rPr>
          <w:rFonts w:ascii="Times New Roman" w:hAnsi="Times New Roman" w:cs="Times New Roman"/>
          <w:sz w:val="20"/>
          <w:szCs w:val="20"/>
        </w:rPr>
        <w:t>for</w:t>
      </w:r>
      <w:r w:rsidRPr="000E4CB2">
        <w:rPr>
          <w:rFonts w:ascii="Times New Roman" w:hAnsi="Times New Roman" w:cs="Times New Roman"/>
          <w:sz w:val="20"/>
          <w:szCs w:val="20"/>
        </w:rPr>
        <w:t xml:space="preserve"> the National Football Conference (NFC) and expanded its digital rights to include coverage on Tubi, its streaming platform (NFL, 2021). CBS retains the rights for the American Football Conference (AFC) package of Sunday games (NFL, 2021). While ESPN continues its coverage of Monday Night Football, simulcast all ABC and ESPN games, along with exclusive rights to cover one International Series game on its streaming platform (NFL, 2021). NBC will maintain production for Sunday Night Football programming, with an exclusive feed of a select number of NFL games over the course of the agreement (NFL, 2021). Amazon will be the first-ever all-digital package of the NFL, acquiring the rights to Thursday Night Football (NFL, 2021). All of these distributors are part of the $110bn, 10-year deal. In addition, YouTube made a deal on top of predetermined contracts paying $2bn annually for the rights to NFL’s Sunday Ticket package (Ozanian, 2023). </w:t>
      </w:r>
    </w:p>
    <w:p w14:paraId="3F2FF117" w14:textId="77777777" w:rsidR="00E8632C" w:rsidRPr="000E4CB2" w:rsidRDefault="00E8632C" w:rsidP="000E4CB2">
      <w:pPr>
        <w:spacing w:line="360" w:lineRule="auto"/>
        <w:rPr>
          <w:rFonts w:ascii="Times New Roman" w:hAnsi="Times New Roman" w:cs="Times New Roman"/>
          <w:sz w:val="20"/>
          <w:szCs w:val="20"/>
        </w:rPr>
      </w:pPr>
    </w:p>
    <w:p w14:paraId="08783BE5" w14:textId="4E228DF1" w:rsidR="00AD4926" w:rsidRDefault="00AD4926"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Historically, there has been friction over scheduling and rights to broadcast. Before the 1961 exception of The Sherman Antitrust Act, the franchises often </w:t>
      </w:r>
      <w:proofErr w:type="spellStart"/>
      <w:r w:rsidR="00E62662" w:rsidRPr="000E4CB2">
        <w:rPr>
          <w:rFonts w:ascii="Times New Roman" w:hAnsi="Times New Roman" w:cs="Times New Roman"/>
          <w:sz w:val="20"/>
          <w:szCs w:val="20"/>
        </w:rPr>
        <w:t>quarreled</w:t>
      </w:r>
      <w:proofErr w:type="spellEnd"/>
      <w:r w:rsidRPr="000E4CB2">
        <w:rPr>
          <w:rFonts w:ascii="Times New Roman" w:hAnsi="Times New Roman" w:cs="Times New Roman"/>
          <w:sz w:val="20"/>
          <w:szCs w:val="20"/>
        </w:rPr>
        <w:t xml:space="preserve"> over coverage rights (Nathanson, 2023; Weprin, 2023). In recent years, the friction and competition have shifted to the distributors: NBC, FOX, ESPN, CBS, Amazon, and YouTube. At the beginning of the season, every distributor wants compelling matchups to drive viewership, while during the later stages of the season games with playoff implications become a priority (Weprin, 2023). The competition for viewership is also prevalent in the UK environment, especially due to legislation that prohibits live televised sport at 3 o’clock on Saturdays. However, unlike in the UK environment, in the North American Environment, there is a completely equal distribution of revenue generated by broadcasting rights (NFL, 2024). Consequently, the North American environment is not impeded by teams holding a “nearly insurmountable advantage” (NFL, 2024). While the North American environment does not wholly participate in the standards found in the NFL, other leagues have modified their revenue sharing to adopt a similar system to the NFL (NFL, 2024). </w:t>
      </w:r>
    </w:p>
    <w:p w14:paraId="28978A58" w14:textId="77777777" w:rsidR="00E8632C" w:rsidRPr="000E4CB2" w:rsidRDefault="00E8632C" w:rsidP="000E4CB2">
      <w:pPr>
        <w:spacing w:line="360" w:lineRule="auto"/>
        <w:rPr>
          <w:rFonts w:ascii="Times New Roman" w:hAnsi="Times New Roman" w:cs="Times New Roman"/>
          <w:sz w:val="20"/>
          <w:szCs w:val="20"/>
        </w:rPr>
      </w:pPr>
    </w:p>
    <w:p w14:paraId="14B5660C" w14:textId="5312D007" w:rsidR="00FB2D9E" w:rsidRDefault="00FB2D9E"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The broadcasting rights of the UK environment can be split into two categories, domestic (DBR) and international (IBR). DBR follows a pay-for-TV model and is split between four different distributors, namely Sky Sports, TNT Sport, Amazon Prime, and BBC Sport (Bishop, Smith, and Read, 2022). IBR is distributed via a local distributor who pays a fee to access video footage (Premier League, 2023; Premier League, 2024). To select which distributors are eligible to distribute EPL videography a bidding process is run bot for DBR and IBR. These packages are extremely sought after, the 2013-2016 and the 2016-2019 packages saw an increase of 70% each (Sweney, 2021). Continuing on, the 2019-2022 package saw the IBR rise sharply again (34%) while the BDR plateaued (-7%) with an overall increase in broadcasting revenue of 8%, or a total of £9.2bn (Sweney, 2021). Due to the Covid pandemic, the broadcasting rights to the packages have remained at the same price point. The sum of the DBR and IBR creates a “Prize fund” and is split among the twenty different clubs that comprise the Premier League (Premier League, 2019). However, not every club receives an equal share. While 100% of IBR </w:t>
      </w:r>
      <w:r w:rsidR="00E62662" w:rsidRPr="000E4CB2">
        <w:rPr>
          <w:rFonts w:ascii="Times New Roman" w:hAnsi="Times New Roman" w:cs="Times New Roman"/>
          <w:sz w:val="20"/>
          <w:szCs w:val="20"/>
        </w:rPr>
        <w:t>is</w:t>
      </w:r>
      <w:r w:rsidRPr="000E4CB2">
        <w:rPr>
          <w:rFonts w:ascii="Times New Roman" w:hAnsi="Times New Roman" w:cs="Times New Roman"/>
          <w:sz w:val="20"/>
          <w:szCs w:val="20"/>
        </w:rPr>
        <w:t xml:space="preserve"> shared equally among all twenty clubs, only 50% of the DBR </w:t>
      </w:r>
      <w:r w:rsidR="00E62662" w:rsidRPr="000E4CB2">
        <w:rPr>
          <w:rFonts w:ascii="Times New Roman" w:hAnsi="Times New Roman" w:cs="Times New Roman"/>
          <w:sz w:val="20"/>
          <w:szCs w:val="20"/>
        </w:rPr>
        <w:t>is</w:t>
      </w:r>
      <w:r w:rsidRPr="000E4CB2">
        <w:rPr>
          <w:rFonts w:ascii="Times New Roman" w:hAnsi="Times New Roman" w:cs="Times New Roman"/>
          <w:sz w:val="20"/>
          <w:szCs w:val="20"/>
        </w:rPr>
        <w:t xml:space="preserve"> shared equally. Subsequently, the other 50% of DBR </w:t>
      </w:r>
      <w:r w:rsidR="00E62662" w:rsidRPr="000E4CB2">
        <w:rPr>
          <w:rFonts w:ascii="Times New Roman" w:hAnsi="Times New Roman" w:cs="Times New Roman"/>
          <w:sz w:val="20"/>
          <w:szCs w:val="20"/>
        </w:rPr>
        <w:t>is</w:t>
      </w:r>
      <w:r w:rsidRPr="000E4CB2">
        <w:rPr>
          <w:rFonts w:ascii="Times New Roman" w:hAnsi="Times New Roman" w:cs="Times New Roman"/>
          <w:sz w:val="20"/>
          <w:szCs w:val="20"/>
        </w:rPr>
        <w:t xml:space="preserve"> awarded to clubs based on two factors: final league position (FLP) and television appearances (Premier League, 2019). Merit payments, or the revenue given to clubs based on their standing at </w:t>
      </w:r>
      <w:r w:rsidRPr="000E4CB2">
        <w:rPr>
          <w:rFonts w:ascii="Times New Roman" w:hAnsi="Times New Roman" w:cs="Times New Roman"/>
          <w:sz w:val="20"/>
          <w:szCs w:val="20"/>
        </w:rPr>
        <w:lastRenderedPageBreak/>
        <w:t xml:space="preserve">the end of the season are another tool used to encourage competition within the league (Bishop, Smith, and Read, 2022). Alternatively, the revenue given to clubs based on the number of television appearances is called “facility fees” with clubs being paid, on average for the 2018/2019 season, £1.17m per televised fixture (Premier League, 2019). </w:t>
      </w:r>
    </w:p>
    <w:p w14:paraId="01E3AEC7" w14:textId="77777777" w:rsidR="00E8632C" w:rsidRPr="000E4CB2" w:rsidRDefault="00E8632C" w:rsidP="000E4CB2">
      <w:pPr>
        <w:spacing w:line="360" w:lineRule="auto"/>
        <w:rPr>
          <w:rFonts w:ascii="Times New Roman" w:hAnsi="Times New Roman" w:cs="Times New Roman"/>
          <w:sz w:val="20"/>
          <w:szCs w:val="20"/>
        </w:rPr>
      </w:pPr>
    </w:p>
    <w:p w14:paraId="030CB446" w14:textId="0B61AA85" w:rsidR="000A4118" w:rsidRDefault="00FB2D9E" w:rsidP="000A4118">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While the UK environment has adopted a utility </w:t>
      </w:r>
      <w:r w:rsidR="009262B2" w:rsidRPr="000E4CB2">
        <w:rPr>
          <w:rFonts w:ascii="Times New Roman" w:hAnsi="Times New Roman" w:cs="Times New Roman"/>
          <w:sz w:val="20"/>
          <w:szCs w:val="20"/>
        </w:rPr>
        <w:t>maximization</w:t>
      </w:r>
      <w:r w:rsidRPr="000E4CB2">
        <w:rPr>
          <w:rFonts w:ascii="Times New Roman" w:hAnsi="Times New Roman" w:cs="Times New Roman"/>
          <w:sz w:val="20"/>
          <w:szCs w:val="20"/>
        </w:rPr>
        <w:t xml:space="preserve"> strategy, supported by regulations and incentives like the Prize fund. However, this model is not sustainable in the long term. Bishop, Smith, and Read (2022) </w:t>
      </w:r>
      <w:proofErr w:type="spellStart"/>
      <w:r w:rsidR="00E62662" w:rsidRPr="000E4CB2">
        <w:rPr>
          <w:rFonts w:ascii="Times New Roman" w:hAnsi="Times New Roman" w:cs="Times New Roman"/>
          <w:sz w:val="20"/>
          <w:szCs w:val="20"/>
        </w:rPr>
        <w:t>analyzed</w:t>
      </w:r>
      <w:proofErr w:type="spellEnd"/>
      <w:r w:rsidRPr="000E4CB2">
        <w:rPr>
          <w:rFonts w:ascii="Times New Roman" w:hAnsi="Times New Roman" w:cs="Times New Roman"/>
          <w:sz w:val="20"/>
          <w:szCs w:val="20"/>
        </w:rPr>
        <w:t xml:space="preserve"> the financial implications of multiple themes on the performance and structure of the Premier League as a whole. They discovered a serious inequality in distributed revenues. While the distributed revenue remains reasonable, the top four earning between 23.6% and 24.9%</w:t>
      </w:r>
      <w:r w:rsidR="00E62662" w:rsidRPr="000E4CB2">
        <w:rPr>
          <w:rFonts w:ascii="Times New Roman" w:hAnsi="Times New Roman" w:cs="Times New Roman"/>
          <w:sz w:val="20"/>
          <w:szCs w:val="20"/>
        </w:rPr>
        <w:t>,</w:t>
      </w:r>
      <w:r w:rsidRPr="000E4CB2">
        <w:rPr>
          <w:rFonts w:ascii="Times New Roman" w:hAnsi="Times New Roman" w:cs="Times New Roman"/>
          <w:sz w:val="20"/>
          <w:szCs w:val="20"/>
        </w:rPr>
        <w:t xml:space="preserve"> and the bottom three clubs earning between 11.8% and 12.6% respectively, the largest concern is attributed to the absolute value as per Bishop, Smith, and Read’s (2022) findings. They conclude that in the 2009/2010 season</w:t>
      </w:r>
      <w:r w:rsidR="00E62662" w:rsidRPr="000E4CB2">
        <w:rPr>
          <w:rFonts w:ascii="Times New Roman" w:hAnsi="Times New Roman" w:cs="Times New Roman"/>
          <w:sz w:val="20"/>
          <w:szCs w:val="20"/>
        </w:rPr>
        <w:t>,</w:t>
      </w:r>
      <w:r w:rsidRPr="000E4CB2">
        <w:rPr>
          <w:rFonts w:ascii="Times New Roman" w:hAnsi="Times New Roman" w:cs="Times New Roman"/>
          <w:sz w:val="20"/>
          <w:szCs w:val="20"/>
        </w:rPr>
        <w:t xml:space="preserve"> the difference in prize fun awarded to the top and bottom </w:t>
      </w:r>
      <w:r w:rsidR="00E62662" w:rsidRPr="000E4CB2">
        <w:rPr>
          <w:rFonts w:ascii="Times New Roman" w:hAnsi="Times New Roman" w:cs="Times New Roman"/>
          <w:sz w:val="20"/>
          <w:szCs w:val="20"/>
        </w:rPr>
        <w:t>clubs</w:t>
      </w:r>
      <w:r w:rsidRPr="000E4CB2">
        <w:rPr>
          <w:rFonts w:ascii="Times New Roman" w:hAnsi="Times New Roman" w:cs="Times New Roman"/>
          <w:sz w:val="20"/>
          <w:szCs w:val="20"/>
        </w:rPr>
        <w:t xml:space="preserve"> was £21m; in 2018/2019 the difference had grown by 160% with £54.3m difference (Bishop, Smith, and Read, 2022). Despairingly, the Prize fund is not the only critical factor to widen the gap between the top clubs and the lower clubs. Factors such as qualifying for elite competitions, sponsorships, and lack of diversified talent all contribute (</w:t>
      </w:r>
      <w:proofErr w:type="spellStart"/>
      <w:r w:rsidRPr="000E4CB2">
        <w:rPr>
          <w:rFonts w:ascii="Times New Roman" w:hAnsi="Times New Roman" w:cs="Times New Roman"/>
          <w:sz w:val="20"/>
          <w:szCs w:val="20"/>
        </w:rPr>
        <w:t>Scelles</w:t>
      </w:r>
      <w:proofErr w:type="spellEnd"/>
      <w:r w:rsidRPr="000E4CB2">
        <w:rPr>
          <w:rFonts w:ascii="Times New Roman" w:hAnsi="Times New Roman" w:cs="Times New Roman"/>
          <w:sz w:val="20"/>
          <w:szCs w:val="20"/>
        </w:rPr>
        <w:t xml:space="preserve">, 2017; Jenson </w:t>
      </w:r>
      <w:r w:rsidRPr="000E4CB2">
        <w:rPr>
          <w:rFonts w:ascii="Times New Roman" w:hAnsi="Times New Roman" w:cs="Times New Roman"/>
          <w:i/>
          <w:iCs/>
          <w:sz w:val="20"/>
          <w:szCs w:val="20"/>
        </w:rPr>
        <w:t>et al.</w:t>
      </w:r>
      <w:r w:rsidRPr="000E4CB2">
        <w:rPr>
          <w:rFonts w:ascii="Times New Roman" w:hAnsi="Times New Roman" w:cs="Times New Roman"/>
          <w:sz w:val="20"/>
          <w:szCs w:val="20"/>
        </w:rPr>
        <w:t>, 2019; Bishop, Smith, and Read, 2022).</w:t>
      </w:r>
    </w:p>
    <w:p w14:paraId="3009F56E" w14:textId="77777777" w:rsidR="00E8632C" w:rsidRDefault="00E8632C" w:rsidP="000A4118">
      <w:pPr>
        <w:spacing w:line="360" w:lineRule="auto"/>
        <w:rPr>
          <w:rFonts w:ascii="Times New Roman" w:hAnsi="Times New Roman" w:cs="Times New Roman"/>
          <w:sz w:val="20"/>
          <w:szCs w:val="20"/>
        </w:rPr>
      </w:pPr>
    </w:p>
    <w:p w14:paraId="29F9011B" w14:textId="77777777" w:rsidR="00E8632C" w:rsidRDefault="00E8632C" w:rsidP="000A4118">
      <w:pPr>
        <w:spacing w:line="360" w:lineRule="auto"/>
        <w:rPr>
          <w:rFonts w:ascii="Times New Roman" w:hAnsi="Times New Roman" w:cs="Times New Roman"/>
          <w:sz w:val="20"/>
          <w:szCs w:val="20"/>
        </w:rPr>
      </w:pPr>
    </w:p>
    <w:p w14:paraId="670FBCD9" w14:textId="3CD76C7C" w:rsidR="00FB2D9E" w:rsidRPr="000A4118" w:rsidRDefault="00FB2D9E" w:rsidP="000E4CB2">
      <w:pPr>
        <w:spacing w:line="360" w:lineRule="auto"/>
        <w:rPr>
          <w:rFonts w:ascii="Times New Roman" w:hAnsi="Times New Roman" w:cs="Times New Roman"/>
          <w:b/>
          <w:bCs/>
          <w:sz w:val="24"/>
          <w:szCs w:val="24"/>
        </w:rPr>
      </w:pPr>
      <w:r w:rsidRPr="000A4118">
        <w:rPr>
          <w:rFonts w:ascii="Times New Roman" w:hAnsi="Times New Roman" w:cs="Times New Roman"/>
          <w:b/>
          <w:bCs/>
          <w:sz w:val="24"/>
          <w:szCs w:val="24"/>
        </w:rPr>
        <w:t>Sponsorships</w:t>
      </w:r>
      <w:r w:rsidR="000A4118" w:rsidRPr="000A4118">
        <w:rPr>
          <w:rFonts w:ascii="Times New Roman" w:hAnsi="Times New Roman" w:cs="Times New Roman"/>
          <w:b/>
          <w:bCs/>
          <w:sz w:val="24"/>
          <w:szCs w:val="24"/>
        </w:rPr>
        <w:t>:</w:t>
      </w:r>
    </w:p>
    <w:p w14:paraId="61CCBB4E" w14:textId="77777777" w:rsidR="00FB2D9E" w:rsidRDefault="00FB2D9E"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Financially, clubs in the Premier League rely on multiple sources of finance to remain competitive. The stronger financially a club remains, the better talent it can attract, leading to greater performances. Merchandising, tickets, and broadcasting rights all contribute to securing finances critical to sourcing talent. Another critical facet of financial support clubs can engage with to gain a competitive advantage is sponsors. There has been a meteoric rise in revenue generated from sponsors in the Premier League. In the 2010/2011 season total EPL sponsorship was valued at £100m, by the 2016/2017 season the revenue increased by 125% to £225m (</w:t>
      </w:r>
      <w:proofErr w:type="spellStart"/>
      <w:r w:rsidRPr="000E4CB2">
        <w:rPr>
          <w:rFonts w:ascii="Times New Roman" w:hAnsi="Times New Roman" w:cs="Times New Roman"/>
          <w:sz w:val="20"/>
          <w:szCs w:val="20"/>
        </w:rPr>
        <w:t>Vamplew</w:t>
      </w:r>
      <w:proofErr w:type="spellEnd"/>
      <w:r w:rsidRPr="000E4CB2">
        <w:rPr>
          <w:rFonts w:ascii="Times New Roman" w:hAnsi="Times New Roman" w:cs="Times New Roman"/>
          <w:sz w:val="20"/>
          <w:szCs w:val="20"/>
        </w:rPr>
        <w:t xml:space="preserve">, 2017). This figure continued to grow into the 2018/2019 season with shirt sponsorship reaching £349.1m, 76% of which went to just the top six teams (Planet Football, 2019). Through continued successful campaigns both domestically in the EPL and internationally in elite competitions like the UCL and UECL clubs are televised more often. The continued exposure draws sponsors to clubs, aiding the club financially. This cyclical routine has contributed to lower-standing clubs becoming desperate and has widened the gap identified by Bishop, Smith, and Read (2022). To overcome the growing gap, lower-standing clubs are more commonly accepting sponsorships from gambling companies. Half of the table, not including the top six clubs, have a shirt sponsorship with a gambling company (Bishop, Smith, and Read, 2022). With new regulations prompting a ban on gambling companies sponsoring clubs in the EPL, a larger and more drastic rift will become prevalent in the EPL (Davies, 2021). Alternative measures to procure sponsorship include signing superstar athletes who can be considered a brand in their own right (Doyle, 2019). Cristiano Ronaldo is a prime example in 2018 when he transferred to Juventus FC. Within 24 hours Juventus FC gained 2.2m followers across all social media </w:t>
      </w:r>
      <w:r w:rsidRPr="000E4CB2">
        <w:rPr>
          <w:rFonts w:ascii="Times New Roman" w:hAnsi="Times New Roman" w:cs="Times New Roman"/>
          <w:sz w:val="20"/>
          <w:szCs w:val="20"/>
        </w:rPr>
        <w:lastRenderedPageBreak/>
        <w:t xml:space="preserve">accounts, by the time Ronaldo’s tenor was done 17 months later, Juventus had gained a total of 23.7 followers (Doyles, 2019). </w:t>
      </w:r>
      <w:proofErr w:type="spellStart"/>
      <w:r w:rsidRPr="000E4CB2">
        <w:rPr>
          <w:rFonts w:ascii="Times New Roman" w:hAnsi="Times New Roman" w:cs="Times New Roman"/>
          <w:sz w:val="20"/>
          <w:szCs w:val="20"/>
        </w:rPr>
        <w:t>Scelles</w:t>
      </w:r>
      <w:proofErr w:type="spellEnd"/>
      <w:r w:rsidRPr="000E4CB2">
        <w:rPr>
          <w:rFonts w:ascii="Times New Roman" w:hAnsi="Times New Roman" w:cs="Times New Roman"/>
          <w:sz w:val="20"/>
          <w:szCs w:val="20"/>
        </w:rPr>
        <w:t xml:space="preserve"> (2017) predicted an environment such as this. They argue that the level of talent on display has a positive correlation with television audiences. When the fixture is unbalanced in terms of talent, the fixture becomes predictable and less enjoyable driving both television and matchday viewings down (</w:t>
      </w:r>
      <w:proofErr w:type="spellStart"/>
      <w:r w:rsidRPr="000E4CB2">
        <w:rPr>
          <w:rFonts w:ascii="Times New Roman" w:hAnsi="Times New Roman" w:cs="Times New Roman"/>
          <w:sz w:val="20"/>
          <w:szCs w:val="20"/>
        </w:rPr>
        <w:t>Scelles</w:t>
      </w:r>
      <w:proofErr w:type="spellEnd"/>
      <w:r w:rsidRPr="000E4CB2">
        <w:rPr>
          <w:rFonts w:ascii="Times New Roman" w:hAnsi="Times New Roman" w:cs="Times New Roman"/>
          <w:sz w:val="20"/>
          <w:szCs w:val="20"/>
        </w:rPr>
        <w:t>, 2017). Through limited views, both IBR and DBR would diminish, ultimately limiting the Prize fund of all English clubs (</w:t>
      </w:r>
      <w:proofErr w:type="spellStart"/>
      <w:r w:rsidRPr="000E4CB2">
        <w:rPr>
          <w:rFonts w:ascii="Times New Roman" w:hAnsi="Times New Roman" w:cs="Times New Roman"/>
          <w:sz w:val="20"/>
          <w:szCs w:val="20"/>
        </w:rPr>
        <w:t>Scelles</w:t>
      </w:r>
      <w:proofErr w:type="spellEnd"/>
      <w:r w:rsidRPr="000E4CB2">
        <w:rPr>
          <w:rFonts w:ascii="Times New Roman" w:hAnsi="Times New Roman" w:cs="Times New Roman"/>
          <w:sz w:val="20"/>
          <w:szCs w:val="20"/>
        </w:rPr>
        <w:t>, 2017; Bishop, Smith, Read, 2022).</w:t>
      </w:r>
    </w:p>
    <w:p w14:paraId="185814C9" w14:textId="77777777" w:rsidR="002C7E84" w:rsidRDefault="002C7E84" w:rsidP="000E4CB2">
      <w:pPr>
        <w:spacing w:line="360" w:lineRule="auto"/>
        <w:rPr>
          <w:rFonts w:ascii="Times New Roman" w:hAnsi="Times New Roman" w:cs="Times New Roman"/>
          <w:sz w:val="20"/>
          <w:szCs w:val="20"/>
        </w:rPr>
      </w:pPr>
    </w:p>
    <w:p w14:paraId="65303306" w14:textId="77777777" w:rsidR="002C7E84" w:rsidRPr="000E4CB2" w:rsidRDefault="002C7E84" w:rsidP="000E4CB2">
      <w:pPr>
        <w:spacing w:line="360" w:lineRule="auto"/>
        <w:rPr>
          <w:rFonts w:ascii="Times New Roman" w:hAnsi="Times New Roman" w:cs="Times New Roman"/>
          <w:sz w:val="20"/>
          <w:szCs w:val="20"/>
        </w:rPr>
      </w:pPr>
    </w:p>
    <w:p w14:paraId="19188AE2" w14:textId="2F69A56B" w:rsidR="00486680" w:rsidRPr="000A4118" w:rsidRDefault="00486680" w:rsidP="000E4CB2">
      <w:pPr>
        <w:spacing w:line="360" w:lineRule="auto"/>
        <w:rPr>
          <w:rFonts w:ascii="Times New Roman" w:hAnsi="Times New Roman" w:cs="Times New Roman"/>
          <w:b/>
          <w:bCs/>
          <w:sz w:val="24"/>
          <w:szCs w:val="24"/>
        </w:rPr>
      </w:pPr>
      <w:r w:rsidRPr="000A4118">
        <w:rPr>
          <w:rFonts w:ascii="Times New Roman" w:hAnsi="Times New Roman" w:cs="Times New Roman"/>
          <w:b/>
          <w:bCs/>
          <w:sz w:val="24"/>
          <w:szCs w:val="24"/>
        </w:rPr>
        <w:t>Stadiums</w:t>
      </w:r>
      <w:r w:rsidR="000A4118" w:rsidRPr="000A4118">
        <w:rPr>
          <w:rFonts w:ascii="Times New Roman" w:hAnsi="Times New Roman" w:cs="Times New Roman"/>
          <w:b/>
          <w:bCs/>
          <w:sz w:val="24"/>
          <w:szCs w:val="24"/>
        </w:rPr>
        <w:t>:</w:t>
      </w:r>
    </w:p>
    <w:p w14:paraId="5D94B380" w14:textId="4284112A" w:rsidR="00486680" w:rsidRDefault="00486680"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 xml:space="preserve">Stadiums are a source of civil pride for franchises and their fan base (Matheson, 2019). However, to build or refurbish a stadium costs an insurmountable amount of money. To help alleviate the extensive price point, North American governments subsidize the construction of new professional sports facilities (Humphreys, 2019). 129 new or refurbished stadiums and arenas have been constructed in the United States and Canada since 1970, bringing total costs to $52.44bn adjusted to 2017 dollars (Humphreys, 2019). Of the $52.44bn in construction, the North American governments subsidized 65% of costs, or $32.5bn (Humphreys, 2019). Tax Increment Financing (TIF) is becoming an increasingly popular mechanism for </w:t>
      </w:r>
      <w:r w:rsidR="00E62662" w:rsidRPr="000E4CB2">
        <w:rPr>
          <w:rFonts w:ascii="Times New Roman" w:hAnsi="Times New Roman" w:cs="Times New Roman"/>
          <w:sz w:val="20"/>
          <w:szCs w:val="20"/>
        </w:rPr>
        <w:t>subsidization</w:t>
      </w:r>
      <w:r w:rsidRPr="000E4CB2">
        <w:rPr>
          <w:rFonts w:ascii="Times New Roman" w:hAnsi="Times New Roman" w:cs="Times New Roman"/>
          <w:sz w:val="20"/>
          <w:szCs w:val="20"/>
        </w:rPr>
        <w:t xml:space="preserve"> through which public bonds are issued to pay for land, infrastructure, and facility construction (Humphreys 2017; Humphreys, 2019). Incremental property tax revenues generated by the presence of the facility and team over long periods of time pay for both the </w:t>
      </w:r>
      <w:r w:rsidR="00E62662" w:rsidRPr="000E4CB2">
        <w:rPr>
          <w:rFonts w:ascii="Times New Roman" w:hAnsi="Times New Roman" w:cs="Times New Roman"/>
          <w:sz w:val="20"/>
          <w:szCs w:val="20"/>
        </w:rPr>
        <w:t>principal</w:t>
      </w:r>
      <w:r w:rsidRPr="000E4CB2">
        <w:rPr>
          <w:rFonts w:ascii="Times New Roman" w:hAnsi="Times New Roman" w:cs="Times New Roman"/>
          <w:sz w:val="20"/>
          <w:szCs w:val="20"/>
        </w:rPr>
        <w:t xml:space="preserve"> and interest of the bonds (Humphreys, 2017). Exploring the economic impact these publicly funded, private ventures induce is a point of contention.</w:t>
      </w:r>
    </w:p>
    <w:p w14:paraId="0F1F7B96" w14:textId="77777777" w:rsidR="002C7E84" w:rsidRPr="000E4CB2" w:rsidRDefault="002C7E84" w:rsidP="000E4CB2">
      <w:pPr>
        <w:spacing w:line="360" w:lineRule="auto"/>
        <w:rPr>
          <w:rFonts w:ascii="Times New Roman" w:hAnsi="Times New Roman" w:cs="Times New Roman"/>
          <w:sz w:val="20"/>
          <w:szCs w:val="20"/>
        </w:rPr>
      </w:pPr>
    </w:p>
    <w:p w14:paraId="2CB72691" w14:textId="1B0EEE03" w:rsidR="00486680" w:rsidRDefault="00486680"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Proponents’ previous arguments propose that professional sports franchises increase local income, wages, employment, and tax revenues (</w:t>
      </w:r>
      <w:proofErr w:type="spellStart"/>
      <w:r w:rsidRPr="000E4CB2">
        <w:rPr>
          <w:rFonts w:ascii="Times New Roman" w:hAnsi="Times New Roman" w:cs="Times New Roman"/>
          <w:sz w:val="20"/>
          <w:szCs w:val="20"/>
        </w:rPr>
        <w:t>Rosentraub</w:t>
      </w:r>
      <w:proofErr w:type="spellEnd"/>
      <w:r w:rsidRPr="000E4CB2">
        <w:rPr>
          <w:rFonts w:ascii="Times New Roman" w:hAnsi="Times New Roman" w:cs="Times New Roman"/>
          <w:sz w:val="20"/>
          <w:szCs w:val="20"/>
        </w:rPr>
        <w:t>, 2014; Humphreys, 2019; Matheson, 2019). Since as early as 2007, peer-reviewed literature has determined that very little to no economic benefit is produced through the development of sporting facilities (</w:t>
      </w:r>
      <w:proofErr w:type="spellStart"/>
      <w:r w:rsidRPr="000E4CB2">
        <w:rPr>
          <w:rFonts w:ascii="Times New Roman" w:hAnsi="Times New Roman" w:cs="Times New Roman"/>
          <w:sz w:val="20"/>
          <w:szCs w:val="20"/>
        </w:rPr>
        <w:t>Coastes</w:t>
      </w:r>
      <w:proofErr w:type="spellEnd"/>
      <w:r w:rsidRPr="000E4CB2">
        <w:rPr>
          <w:rFonts w:ascii="Times New Roman" w:hAnsi="Times New Roman" w:cs="Times New Roman"/>
          <w:sz w:val="20"/>
          <w:szCs w:val="20"/>
        </w:rPr>
        <w:t xml:space="preserve"> and Humphreys, 2008; Fenn and Crooker, 2009; Humphreys, 2019; Matheson, 2019). Ignorant of </w:t>
      </w:r>
      <w:r w:rsidR="00E62662" w:rsidRPr="000E4CB2">
        <w:rPr>
          <w:rFonts w:ascii="Times New Roman" w:hAnsi="Times New Roman" w:cs="Times New Roman"/>
          <w:sz w:val="20"/>
          <w:szCs w:val="20"/>
        </w:rPr>
        <w:t>researchers'</w:t>
      </w:r>
      <w:r w:rsidRPr="000E4CB2">
        <w:rPr>
          <w:rFonts w:ascii="Times New Roman" w:hAnsi="Times New Roman" w:cs="Times New Roman"/>
          <w:sz w:val="20"/>
          <w:szCs w:val="20"/>
        </w:rPr>
        <w:t xml:space="preserve"> findings, proponents continue to argue that stadiums </w:t>
      </w:r>
      <w:r w:rsidR="009262B2" w:rsidRPr="000E4CB2">
        <w:rPr>
          <w:rFonts w:ascii="Times New Roman" w:hAnsi="Times New Roman" w:cs="Times New Roman"/>
          <w:sz w:val="20"/>
          <w:szCs w:val="20"/>
        </w:rPr>
        <w:t>revitalize</w:t>
      </w:r>
      <w:r w:rsidRPr="000E4CB2">
        <w:rPr>
          <w:rFonts w:ascii="Times New Roman" w:hAnsi="Times New Roman" w:cs="Times New Roman"/>
          <w:sz w:val="20"/>
          <w:szCs w:val="20"/>
        </w:rPr>
        <w:t xml:space="preserve"> urban areas and serve as an amenity that can improve the quality of life for local residents who are not </w:t>
      </w:r>
      <w:r w:rsidR="00E62662" w:rsidRPr="000E4CB2">
        <w:rPr>
          <w:rFonts w:ascii="Times New Roman" w:hAnsi="Times New Roman" w:cs="Times New Roman"/>
          <w:sz w:val="20"/>
          <w:szCs w:val="20"/>
        </w:rPr>
        <w:t>sports</w:t>
      </w:r>
      <w:r w:rsidRPr="000E4CB2">
        <w:rPr>
          <w:rFonts w:ascii="Times New Roman" w:hAnsi="Times New Roman" w:cs="Times New Roman"/>
          <w:sz w:val="20"/>
          <w:szCs w:val="20"/>
        </w:rPr>
        <w:t xml:space="preserve"> fans (</w:t>
      </w:r>
      <w:proofErr w:type="spellStart"/>
      <w:r w:rsidRPr="000E4CB2">
        <w:rPr>
          <w:rFonts w:ascii="Times New Roman" w:hAnsi="Times New Roman" w:cs="Times New Roman"/>
          <w:sz w:val="20"/>
          <w:szCs w:val="20"/>
        </w:rPr>
        <w:t>Rosentraub</w:t>
      </w:r>
      <w:proofErr w:type="spellEnd"/>
      <w:r w:rsidRPr="000E4CB2">
        <w:rPr>
          <w:rFonts w:ascii="Times New Roman" w:hAnsi="Times New Roman" w:cs="Times New Roman"/>
          <w:sz w:val="20"/>
          <w:szCs w:val="20"/>
        </w:rPr>
        <w:t>, 2014; Matheson, 2019). Upon closer examination by Humphreys (2019) these claims hold little to no validity. Once adjusted spatially and temporarily, stadiums have been shown to generate negative externalities such as increased crime, traffic congestion, air pollution, and the associated health outcomes (Marie, 2015; Humphreys, 2019). Even variables like the surrounding property value do not positively impact locals. Rather all but land owners leasing within the vicinity of the sporting facility are placed at a detriment (Humphreys, 2019).</w:t>
      </w:r>
    </w:p>
    <w:p w14:paraId="0F3E1E17" w14:textId="77777777" w:rsidR="000A4118" w:rsidRDefault="000A4118" w:rsidP="000E4CB2">
      <w:pPr>
        <w:spacing w:line="360" w:lineRule="auto"/>
        <w:rPr>
          <w:rFonts w:ascii="Times New Roman" w:hAnsi="Times New Roman" w:cs="Times New Roman"/>
          <w:sz w:val="20"/>
          <w:szCs w:val="20"/>
        </w:rPr>
      </w:pPr>
    </w:p>
    <w:p w14:paraId="1389B81F" w14:textId="77777777" w:rsidR="002C7E84" w:rsidRPr="000E4CB2" w:rsidRDefault="002C7E84" w:rsidP="000E4CB2">
      <w:pPr>
        <w:spacing w:line="360" w:lineRule="auto"/>
        <w:rPr>
          <w:rFonts w:ascii="Times New Roman" w:hAnsi="Times New Roman" w:cs="Times New Roman"/>
          <w:sz w:val="20"/>
          <w:szCs w:val="20"/>
        </w:rPr>
      </w:pPr>
    </w:p>
    <w:p w14:paraId="094F6631" w14:textId="77777777" w:rsidR="00486680" w:rsidRPr="000E4CB2" w:rsidRDefault="00486680"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lastRenderedPageBreak/>
        <w:t>Despite the financial implications addressed by Humphreys (2019) and other scholars, stadiums and arenas are continuing to develop and expand customer experience (CX) packages. Teams like the Indianapolis Colts and Philadelphia Eagles have gone above and beyond to engage with their fans. A large aspect of fan engagement happens on game day at the stadium. The better CX the Philadelphia Eagles partnered with Panasonic, providing the highest quality screens in and around the stadium (Olenski, 2015).  The collegiate level in the North American environment is host to some of the largest stadiums in the world, equivalent to the size of small towns (Williams, 2023). These sporting facilities take a different approach to CX. Rather than supplement new strategies to personalize the experience, the CX consists of cultural or mob experience. Similar to Hall’s (1998) identity, the collegiate CX builds off of the close quarters and loud environment to build unity among the fan base (Williams, 2023). In the UK, Premier League clubs do not have the venue capacity to deliver the same type of CX. Instead, the UK environment focuses on personalizing the CX.</w:t>
      </w:r>
    </w:p>
    <w:p w14:paraId="46100D4A" w14:textId="77777777" w:rsidR="00486680" w:rsidRPr="000E4CB2" w:rsidRDefault="00486680" w:rsidP="000E4CB2">
      <w:pPr>
        <w:spacing w:line="360" w:lineRule="auto"/>
        <w:rPr>
          <w:rFonts w:ascii="Times New Roman" w:hAnsi="Times New Roman" w:cs="Times New Roman"/>
          <w:sz w:val="20"/>
          <w:szCs w:val="20"/>
        </w:rPr>
      </w:pPr>
    </w:p>
    <w:p w14:paraId="70DA9F27" w14:textId="77777777" w:rsidR="00486680" w:rsidRPr="000E4CB2" w:rsidRDefault="00486680"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In the UK environment, stadium size and capacity is limited with the largest capacity venue being Wembley, holding a maximum of 90,000 seats (Wembley Stadium, 2024). To better cater to CX, Tottenham Hotspur recently unveiled their new stadium. Dubbed ‘the most expensive stadium in the world’ the refurbished White Heart Lane cost £1bn (</w:t>
      </w:r>
      <w:proofErr w:type="spellStart"/>
      <w:r w:rsidRPr="000E4CB2">
        <w:rPr>
          <w:rFonts w:ascii="Times New Roman" w:hAnsi="Times New Roman" w:cs="Times New Roman"/>
          <w:sz w:val="20"/>
          <w:szCs w:val="20"/>
        </w:rPr>
        <w:t>OneFootball</w:t>
      </w:r>
      <w:proofErr w:type="spellEnd"/>
      <w:r w:rsidRPr="000E4CB2">
        <w:rPr>
          <w:rFonts w:ascii="Times New Roman" w:hAnsi="Times New Roman" w:cs="Times New Roman"/>
          <w:sz w:val="20"/>
          <w:szCs w:val="20"/>
        </w:rPr>
        <w:t>, 2023). While sources of finance in the UK are similar to those in North America, TIF is not anywhere near as prevalent. The majority of the renovation finances used came from bank loans (£637m), the remaining of which was covered by government grants and tax incentives similar to TIF (</w:t>
      </w:r>
      <w:proofErr w:type="spellStart"/>
      <w:r w:rsidRPr="000E4CB2">
        <w:rPr>
          <w:rFonts w:ascii="Times New Roman" w:hAnsi="Times New Roman" w:cs="Times New Roman"/>
          <w:sz w:val="20"/>
          <w:szCs w:val="20"/>
        </w:rPr>
        <w:t>OneFootball</w:t>
      </w:r>
      <w:proofErr w:type="spellEnd"/>
      <w:r w:rsidRPr="000E4CB2">
        <w:rPr>
          <w:rFonts w:ascii="Times New Roman" w:hAnsi="Times New Roman" w:cs="Times New Roman"/>
          <w:sz w:val="20"/>
          <w:szCs w:val="20"/>
        </w:rPr>
        <w:t>, 2023). Another difference between the UK environment and the North American environment lies in the ownership of the stadiums. In the UK it is common for local councils to own controlling stakes in the stadiums themselves and lease the stadium to the local team. However, unlike in the American model, the lease must be determined as though that club was the only club in the market (Gibson, 2021). Suggesting that clubs are geographically rooted, unable to move elsewhere like the American franchises. This does increase the cultural bond with the locals (Hall, 1998). But it also leaves locals with similar issues to the North American environment in which negative externalities impact the environment. A pressing negative impact unique to the UK is the light pollution from stadiums using growth lights as a means to supplement sunlight (</w:t>
      </w:r>
      <w:proofErr w:type="spellStart"/>
      <w:r w:rsidRPr="000E4CB2">
        <w:rPr>
          <w:rFonts w:ascii="Times New Roman" w:hAnsi="Times New Roman" w:cs="Times New Roman"/>
          <w:sz w:val="20"/>
          <w:szCs w:val="20"/>
        </w:rPr>
        <w:t>Geliot</w:t>
      </w:r>
      <w:proofErr w:type="spellEnd"/>
      <w:r w:rsidRPr="000E4CB2">
        <w:rPr>
          <w:rFonts w:ascii="Times New Roman" w:hAnsi="Times New Roman" w:cs="Times New Roman"/>
          <w:sz w:val="20"/>
          <w:szCs w:val="20"/>
        </w:rPr>
        <w:t xml:space="preserve">, </w:t>
      </w:r>
      <w:proofErr w:type="spellStart"/>
      <w:r w:rsidRPr="000E4CB2">
        <w:rPr>
          <w:rFonts w:ascii="Times New Roman" w:hAnsi="Times New Roman" w:cs="Times New Roman"/>
          <w:sz w:val="20"/>
          <w:szCs w:val="20"/>
        </w:rPr>
        <w:t>Coesfeld</w:t>
      </w:r>
      <w:proofErr w:type="spellEnd"/>
      <w:r w:rsidRPr="000E4CB2">
        <w:rPr>
          <w:rFonts w:ascii="Times New Roman" w:hAnsi="Times New Roman" w:cs="Times New Roman"/>
          <w:sz w:val="20"/>
          <w:szCs w:val="20"/>
        </w:rPr>
        <w:t xml:space="preserve">, and Kyba, 2022). </w:t>
      </w:r>
    </w:p>
    <w:p w14:paraId="7CB8D900" w14:textId="77777777" w:rsidR="00AD4926" w:rsidRDefault="00AD4926" w:rsidP="000E4CB2">
      <w:pPr>
        <w:spacing w:line="360" w:lineRule="auto"/>
        <w:rPr>
          <w:rFonts w:ascii="Times New Roman" w:hAnsi="Times New Roman" w:cs="Times New Roman"/>
          <w:sz w:val="20"/>
          <w:szCs w:val="20"/>
        </w:rPr>
      </w:pPr>
    </w:p>
    <w:p w14:paraId="6B87DD23" w14:textId="1136664D" w:rsidR="005A0BEC" w:rsidRPr="002C7E84" w:rsidRDefault="002C7E84" w:rsidP="002C7E84">
      <w:pPr>
        <w:rPr>
          <w:rFonts w:ascii="Times New Roman" w:hAnsi="Times New Roman" w:cs="Times New Roman"/>
          <w:sz w:val="20"/>
          <w:szCs w:val="20"/>
        </w:rPr>
      </w:pPr>
      <w:r>
        <w:rPr>
          <w:rFonts w:ascii="Times New Roman" w:hAnsi="Times New Roman" w:cs="Times New Roman"/>
          <w:sz w:val="20"/>
          <w:szCs w:val="20"/>
        </w:rPr>
        <w:br w:type="page"/>
      </w:r>
      <w:r w:rsidR="005A0BEC" w:rsidRPr="000A4118">
        <w:rPr>
          <w:rFonts w:ascii="Times New Roman" w:hAnsi="Times New Roman" w:cs="Times New Roman"/>
          <w:b/>
          <w:bCs/>
          <w:sz w:val="24"/>
          <w:szCs w:val="24"/>
        </w:rPr>
        <w:lastRenderedPageBreak/>
        <w:t>Conclusion</w:t>
      </w:r>
      <w:r w:rsidR="000A4118" w:rsidRPr="000A4118">
        <w:rPr>
          <w:rFonts w:ascii="Times New Roman" w:hAnsi="Times New Roman" w:cs="Times New Roman"/>
          <w:b/>
          <w:bCs/>
          <w:sz w:val="24"/>
          <w:szCs w:val="24"/>
        </w:rPr>
        <w:t>:</w:t>
      </w:r>
    </w:p>
    <w:p w14:paraId="21A908B3" w14:textId="4A69E9D8" w:rsidR="005A0BEC" w:rsidRDefault="006542BF" w:rsidP="000E4CB2">
      <w:pPr>
        <w:spacing w:line="360" w:lineRule="auto"/>
        <w:rPr>
          <w:rFonts w:ascii="Times New Roman" w:hAnsi="Times New Roman" w:cs="Times New Roman"/>
          <w:sz w:val="20"/>
          <w:szCs w:val="20"/>
        </w:rPr>
      </w:pPr>
      <w:r w:rsidRPr="000E4CB2">
        <w:rPr>
          <w:rFonts w:ascii="Times New Roman" w:hAnsi="Times New Roman" w:cs="Times New Roman"/>
          <w:sz w:val="20"/>
          <w:szCs w:val="20"/>
        </w:rPr>
        <w:t>Though the ownership models are different between the North American environment and the United Kingdom environment,</w:t>
      </w:r>
      <w:r w:rsidR="008E1268" w:rsidRPr="000E4CB2">
        <w:rPr>
          <w:rFonts w:ascii="Times New Roman" w:hAnsi="Times New Roman" w:cs="Times New Roman"/>
          <w:sz w:val="20"/>
          <w:szCs w:val="20"/>
        </w:rPr>
        <w:t xml:space="preserve"> the competitive spirit </w:t>
      </w:r>
      <w:r w:rsidR="003963EF" w:rsidRPr="000E4CB2">
        <w:rPr>
          <w:rFonts w:ascii="Times New Roman" w:hAnsi="Times New Roman" w:cs="Times New Roman"/>
          <w:sz w:val="20"/>
          <w:szCs w:val="20"/>
        </w:rPr>
        <w:t xml:space="preserve">of professional team </w:t>
      </w:r>
      <w:r w:rsidR="00395E1A" w:rsidRPr="000E4CB2">
        <w:rPr>
          <w:rFonts w:ascii="Times New Roman" w:hAnsi="Times New Roman" w:cs="Times New Roman"/>
          <w:sz w:val="20"/>
          <w:szCs w:val="20"/>
        </w:rPr>
        <w:t>sports</w:t>
      </w:r>
      <w:r w:rsidR="003963EF" w:rsidRPr="000E4CB2">
        <w:rPr>
          <w:rFonts w:ascii="Times New Roman" w:hAnsi="Times New Roman" w:cs="Times New Roman"/>
          <w:sz w:val="20"/>
          <w:szCs w:val="20"/>
        </w:rPr>
        <w:t xml:space="preserve"> is shared. Both environments </w:t>
      </w:r>
      <w:r w:rsidR="00395E1A" w:rsidRPr="000E4CB2">
        <w:rPr>
          <w:rFonts w:ascii="Times New Roman" w:hAnsi="Times New Roman" w:cs="Times New Roman"/>
          <w:sz w:val="20"/>
          <w:szCs w:val="20"/>
        </w:rPr>
        <w:t xml:space="preserve">utilize broadcasting rights and sponsorship deals to </w:t>
      </w:r>
      <w:r w:rsidR="00AF6C0F" w:rsidRPr="000E4CB2">
        <w:rPr>
          <w:rFonts w:ascii="Times New Roman" w:hAnsi="Times New Roman" w:cs="Times New Roman"/>
          <w:sz w:val="20"/>
          <w:szCs w:val="20"/>
        </w:rPr>
        <w:t xml:space="preserve">generate revenue. While the North American elite environment follows the EPL’s CX </w:t>
      </w:r>
      <w:r w:rsidR="00B2558D" w:rsidRPr="000E4CB2">
        <w:rPr>
          <w:rFonts w:ascii="Times New Roman" w:hAnsi="Times New Roman" w:cs="Times New Roman"/>
          <w:sz w:val="20"/>
          <w:szCs w:val="20"/>
        </w:rPr>
        <w:t xml:space="preserve">strategy to entice and engage with fans. </w:t>
      </w:r>
      <w:r w:rsidR="00C060DE" w:rsidRPr="000E4CB2">
        <w:rPr>
          <w:rFonts w:ascii="Times New Roman" w:hAnsi="Times New Roman" w:cs="Times New Roman"/>
          <w:sz w:val="20"/>
          <w:szCs w:val="20"/>
        </w:rPr>
        <w:t>Despite these similarities, distinct differences separate the two environments. The most distinguishable is the league structures</w:t>
      </w:r>
      <w:r w:rsidR="005C7E1C" w:rsidRPr="000E4CB2">
        <w:rPr>
          <w:rFonts w:ascii="Times New Roman" w:hAnsi="Times New Roman" w:cs="Times New Roman"/>
          <w:sz w:val="20"/>
          <w:szCs w:val="20"/>
        </w:rPr>
        <w:t xml:space="preserve">. North America’s draft system has allowed for a profitable </w:t>
      </w:r>
      <w:r w:rsidR="001C7211" w:rsidRPr="000E4CB2">
        <w:rPr>
          <w:rFonts w:ascii="Times New Roman" w:hAnsi="Times New Roman" w:cs="Times New Roman"/>
          <w:sz w:val="20"/>
          <w:szCs w:val="20"/>
        </w:rPr>
        <w:t xml:space="preserve">environment to remain competitive while the league system of the EPL has threatened the financial stability of its clubs for the aspiration of pure competition. </w:t>
      </w:r>
      <w:r w:rsidR="00270C4E" w:rsidRPr="000E4CB2">
        <w:rPr>
          <w:rFonts w:ascii="Times New Roman" w:hAnsi="Times New Roman" w:cs="Times New Roman"/>
          <w:sz w:val="20"/>
          <w:szCs w:val="20"/>
        </w:rPr>
        <w:t>Further distinction</w:t>
      </w:r>
      <w:r w:rsidR="003B4B3C" w:rsidRPr="000E4CB2">
        <w:rPr>
          <w:rFonts w:ascii="Times New Roman" w:hAnsi="Times New Roman" w:cs="Times New Roman"/>
          <w:sz w:val="20"/>
          <w:szCs w:val="20"/>
        </w:rPr>
        <w:t>s</w:t>
      </w:r>
      <w:r w:rsidR="00270C4E" w:rsidRPr="000E4CB2">
        <w:rPr>
          <w:rFonts w:ascii="Times New Roman" w:hAnsi="Times New Roman" w:cs="Times New Roman"/>
          <w:sz w:val="20"/>
          <w:szCs w:val="20"/>
        </w:rPr>
        <w:t xml:space="preserve"> between the two environments can be made when addressing the finances</w:t>
      </w:r>
      <w:r w:rsidR="003B4B3C" w:rsidRPr="000E4CB2">
        <w:rPr>
          <w:rFonts w:ascii="Times New Roman" w:hAnsi="Times New Roman" w:cs="Times New Roman"/>
          <w:sz w:val="20"/>
          <w:szCs w:val="20"/>
        </w:rPr>
        <w:t xml:space="preserve"> of each environment. Particularly in the NFL, the North American government is heavily involved in the proceedings</w:t>
      </w:r>
      <w:r w:rsidR="00725493" w:rsidRPr="000E4CB2">
        <w:rPr>
          <w:rFonts w:ascii="Times New Roman" w:hAnsi="Times New Roman" w:cs="Times New Roman"/>
          <w:sz w:val="20"/>
          <w:szCs w:val="20"/>
        </w:rPr>
        <w:t xml:space="preserve">, evident by the TIFs and nationalistic pride presented in </w:t>
      </w:r>
      <w:r w:rsidR="00275A22" w:rsidRPr="000E4CB2">
        <w:rPr>
          <w:rFonts w:ascii="Times New Roman" w:hAnsi="Times New Roman" w:cs="Times New Roman"/>
          <w:sz w:val="20"/>
          <w:szCs w:val="20"/>
        </w:rPr>
        <w:t>advertising. Comparatively, the EPL is more involved with National Governing Bodies than direct government intervention</w:t>
      </w:r>
      <w:r w:rsidR="002A6261" w:rsidRPr="000E4CB2">
        <w:rPr>
          <w:rFonts w:ascii="Times New Roman" w:hAnsi="Times New Roman" w:cs="Times New Roman"/>
          <w:sz w:val="20"/>
          <w:szCs w:val="20"/>
        </w:rPr>
        <w:t xml:space="preserve">, resulting in more foreign investment. </w:t>
      </w:r>
      <w:r w:rsidR="00ED2508" w:rsidRPr="000E4CB2">
        <w:rPr>
          <w:rFonts w:ascii="Times New Roman" w:hAnsi="Times New Roman" w:cs="Times New Roman"/>
          <w:sz w:val="20"/>
          <w:szCs w:val="20"/>
        </w:rPr>
        <w:t xml:space="preserve">Ultimately, the two environments are slowly adapting and merging into a similar environment. However, these two environments will never be synonymous with each other. </w:t>
      </w:r>
    </w:p>
    <w:p w14:paraId="5A77915F" w14:textId="77777777" w:rsidR="009F52D0" w:rsidRDefault="009F52D0" w:rsidP="000E4CB2">
      <w:pPr>
        <w:spacing w:line="360" w:lineRule="auto"/>
        <w:rPr>
          <w:rFonts w:ascii="Times New Roman" w:hAnsi="Times New Roman" w:cs="Times New Roman"/>
          <w:sz w:val="20"/>
          <w:szCs w:val="20"/>
        </w:rPr>
      </w:pPr>
    </w:p>
    <w:p w14:paraId="75E3E836" w14:textId="77777777" w:rsidR="009F52D0" w:rsidRDefault="009F52D0" w:rsidP="000E4CB2">
      <w:pPr>
        <w:spacing w:line="360" w:lineRule="auto"/>
        <w:rPr>
          <w:rFonts w:ascii="Times New Roman" w:hAnsi="Times New Roman" w:cs="Times New Roman"/>
          <w:sz w:val="20"/>
          <w:szCs w:val="20"/>
        </w:rPr>
      </w:pPr>
    </w:p>
    <w:p w14:paraId="79BE77F8" w14:textId="1D82B53A" w:rsidR="009F52D0" w:rsidRDefault="009F52D0" w:rsidP="000E4CB2">
      <w:pPr>
        <w:spacing w:line="360" w:lineRule="auto"/>
        <w:rPr>
          <w:rFonts w:ascii="Times New Roman" w:hAnsi="Times New Roman" w:cs="Times New Roman"/>
          <w:b/>
          <w:bCs/>
          <w:sz w:val="24"/>
          <w:szCs w:val="24"/>
        </w:rPr>
      </w:pPr>
      <w:r w:rsidRPr="009F52D0">
        <w:rPr>
          <w:rFonts w:ascii="Times New Roman" w:hAnsi="Times New Roman" w:cs="Times New Roman"/>
          <w:b/>
          <w:bCs/>
          <w:sz w:val="24"/>
          <w:szCs w:val="24"/>
        </w:rPr>
        <w:t>References</w:t>
      </w:r>
      <w:r>
        <w:rPr>
          <w:rFonts w:ascii="Times New Roman" w:hAnsi="Times New Roman" w:cs="Times New Roman"/>
          <w:b/>
          <w:bCs/>
          <w:sz w:val="24"/>
          <w:szCs w:val="24"/>
        </w:rPr>
        <w:t>:</w:t>
      </w:r>
    </w:p>
    <w:p w14:paraId="0B398B3F"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Agha, N. &amp; Rascher, D. (2021) "Economic Development Effects of Major and Minor League Teams and Stadiums", </w:t>
      </w:r>
      <w:r w:rsidRPr="00972584">
        <w:rPr>
          <w:i/>
          <w:iCs/>
          <w:color w:val="000000"/>
          <w:sz w:val="20"/>
          <w:szCs w:val="20"/>
        </w:rPr>
        <w:t>Journal of Sports Economics, </w:t>
      </w:r>
      <w:r w:rsidRPr="00972584">
        <w:rPr>
          <w:color w:val="000000"/>
          <w:sz w:val="20"/>
          <w:szCs w:val="20"/>
        </w:rPr>
        <w:t>vol. 22, no. 3, pp. 274-294.</w:t>
      </w:r>
    </w:p>
    <w:p w14:paraId="399FB5A5" w14:textId="74B0A93F"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Andreff</w:t>
      </w:r>
      <w:proofErr w:type="spellEnd"/>
      <w:r w:rsidRPr="00972584">
        <w:rPr>
          <w:rFonts w:ascii="Times New Roman" w:hAnsi="Times New Roman" w:cs="Times New Roman"/>
          <w:sz w:val="20"/>
          <w:szCs w:val="20"/>
        </w:rPr>
        <w:t xml:space="preserve">, W. and </w:t>
      </w:r>
      <w:proofErr w:type="spellStart"/>
      <w:r w:rsidRPr="00972584">
        <w:rPr>
          <w:rFonts w:ascii="Times New Roman" w:hAnsi="Times New Roman" w:cs="Times New Roman"/>
          <w:sz w:val="20"/>
          <w:szCs w:val="20"/>
        </w:rPr>
        <w:t>Staudohar</w:t>
      </w:r>
      <w:proofErr w:type="spellEnd"/>
      <w:r w:rsidRPr="00972584">
        <w:rPr>
          <w:rFonts w:ascii="Times New Roman" w:hAnsi="Times New Roman" w:cs="Times New Roman"/>
          <w:sz w:val="20"/>
          <w:szCs w:val="20"/>
        </w:rPr>
        <w:t>, P.D. (2000) “The evolving model of professional sports finance”, Journal of Sports Economics, Vol. 13, pp. 257-76.</w:t>
      </w:r>
    </w:p>
    <w:p w14:paraId="3F0858E7" w14:textId="7080C4EC" w:rsidR="00B00321" w:rsidRPr="00972584" w:rsidRDefault="00B00321" w:rsidP="00B00321">
      <w:pPr>
        <w:pStyle w:val="NormalWeb"/>
        <w:spacing w:line="360" w:lineRule="auto"/>
        <w:ind w:left="426" w:hanging="426"/>
        <w:rPr>
          <w:sz w:val="20"/>
          <w:szCs w:val="20"/>
        </w:rPr>
      </w:pPr>
      <w:proofErr w:type="spellStart"/>
      <w:r w:rsidRPr="00972584">
        <w:rPr>
          <w:sz w:val="20"/>
          <w:szCs w:val="20"/>
        </w:rPr>
        <w:t>Barshad</w:t>
      </w:r>
      <w:proofErr w:type="spellEnd"/>
      <w:r w:rsidRPr="00972584">
        <w:rPr>
          <w:sz w:val="20"/>
          <w:szCs w:val="20"/>
        </w:rPr>
        <w:t xml:space="preserve">, A. (2022) </w:t>
      </w:r>
      <w:r w:rsidRPr="00972584">
        <w:rPr>
          <w:i/>
          <w:iCs/>
          <w:sz w:val="20"/>
          <w:szCs w:val="20"/>
        </w:rPr>
        <w:t>A different kind of Moneyball: Newcastle United is finding out what winning in the Premier League really costs</w:t>
      </w:r>
      <w:r w:rsidRPr="00972584">
        <w:rPr>
          <w:sz w:val="20"/>
          <w:szCs w:val="20"/>
        </w:rPr>
        <w:t xml:space="preserve">, </w:t>
      </w:r>
      <w:r w:rsidRPr="00972584">
        <w:rPr>
          <w:i/>
          <w:iCs/>
          <w:sz w:val="20"/>
          <w:szCs w:val="20"/>
        </w:rPr>
        <w:t>The Ringer</w:t>
      </w:r>
      <w:r w:rsidRPr="00972584">
        <w:rPr>
          <w:sz w:val="20"/>
          <w:szCs w:val="20"/>
        </w:rPr>
        <w:t>. Available at: https://www.theringer.com/soccer/2022/8/5/23290338/newcastle-united-saudi-takeover-premier-league</w:t>
      </w:r>
      <w:r>
        <w:rPr>
          <w:sz w:val="20"/>
          <w:szCs w:val="20"/>
        </w:rPr>
        <w:t>.</w:t>
      </w:r>
      <w:r w:rsidRPr="00972584">
        <w:rPr>
          <w:sz w:val="20"/>
          <w:szCs w:val="20"/>
        </w:rPr>
        <w:t xml:space="preserve"> </w:t>
      </w:r>
    </w:p>
    <w:p w14:paraId="3E476737" w14:textId="170F781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Bishop, R., Smith, A.C.T. &amp; Read, D. (2022) "An introduction to the challenges of distributive equity in the English Premier League", </w:t>
      </w:r>
      <w:r w:rsidRPr="00972584">
        <w:rPr>
          <w:i/>
          <w:iCs/>
          <w:color w:val="000000"/>
          <w:sz w:val="20"/>
          <w:szCs w:val="20"/>
        </w:rPr>
        <w:t>Sport, business and management, </w:t>
      </w:r>
      <w:r w:rsidRPr="00972584">
        <w:rPr>
          <w:color w:val="000000"/>
          <w:sz w:val="20"/>
          <w:szCs w:val="20"/>
        </w:rPr>
        <w:t>vol. 12, no. 3, pp. 284-304.</w:t>
      </w:r>
    </w:p>
    <w:p w14:paraId="544F85E4" w14:textId="477EC2A0"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Brown, A. (2007) “Not for sale? The destruction and reformation of football communities in the glazer takeover of Manchester United”, Soccer and Society, Vol. 8 No. 4, pp. 614-35.</w:t>
      </w:r>
    </w:p>
    <w:p w14:paraId="09D05EAA" w14:textId="64FD5DC6"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Coates, D., &amp; Humphreys, B. R. (2008) Do economists reach a conclusion on subsidies for sports franchises, stadiums, and mega-events? Econ Journal Watch, 5, 294–315.</w:t>
      </w:r>
    </w:p>
    <w:p w14:paraId="19CC4347" w14:textId="6703531D"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Davies, R. (2021) “UK betting faces bigger threats than losing its sport shirts”, The Guardian.</w:t>
      </w:r>
    </w:p>
    <w:p w14:paraId="4C3DB204" w14:textId="059865BE" w:rsidR="00B00321" w:rsidRPr="00AD5C8D" w:rsidRDefault="00B00321" w:rsidP="00B00321">
      <w:pPr>
        <w:shd w:val="clear" w:color="auto" w:fill="FFFFFF"/>
        <w:spacing w:after="0" w:line="360" w:lineRule="auto"/>
        <w:ind w:left="426" w:hanging="426"/>
        <w:rPr>
          <w:rFonts w:ascii="Times New Roman" w:eastAsia="Times New Roman" w:hAnsi="Times New Roman" w:cs="Times New Roman"/>
          <w:color w:val="000000"/>
          <w:sz w:val="20"/>
          <w:szCs w:val="20"/>
          <w:lang w:eastAsia="en-GB"/>
        </w:rPr>
      </w:pPr>
      <w:r w:rsidRPr="00AD5C8D">
        <w:rPr>
          <w:rFonts w:ascii="Times New Roman" w:eastAsia="Times New Roman" w:hAnsi="Times New Roman" w:cs="Times New Roman"/>
          <w:color w:val="000000"/>
          <w:sz w:val="20"/>
          <w:szCs w:val="20"/>
          <w:lang w:eastAsia="en-GB"/>
        </w:rPr>
        <w:t xml:space="preserve">Dobson, S. and </w:t>
      </w:r>
      <w:r w:rsidRPr="00972584">
        <w:rPr>
          <w:rFonts w:ascii="Times New Roman" w:eastAsia="Times New Roman" w:hAnsi="Times New Roman" w:cs="Times New Roman"/>
          <w:color w:val="000000"/>
          <w:sz w:val="20"/>
          <w:szCs w:val="20"/>
          <w:lang w:eastAsia="en-GB"/>
        </w:rPr>
        <w:t>G</w:t>
      </w:r>
      <w:r w:rsidRPr="00AD5C8D">
        <w:rPr>
          <w:rFonts w:ascii="Times New Roman" w:eastAsia="Times New Roman" w:hAnsi="Times New Roman" w:cs="Times New Roman"/>
          <w:color w:val="000000"/>
          <w:sz w:val="20"/>
          <w:szCs w:val="20"/>
          <w:lang w:eastAsia="en-GB"/>
        </w:rPr>
        <w:t>oddard, J. (2011) </w:t>
      </w:r>
      <w:r w:rsidRPr="00AD5C8D">
        <w:rPr>
          <w:rFonts w:ascii="Times New Roman" w:eastAsia="Times New Roman" w:hAnsi="Times New Roman" w:cs="Times New Roman"/>
          <w:i/>
          <w:iCs/>
          <w:color w:val="000000"/>
          <w:sz w:val="20"/>
          <w:szCs w:val="20"/>
          <w:lang w:eastAsia="en-GB"/>
        </w:rPr>
        <w:t>The Economics of Football</w:t>
      </w:r>
      <w:r w:rsidRPr="00AD5C8D">
        <w:rPr>
          <w:rFonts w:ascii="Times New Roman" w:eastAsia="Times New Roman" w:hAnsi="Times New Roman" w:cs="Times New Roman"/>
          <w:color w:val="000000"/>
          <w:sz w:val="20"/>
          <w:szCs w:val="20"/>
          <w:lang w:eastAsia="en-GB"/>
        </w:rPr>
        <w:t>, 2nd edition.</w:t>
      </w:r>
      <w:r w:rsidRPr="00972584">
        <w:rPr>
          <w:rFonts w:ascii="Times New Roman" w:eastAsia="Times New Roman" w:hAnsi="Times New Roman" w:cs="Times New Roman"/>
          <w:color w:val="000000"/>
          <w:sz w:val="20"/>
          <w:szCs w:val="20"/>
          <w:lang w:eastAsia="en-GB"/>
        </w:rPr>
        <w:t xml:space="preserve"> </w:t>
      </w:r>
      <w:r w:rsidRPr="00AD5C8D">
        <w:rPr>
          <w:rFonts w:ascii="Times New Roman" w:eastAsia="Times New Roman" w:hAnsi="Times New Roman" w:cs="Times New Roman"/>
          <w:color w:val="000000"/>
          <w:sz w:val="20"/>
          <w:szCs w:val="20"/>
          <w:lang w:eastAsia="en-GB"/>
        </w:rPr>
        <w:t>Cambridge: Cambridge University Press</w:t>
      </w:r>
      <w:r w:rsidRPr="00972584">
        <w:rPr>
          <w:rFonts w:ascii="Times New Roman" w:eastAsia="Times New Roman" w:hAnsi="Times New Roman" w:cs="Times New Roman"/>
          <w:color w:val="000000"/>
          <w:sz w:val="20"/>
          <w:szCs w:val="20"/>
          <w:lang w:eastAsia="en-GB"/>
        </w:rPr>
        <w:t>.</w:t>
      </w:r>
    </w:p>
    <w:p w14:paraId="75E31845" w14:textId="4283D435"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lastRenderedPageBreak/>
        <w:t xml:space="preserve">Doyle, M. (2019) “The Ronaldo effect: what Cristiano has done for the Juventus brand”, Goal, available at: </w:t>
      </w:r>
      <w:hyperlink r:id="rId10" w:history="1">
        <w:r w:rsidRPr="00972584">
          <w:rPr>
            <w:rStyle w:val="Hyperlink"/>
            <w:rFonts w:ascii="Times New Roman" w:hAnsi="Times New Roman" w:cs="Times New Roman"/>
            <w:sz w:val="20"/>
            <w:szCs w:val="20"/>
          </w:rPr>
          <w:t>https://www.goal.com/</w:t>
        </w:r>
      </w:hyperlink>
      <w:r w:rsidRPr="00972584">
        <w:rPr>
          <w:rFonts w:ascii="Times New Roman" w:hAnsi="Times New Roman" w:cs="Times New Roman"/>
          <w:sz w:val="20"/>
          <w:szCs w:val="20"/>
        </w:rPr>
        <w:t>.</w:t>
      </w:r>
    </w:p>
    <w:p w14:paraId="24270096"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Fenn, A.J. &amp; Crooker, J.R. (2009) "Estimating Local Welfare Generated by an NFL Team under Credible Threat of Relocation", </w:t>
      </w:r>
      <w:r w:rsidRPr="00972584">
        <w:rPr>
          <w:i/>
          <w:iCs/>
          <w:color w:val="000000"/>
          <w:sz w:val="20"/>
          <w:szCs w:val="20"/>
        </w:rPr>
        <w:t>Southern Economic Journal, </w:t>
      </w:r>
      <w:r w:rsidRPr="00972584">
        <w:rPr>
          <w:color w:val="000000"/>
          <w:sz w:val="20"/>
          <w:szCs w:val="20"/>
        </w:rPr>
        <w:t>vol. 76, no. 1.</w:t>
      </w:r>
    </w:p>
    <w:p w14:paraId="074E352A" w14:textId="5670D935"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Garcia-del-Barro, P. and Szymanski, S. (2006) “Goal! Profit maximisation and win maximisation in football leagues”, Working Paper Series, Paper No. 06-21, International Association of Sports Economics.</w:t>
      </w:r>
    </w:p>
    <w:p w14:paraId="5E5A4859" w14:textId="4249ABEF"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Gardner, E. (2019) "NFL Heading to Supreme Court Showdown", </w:t>
      </w:r>
      <w:r w:rsidRPr="00972584">
        <w:rPr>
          <w:i/>
          <w:iCs/>
          <w:color w:val="000000"/>
          <w:sz w:val="20"/>
          <w:szCs w:val="20"/>
        </w:rPr>
        <w:t>Hollywood Reporter, </w:t>
      </w:r>
      <w:r w:rsidRPr="00972584">
        <w:rPr>
          <w:color w:val="000000"/>
          <w:sz w:val="20"/>
          <w:szCs w:val="20"/>
        </w:rPr>
        <w:t>vol. 425.</w:t>
      </w:r>
    </w:p>
    <w:p w14:paraId="48967219"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proofErr w:type="spellStart"/>
      <w:r w:rsidRPr="00972584">
        <w:rPr>
          <w:color w:val="000000"/>
          <w:sz w:val="20"/>
          <w:szCs w:val="20"/>
        </w:rPr>
        <w:t>Geliot</w:t>
      </w:r>
      <w:proofErr w:type="spellEnd"/>
      <w:r w:rsidRPr="00972584">
        <w:rPr>
          <w:color w:val="000000"/>
          <w:sz w:val="20"/>
          <w:szCs w:val="20"/>
        </w:rPr>
        <w:t xml:space="preserve">, S., </w:t>
      </w:r>
      <w:proofErr w:type="spellStart"/>
      <w:r w:rsidRPr="00972584">
        <w:rPr>
          <w:color w:val="000000"/>
          <w:sz w:val="20"/>
          <w:szCs w:val="20"/>
        </w:rPr>
        <w:t>Coesfeld</w:t>
      </w:r>
      <w:proofErr w:type="spellEnd"/>
      <w:r w:rsidRPr="00972584">
        <w:rPr>
          <w:color w:val="000000"/>
          <w:sz w:val="20"/>
          <w:szCs w:val="20"/>
        </w:rPr>
        <w:t>, J. &amp; Christopher, C.M.K. (2022) "The Scale and Impact of Sports Stadium Grow Lighting Systems In England", </w:t>
      </w:r>
      <w:r w:rsidRPr="00972584">
        <w:rPr>
          <w:i/>
          <w:iCs/>
          <w:color w:val="000000"/>
          <w:sz w:val="20"/>
          <w:szCs w:val="20"/>
        </w:rPr>
        <w:t>International journal of sustainable lighting (Online), </w:t>
      </w:r>
      <w:r w:rsidRPr="00972584">
        <w:rPr>
          <w:color w:val="000000"/>
          <w:sz w:val="20"/>
          <w:szCs w:val="20"/>
        </w:rPr>
        <w:t>vol. 24, no. 1.</w:t>
      </w:r>
    </w:p>
    <w:p w14:paraId="4EA3F4E9" w14:textId="441E9698" w:rsidR="00B00321" w:rsidRPr="00972584" w:rsidRDefault="00B00321" w:rsidP="00B00321">
      <w:pPr>
        <w:pStyle w:val="NormalWeb"/>
        <w:spacing w:line="360" w:lineRule="auto"/>
        <w:ind w:left="426" w:hanging="426"/>
        <w:rPr>
          <w:sz w:val="20"/>
          <w:szCs w:val="20"/>
        </w:rPr>
      </w:pPr>
      <w:r w:rsidRPr="00972584">
        <w:rPr>
          <w:sz w:val="20"/>
          <w:szCs w:val="20"/>
        </w:rPr>
        <w:t xml:space="preserve">Gibson, R. (2021) </w:t>
      </w:r>
      <w:r w:rsidRPr="00972584">
        <w:rPr>
          <w:i/>
          <w:iCs/>
          <w:sz w:val="20"/>
          <w:szCs w:val="20"/>
        </w:rPr>
        <w:t>How we value: Football stadiums</w:t>
      </w:r>
      <w:r w:rsidRPr="00972584">
        <w:rPr>
          <w:sz w:val="20"/>
          <w:szCs w:val="20"/>
        </w:rPr>
        <w:t xml:space="preserve">, </w:t>
      </w:r>
      <w:r w:rsidRPr="00972584">
        <w:rPr>
          <w:i/>
          <w:iCs/>
          <w:sz w:val="20"/>
          <w:szCs w:val="20"/>
        </w:rPr>
        <w:t>Valuation Office Agency</w:t>
      </w:r>
      <w:r w:rsidRPr="00972584">
        <w:rPr>
          <w:sz w:val="20"/>
          <w:szCs w:val="20"/>
        </w:rPr>
        <w:t>. Available at: https://valuationoffice.blog.gov.uk/2021/11/19/how-we-value-football-stadiums/</w:t>
      </w:r>
      <w:r>
        <w:rPr>
          <w:sz w:val="20"/>
          <w:szCs w:val="20"/>
        </w:rPr>
        <w:t>.</w:t>
      </w:r>
      <w:r w:rsidRPr="00972584">
        <w:rPr>
          <w:sz w:val="20"/>
          <w:szCs w:val="20"/>
        </w:rPr>
        <w:t xml:space="preserve"> </w:t>
      </w:r>
    </w:p>
    <w:p w14:paraId="02F76198" w14:textId="651CE59E"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Hall, S. (1998) Cultural identity and diaspora. In J. Rutherford (Ed.), Identity: Community, culture, difference (pp. 222– 237). London: Lawrence &amp; Wishart.</w:t>
      </w:r>
    </w:p>
    <w:p w14:paraId="6767BA9D" w14:textId="20A1BBE9"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Hamil, S. and Chadwick, S. (2010) Managing Football: An International Perspective, Elsevier, Oxford.</w:t>
      </w:r>
    </w:p>
    <w:p w14:paraId="116F144C"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Humphreys, B.R. &amp; Nowak, A. (2017) "Professional sports facilities, teams and property values: Evidence from NBA team departures", </w:t>
      </w:r>
      <w:r w:rsidRPr="00972584">
        <w:rPr>
          <w:i/>
          <w:iCs/>
          <w:color w:val="000000"/>
          <w:sz w:val="20"/>
          <w:szCs w:val="20"/>
        </w:rPr>
        <w:t>Regional Science and Urban Economics, </w:t>
      </w:r>
      <w:r w:rsidRPr="00972584">
        <w:rPr>
          <w:color w:val="000000"/>
          <w:sz w:val="20"/>
          <w:szCs w:val="20"/>
        </w:rPr>
        <w:t>vol. 66, pp. 39-51.</w:t>
      </w:r>
    </w:p>
    <w:p w14:paraId="6D6A6A5E" w14:textId="77B2A77E"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Jensen, J.A., Mishra, A. and Averick, M. (2019) “Assessing the survival of shirt sponsorships in English football: an exchange theory perspective”, Sport, Business and Management: An International Journal, Vol. 9 No. 5, pp. 477-494.</w:t>
      </w:r>
    </w:p>
    <w:p w14:paraId="267F9249" w14:textId="1BD0826A"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Kesenne</w:t>
      </w:r>
      <w:proofErr w:type="spellEnd"/>
      <w:r w:rsidRPr="00972584">
        <w:rPr>
          <w:rFonts w:ascii="Times New Roman" w:hAnsi="Times New Roman" w:cs="Times New Roman"/>
          <w:sz w:val="20"/>
          <w:szCs w:val="20"/>
        </w:rPr>
        <w:t>, S. (1996) “League management in professional team sports with win maximising clubs”, European Journal for Sport Management, Vol. 2 No. 2, pp. 14-22.</w:t>
      </w:r>
    </w:p>
    <w:p w14:paraId="071BB0FF" w14:textId="2927D6E1"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Kesenne</w:t>
      </w:r>
      <w:proofErr w:type="spellEnd"/>
      <w:r w:rsidRPr="00972584">
        <w:rPr>
          <w:rFonts w:ascii="Times New Roman" w:hAnsi="Times New Roman" w:cs="Times New Roman"/>
          <w:sz w:val="20"/>
          <w:szCs w:val="20"/>
        </w:rPr>
        <w:t>, S. (2000) “Revenue sharing and competitive balance in professional team sports”, Journal of Sports Economics, Vol. 1 No. 1, pp. 56-65.</w:t>
      </w:r>
    </w:p>
    <w:p w14:paraId="4C61DC23" w14:textId="0043069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Lawrence, S. (2015) "‘We are the boys from the Black Country’!(Re) Imagining local, regional and spectator identities through fandom at Walsall Football Club"</w:t>
      </w:r>
      <w:r w:rsidR="00A14E4F">
        <w:rPr>
          <w:color w:val="000000"/>
          <w:sz w:val="20"/>
          <w:szCs w:val="20"/>
        </w:rPr>
        <w:t>.</w:t>
      </w:r>
    </w:p>
    <w:p w14:paraId="6146F8B7" w14:textId="26607645"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Marie, O. (2015) Police and thieves in the stadium: Measuring the (multiple) effects of football matches on crime. Journal of the Royal Statistical Society: Series A (Statistics in Society), 179, 273–292.</w:t>
      </w:r>
    </w:p>
    <w:p w14:paraId="7AC061B0" w14:textId="5DA5FD5F"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Mason, D., Sant, S. &amp; Soebbing, B. (2017) "The peculiar economics of sports team ownership: Pursuing urban development in North American cities", </w:t>
      </w:r>
      <w:r w:rsidRPr="00972584">
        <w:rPr>
          <w:i/>
          <w:iCs/>
          <w:color w:val="000000"/>
          <w:sz w:val="20"/>
          <w:szCs w:val="20"/>
        </w:rPr>
        <w:t>Sport, Business and Management: An International Journal, </w:t>
      </w:r>
      <w:r w:rsidRPr="00972584">
        <w:rPr>
          <w:color w:val="000000"/>
          <w:sz w:val="20"/>
          <w:szCs w:val="20"/>
        </w:rPr>
        <w:t>vol. 7, no. 4, pp. 358-374.</w:t>
      </w:r>
    </w:p>
    <w:p w14:paraId="41709BA4" w14:textId="531AA5C9"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Nathanson, D. (2023) "The NFL-Amazon Agreement vs. Antitrust Legislation: The Future of The National Football League in OTT Services", </w:t>
      </w:r>
      <w:r w:rsidRPr="00972584">
        <w:rPr>
          <w:i/>
          <w:iCs/>
          <w:color w:val="000000"/>
          <w:sz w:val="20"/>
          <w:szCs w:val="20"/>
        </w:rPr>
        <w:t>The Entertainment and Sports Lawyer, </w:t>
      </w:r>
      <w:r w:rsidRPr="00972584">
        <w:rPr>
          <w:color w:val="000000"/>
          <w:sz w:val="20"/>
          <w:szCs w:val="20"/>
        </w:rPr>
        <w:t>vol. 39, no. 1, pp. 80-89.</w:t>
      </w:r>
    </w:p>
    <w:p w14:paraId="180FC26A" w14:textId="57E28086" w:rsidR="00B00321" w:rsidRPr="00972584" w:rsidRDefault="00B00321" w:rsidP="00B00321">
      <w:pPr>
        <w:pStyle w:val="NormalWeb"/>
        <w:spacing w:line="360" w:lineRule="auto"/>
        <w:ind w:left="426" w:hanging="426"/>
        <w:rPr>
          <w:sz w:val="20"/>
          <w:szCs w:val="20"/>
        </w:rPr>
      </w:pPr>
      <w:r w:rsidRPr="00972584">
        <w:rPr>
          <w:sz w:val="20"/>
          <w:szCs w:val="20"/>
        </w:rPr>
        <w:lastRenderedPageBreak/>
        <w:t xml:space="preserve">NFL (2021) </w:t>
      </w:r>
      <w:r w:rsidRPr="00972584">
        <w:rPr>
          <w:i/>
          <w:iCs/>
          <w:sz w:val="20"/>
          <w:szCs w:val="20"/>
        </w:rPr>
        <w:t>NFL completes long-term media distribution agreements through 2033 season</w:t>
      </w:r>
      <w:r w:rsidRPr="00972584">
        <w:rPr>
          <w:sz w:val="20"/>
          <w:szCs w:val="20"/>
        </w:rPr>
        <w:t xml:space="preserve">, </w:t>
      </w:r>
      <w:r w:rsidRPr="00972584">
        <w:rPr>
          <w:i/>
          <w:iCs/>
          <w:sz w:val="20"/>
          <w:szCs w:val="20"/>
        </w:rPr>
        <w:t>NFL.com</w:t>
      </w:r>
      <w:r w:rsidRPr="00972584">
        <w:rPr>
          <w:sz w:val="20"/>
          <w:szCs w:val="20"/>
        </w:rPr>
        <w:t xml:space="preserve">. Available at: https://www.nfl.com/news/nfl-completes-long-term-media-distribution-agreements-through-2033-season. </w:t>
      </w:r>
    </w:p>
    <w:p w14:paraId="2FA21C33" w14:textId="16650C17" w:rsidR="00B00321" w:rsidRPr="00972584" w:rsidRDefault="00B00321" w:rsidP="00B00321">
      <w:pPr>
        <w:pStyle w:val="NormalWeb"/>
        <w:spacing w:line="360" w:lineRule="auto"/>
        <w:ind w:left="426" w:hanging="426"/>
        <w:rPr>
          <w:sz w:val="20"/>
          <w:szCs w:val="20"/>
        </w:rPr>
      </w:pPr>
      <w:r w:rsidRPr="00972584">
        <w:rPr>
          <w:sz w:val="20"/>
          <w:szCs w:val="20"/>
        </w:rPr>
        <w:t xml:space="preserve">NFL (2024) </w:t>
      </w:r>
      <w:r w:rsidRPr="00972584">
        <w:rPr>
          <w:i/>
          <w:iCs/>
          <w:sz w:val="20"/>
          <w:szCs w:val="20"/>
        </w:rPr>
        <w:t>How television has changed the NFL</w:t>
      </w:r>
      <w:r w:rsidRPr="00972584">
        <w:rPr>
          <w:sz w:val="20"/>
          <w:szCs w:val="20"/>
        </w:rPr>
        <w:t xml:space="preserve">, </w:t>
      </w:r>
      <w:r w:rsidRPr="00972584">
        <w:rPr>
          <w:i/>
          <w:iCs/>
          <w:sz w:val="20"/>
          <w:szCs w:val="20"/>
        </w:rPr>
        <w:t>NFL Football Operations</w:t>
      </w:r>
      <w:r w:rsidRPr="00972584">
        <w:rPr>
          <w:sz w:val="20"/>
          <w:szCs w:val="20"/>
        </w:rPr>
        <w:t xml:space="preserve">. Available at: https://operations.nfl.com/gameday/technology/impact-of-television. </w:t>
      </w:r>
    </w:p>
    <w:p w14:paraId="79209323" w14:textId="5C03A93D" w:rsidR="00B00321" w:rsidRPr="00972584" w:rsidRDefault="00B00321" w:rsidP="00B00321">
      <w:pPr>
        <w:pStyle w:val="NormalWeb"/>
        <w:spacing w:line="360" w:lineRule="auto"/>
        <w:ind w:left="426" w:hanging="426"/>
        <w:rPr>
          <w:sz w:val="20"/>
          <w:szCs w:val="20"/>
        </w:rPr>
      </w:pPr>
      <w:r w:rsidRPr="00972584">
        <w:rPr>
          <w:sz w:val="20"/>
          <w:szCs w:val="20"/>
        </w:rPr>
        <w:t xml:space="preserve">Olenski, S. (2015) </w:t>
      </w:r>
      <w:r w:rsidRPr="00972584">
        <w:rPr>
          <w:i/>
          <w:iCs/>
          <w:sz w:val="20"/>
          <w:szCs w:val="20"/>
        </w:rPr>
        <w:t>How pro sports teams are taking the customer experience to the next level</w:t>
      </w:r>
      <w:r w:rsidRPr="00972584">
        <w:rPr>
          <w:sz w:val="20"/>
          <w:szCs w:val="20"/>
        </w:rPr>
        <w:t xml:space="preserve">, </w:t>
      </w:r>
      <w:r w:rsidRPr="00972584">
        <w:rPr>
          <w:i/>
          <w:iCs/>
          <w:sz w:val="20"/>
          <w:szCs w:val="20"/>
        </w:rPr>
        <w:t>Forbes</w:t>
      </w:r>
      <w:r w:rsidRPr="00972584">
        <w:rPr>
          <w:sz w:val="20"/>
          <w:szCs w:val="20"/>
        </w:rPr>
        <w:t>. Available at: https://www.forbes.com/sites/steveolenski/2015/02/20/how-pro-sports-teams-are-taking-the-customer-experience-to-the-next-level/?sh=6541004c2712</w:t>
      </w:r>
      <w:r w:rsidR="00AD4E78">
        <w:rPr>
          <w:sz w:val="20"/>
          <w:szCs w:val="20"/>
        </w:rPr>
        <w:t>.</w:t>
      </w:r>
    </w:p>
    <w:p w14:paraId="71B991E9" w14:textId="03A4A8FB" w:rsidR="00B00321" w:rsidRPr="00972584" w:rsidRDefault="00B00321" w:rsidP="00B00321">
      <w:pPr>
        <w:pStyle w:val="NormalWeb"/>
        <w:spacing w:line="360" w:lineRule="auto"/>
        <w:ind w:left="426" w:hanging="426"/>
        <w:rPr>
          <w:sz w:val="20"/>
          <w:szCs w:val="20"/>
        </w:rPr>
      </w:pPr>
      <w:proofErr w:type="spellStart"/>
      <w:r w:rsidRPr="00972584">
        <w:rPr>
          <w:sz w:val="20"/>
          <w:szCs w:val="20"/>
        </w:rPr>
        <w:t>OneFootball</w:t>
      </w:r>
      <w:proofErr w:type="spellEnd"/>
      <w:r w:rsidRPr="00972584">
        <w:rPr>
          <w:sz w:val="20"/>
          <w:szCs w:val="20"/>
        </w:rPr>
        <w:t xml:space="preserve"> (2023) </w:t>
      </w:r>
      <w:r w:rsidRPr="00972584">
        <w:rPr>
          <w:i/>
          <w:iCs/>
          <w:sz w:val="20"/>
          <w:szCs w:val="20"/>
        </w:rPr>
        <w:t>How did arsenal and Tottenham pay for their stadiums?</w:t>
      </w:r>
      <w:r w:rsidRPr="00972584">
        <w:rPr>
          <w:sz w:val="20"/>
          <w:szCs w:val="20"/>
        </w:rPr>
        <w:t xml:space="preserve">, </w:t>
      </w:r>
      <w:proofErr w:type="spellStart"/>
      <w:r w:rsidRPr="00972584">
        <w:rPr>
          <w:i/>
          <w:iCs/>
          <w:sz w:val="20"/>
          <w:szCs w:val="20"/>
        </w:rPr>
        <w:t>OneFootball</w:t>
      </w:r>
      <w:proofErr w:type="spellEnd"/>
      <w:r w:rsidRPr="00972584">
        <w:rPr>
          <w:sz w:val="20"/>
          <w:szCs w:val="20"/>
        </w:rPr>
        <w:t>. Available at: https://onefootball.com/en/news/how-did-arsenal-and-tottenham-pay-for-their-stadiums-36976061</w:t>
      </w:r>
      <w:r w:rsidR="00AD4E78">
        <w:rPr>
          <w:sz w:val="20"/>
          <w:szCs w:val="20"/>
        </w:rPr>
        <w:t>.</w:t>
      </w:r>
      <w:r w:rsidRPr="00972584">
        <w:rPr>
          <w:sz w:val="20"/>
          <w:szCs w:val="20"/>
        </w:rPr>
        <w:t xml:space="preserve"> </w:t>
      </w:r>
    </w:p>
    <w:p w14:paraId="771F7C92" w14:textId="48AA1DCA" w:rsidR="00B00321" w:rsidRPr="00972584" w:rsidRDefault="00B00321" w:rsidP="00B00321">
      <w:pPr>
        <w:pStyle w:val="NormalWeb"/>
        <w:spacing w:line="360" w:lineRule="auto"/>
        <w:ind w:left="426" w:hanging="426"/>
        <w:rPr>
          <w:sz w:val="20"/>
          <w:szCs w:val="20"/>
        </w:rPr>
      </w:pPr>
      <w:r w:rsidRPr="00972584">
        <w:rPr>
          <w:sz w:val="20"/>
          <w:szCs w:val="20"/>
        </w:rPr>
        <w:t xml:space="preserve">Ozanian, M. (2023) </w:t>
      </w:r>
      <w:r w:rsidRPr="00972584">
        <w:rPr>
          <w:i/>
          <w:iCs/>
          <w:sz w:val="20"/>
          <w:szCs w:val="20"/>
        </w:rPr>
        <w:t>Why the NFL could reap more than $126 billion in TV money by 2033</w:t>
      </w:r>
      <w:r w:rsidRPr="00972584">
        <w:rPr>
          <w:sz w:val="20"/>
          <w:szCs w:val="20"/>
        </w:rPr>
        <w:t xml:space="preserve">, </w:t>
      </w:r>
      <w:r w:rsidRPr="00972584">
        <w:rPr>
          <w:i/>
          <w:iCs/>
          <w:sz w:val="20"/>
          <w:szCs w:val="20"/>
        </w:rPr>
        <w:t>Forbes</w:t>
      </w:r>
      <w:r w:rsidRPr="00972584">
        <w:rPr>
          <w:sz w:val="20"/>
          <w:szCs w:val="20"/>
        </w:rPr>
        <w:t>. Available at: https://www.forbes.com/sites/mikeozanian/2023/08/30/why-the-nfl-could-reap-more-than-126-billion-in-tv-money-by-2033</w:t>
      </w:r>
      <w:r w:rsidR="00AD4E78">
        <w:rPr>
          <w:sz w:val="20"/>
          <w:szCs w:val="20"/>
        </w:rPr>
        <w:t>/.</w:t>
      </w:r>
      <w:r w:rsidRPr="00972584">
        <w:rPr>
          <w:sz w:val="20"/>
          <w:szCs w:val="20"/>
        </w:rPr>
        <w:t xml:space="preserve"> </w:t>
      </w:r>
    </w:p>
    <w:p w14:paraId="0DFAE0A8" w14:textId="50B847DF"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 xml:space="preserve">Planet Football (2019) “How much each Prem club will earn from shirt sponsorship in 2019–20”, available at: </w:t>
      </w:r>
      <w:hyperlink r:id="rId11" w:history="1">
        <w:r w:rsidRPr="00972584">
          <w:rPr>
            <w:rStyle w:val="Hyperlink"/>
            <w:rFonts w:ascii="Times New Roman" w:hAnsi="Times New Roman" w:cs="Times New Roman"/>
            <w:sz w:val="20"/>
            <w:szCs w:val="20"/>
          </w:rPr>
          <w:t>https://www.planetfootball.com/quick-reads/how-much-each-prem-club-will-earnfrom-shirt-sponsorship-in-2019-20/</w:t>
        </w:r>
      </w:hyperlink>
      <w:r w:rsidR="00AD4E78">
        <w:rPr>
          <w:rFonts w:ascii="Times New Roman" w:hAnsi="Times New Roman" w:cs="Times New Roman"/>
          <w:sz w:val="20"/>
          <w:szCs w:val="20"/>
        </w:rPr>
        <w:t>.</w:t>
      </w:r>
    </w:p>
    <w:p w14:paraId="6C894AFF" w14:textId="414597D0"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Plumley, D. &amp; Wilson, R. (2019) "Corporate ownership of sport" in </w:t>
      </w:r>
      <w:r w:rsidRPr="00972584">
        <w:rPr>
          <w:i/>
          <w:iCs/>
          <w:color w:val="000000"/>
          <w:sz w:val="20"/>
          <w:szCs w:val="20"/>
        </w:rPr>
        <w:t>Who Owns Sport?</w:t>
      </w:r>
      <w:r w:rsidRPr="00972584">
        <w:rPr>
          <w:color w:val="000000"/>
          <w:sz w:val="20"/>
          <w:szCs w:val="20"/>
        </w:rPr>
        <w:t> Routledge, , pp. 33-45.</w:t>
      </w:r>
    </w:p>
    <w:p w14:paraId="6A0EFACA" w14:textId="08A87050"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Premier League (2019</w:t>
      </w:r>
      <w:r w:rsidR="00AD4E78">
        <w:rPr>
          <w:rFonts w:ascii="Times New Roman" w:hAnsi="Times New Roman" w:cs="Times New Roman"/>
          <w:sz w:val="20"/>
          <w:szCs w:val="20"/>
        </w:rPr>
        <w:t>)</w:t>
      </w:r>
      <w:r w:rsidRPr="00972584">
        <w:rPr>
          <w:rFonts w:ascii="Times New Roman" w:hAnsi="Times New Roman" w:cs="Times New Roman"/>
          <w:sz w:val="20"/>
          <w:szCs w:val="20"/>
        </w:rPr>
        <w:t xml:space="preserve"> “Premier League value of central payments to clubs 2018/19”, available at: </w:t>
      </w:r>
      <w:hyperlink r:id="rId12" w:history="1">
        <w:r w:rsidRPr="00972584">
          <w:rPr>
            <w:rStyle w:val="Hyperlink"/>
            <w:rFonts w:ascii="Times New Roman" w:hAnsi="Times New Roman" w:cs="Times New Roman"/>
            <w:sz w:val="20"/>
            <w:szCs w:val="20"/>
          </w:rPr>
          <w:t>https://www.premierleague.com/news/1225126</w:t>
        </w:r>
      </w:hyperlink>
      <w:r w:rsidRPr="00972584">
        <w:rPr>
          <w:rFonts w:ascii="Times New Roman" w:hAnsi="Times New Roman" w:cs="Times New Roman"/>
          <w:sz w:val="20"/>
          <w:szCs w:val="20"/>
        </w:rPr>
        <w:t>.</w:t>
      </w:r>
    </w:p>
    <w:p w14:paraId="5BB815C9" w14:textId="40E9566C"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 xml:space="preserve">Premier League (2023) “Premier League completes sales process for UK live rights and free-to-air highlights”, available at: </w:t>
      </w:r>
      <w:hyperlink r:id="rId13" w:history="1">
        <w:r w:rsidRPr="00972584">
          <w:rPr>
            <w:rStyle w:val="Hyperlink"/>
            <w:rFonts w:ascii="Times New Roman" w:hAnsi="Times New Roman" w:cs="Times New Roman"/>
            <w:sz w:val="20"/>
            <w:szCs w:val="20"/>
          </w:rPr>
          <w:t>https://www.premierleague.com/news/3807882</w:t>
        </w:r>
      </w:hyperlink>
      <w:r w:rsidRPr="00972584">
        <w:rPr>
          <w:rFonts w:ascii="Times New Roman" w:hAnsi="Times New Roman" w:cs="Times New Roman"/>
          <w:sz w:val="20"/>
          <w:szCs w:val="20"/>
        </w:rPr>
        <w:t xml:space="preserve"> </w:t>
      </w:r>
    </w:p>
    <w:p w14:paraId="4028AA45" w14:textId="52A55143"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 xml:space="preserve">Premier League (2024) “Premier League broadcast deals for 2025-2028”, available at: </w:t>
      </w:r>
      <w:hyperlink r:id="rId14" w:history="1">
        <w:r w:rsidRPr="00972584">
          <w:rPr>
            <w:rStyle w:val="Hyperlink"/>
            <w:rFonts w:ascii="Times New Roman" w:hAnsi="Times New Roman" w:cs="Times New Roman"/>
            <w:sz w:val="20"/>
            <w:szCs w:val="20"/>
          </w:rPr>
          <w:t>https://www.premierleague.com/news/3703577</w:t>
        </w:r>
      </w:hyperlink>
      <w:r w:rsidRPr="00972584">
        <w:rPr>
          <w:rFonts w:ascii="Times New Roman" w:hAnsi="Times New Roman" w:cs="Times New Roman"/>
          <w:sz w:val="20"/>
          <w:szCs w:val="20"/>
        </w:rPr>
        <w:t xml:space="preserve"> </w:t>
      </w:r>
    </w:p>
    <w:p w14:paraId="7318E245" w14:textId="2B2B63FD"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 xml:space="preserve">Propheter, G. (2018) Estimating the effect of sports facilities on local area commercial rents: Evidence from Brooklyn’s Barclays </w:t>
      </w:r>
      <w:proofErr w:type="spellStart"/>
      <w:r w:rsidRPr="00972584">
        <w:rPr>
          <w:rFonts w:ascii="Times New Roman" w:hAnsi="Times New Roman" w:cs="Times New Roman"/>
          <w:sz w:val="20"/>
          <w:szCs w:val="20"/>
        </w:rPr>
        <w:t>Center</w:t>
      </w:r>
      <w:proofErr w:type="spellEnd"/>
      <w:r w:rsidRPr="00972584">
        <w:rPr>
          <w:rFonts w:ascii="Times New Roman" w:hAnsi="Times New Roman" w:cs="Times New Roman"/>
          <w:sz w:val="20"/>
          <w:szCs w:val="20"/>
        </w:rPr>
        <w:t>. Journal of Sports Economics.</w:t>
      </w:r>
    </w:p>
    <w:p w14:paraId="1CAD5CAA"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Quansah, T.K., Lang, M. &amp; Frick, B. "Racial bias in the stands? Investigating customer-based discrimination in European soccer", </w:t>
      </w:r>
      <w:r w:rsidRPr="00972584">
        <w:rPr>
          <w:i/>
          <w:iCs/>
          <w:color w:val="000000"/>
          <w:sz w:val="20"/>
          <w:szCs w:val="20"/>
        </w:rPr>
        <w:t>Applied Economics, </w:t>
      </w:r>
      <w:r w:rsidRPr="00972584">
        <w:rPr>
          <w:color w:val="000000"/>
          <w:sz w:val="20"/>
          <w:szCs w:val="20"/>
        </w:rPr>
        <w:t>, pp. 1-15.</w:t>
      </w:r>
    </w:p>
    <w:p w14:paraId="41C8B94E" w14:textId="3AA7A2EC"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Rosentraub</w:t>
      </w:r>
      <w:proofErr w:type="spellEnd"/>
      <w:r w:rsidRPr="00972584">
        <w:rPr>
          <w:rFonts w:ascii="Times New Roman" w:hAnsi="Times New Roman" w:cs="Times New Roman"/>
          <w:sz w:val="20"/>
          <w:szCs w:val="20"/>
        </w:rPr>
        <w:t>, M. S. (2014) Reversing urban decline: Why and how sports, entertainment, and culture turn cities into major league winners. Routledge.</w:t>
      </w:r>
    </w:p>
    <w:p w14:paraId="4C79AD1E" w14:textId="4C22128C"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Rosentraub</w:t>
      </w:r>
      <w:proofErr w:type="spellEnd"/>
      <w:r w:rsidRPr="00972584">
        <w:rPr>
          <w:rFonts w:ascii="Times New Roman" w:hAnsi="Times New Roman" w:cs="Times New Roman"/>
          <w:sz w:val="20"/>
          <w:szCs w:val="20"/>
        </w:rPr>
        <w:t xml:space="preserve">, M.S. (2010) Major League Winners: Using Sports and Cultural </w:t>
      </w:r>
      <w:proofErr w:type="spellStart"/>
      <w:r w:rsidRPr="00972584">
        <w:rPr>
          <w:rFonts w:ascii="Times New Roman" w:hAnsi="Times New Roman" w:cs="Times New Roman"/>
          <w:sz w:val="20"/>
          <w:szCs w:val="20"/>
        </w:rPr>
        <w:t>Centers</w:t>
      </w:r>
      <w:proofErr w:type="spellEnd"/>
      <w:r w:rsidRPr="00972584">
        <w:rPr>
          <w:rFonts w:ascii="Times New Roman" w:hAnsi="Times New Roman" w:cs="Times New Roman"/>
          <w:sz w:val="20"/>
          <w:szCs w:val="20"/>
        </w:rPr>
        <w:t xml:space="preserve"> as Tools for Economic Development, CRC Press, Boca Raton, FL.</w:t>
      </w:r>
    </w:p>
    <w:p w14:paraId="72F3322F" w14:textId="522E6464"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lastRenderedPageBreak/>
        <w:t>Scelles</w:t>
      </w:r>
      <w:proofErr w:type="spellEnd"/>
      <w:r w:rsidRPr="00972584">
        <w:rPr>
          <w:rFonts w:ascii="Times New Roman" w:hAnsi="Times New Roman" w:cs="Times New Roman"/>
          <w:sz w:val="20"/>
          <w:szCs w:val="20"/>
        </w:rPr>
        <w:t>, N. (2017) “Star quality and competitive balance? Television audience demand for English Premier League football reconsidered”, Applied Economics Letters, Vol. 24 No. 19, pp. 1399-1402.</w:t>
      </w:r>
    </w:p>
    <w:p w14:paraId="76D9308E"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 xml:space="preserve">Schneider, K. (2018) "Welcome to the </w:t>
      </w:r>
      <w:proofErr w:type="spellStart"/>
      <w:r w:rsidRPr="00972584">
        <w:rPr>
          <w:color w:val="000000"/>
          <w:sz w:val="20"/>
          <w:szCs w:val="20"/>
        </w:rPr>
        <w:t>neighborhood</w:t>
      </w:r>
      <w:proofErr w:type="spellEnd"/>
      <w:r w:rsidRPr="00972584">
        <w:rPr>
          <w:color w:val="000000"/>
          <w:sz w:val="20"/>
          <w:szCs w:val="20"/>
        </w:rPr>
        <w:t>: America’s sports stadiums are moving downtown", </w:t>
      </w:r>
      <w:r w:rsidRPr="00972584">
        <w:rPr>
          <w:i/>
          <w:iCs/>
          <w:color w:val="000000"/>
          <w:sz w:val="20"/>
          <w:szCs w:val="20"/>
        </w:rPr>
        <w:t>The New York Times, </w:t>
      </w:r>
      <w:r w:rsidRPr="00972584">
        <w:rPr>
          <w:color w:val="000000"/>
          <w:sz w:val="20"/>
          <w:szCs w:val="20"/>
        </w:rPr>
        <w:t>.</w:t>
      </w:r>
    </w:p>
    <w:p w14:paraId="05289E9E" w14:textId="7777777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Schreyer, D. &amp; Ansari, P. (2022) "Stadium Attendance Demand Research: A Scoping Review", </w:t>
      </w:r>
      <w:r w:rsidRPr="00972584">
        <w:rPr>
          <w:i/>
          <w:iCs/>
          <w:color w:val="000000"/>
          <w:sz w:val="20"/>
          <w:szCs w:val="20"/>
        </w:rPr>
        <w:t>Journal of Sports Economics, </w:t>
      </w:r>
      <w:r w:rsidRPr="00972584">
        <w:rPr>
          <w:color w:val="000000"/>
          <w:sz w:val="20"/>
          <w:szCs w:val="20"/>
        </w:rPr>
        <w:t>vol. 23, no. 6, pp. 749-788.</w:t>
      </w:r>
    </w:p>
    <w:p w14:paraId="0259BD96" w14:textId="58CE40DF"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Sloane, P. (1971) “The economics of professional football: the football club as a utility maximiser”, Scottish Journal of Political Economy, Vol. 17 No. 2, pp. 121-46.</w:t>
      </w:r>
    </w:p>
    <w:p w14:paraId="47CAE115" w14:textId="4FE993E1" w:rsidR="00B00321" w:rsidRPr="00972584" w:rsidRDefault="00B00321" w:rsidP="00B00321">
      <w:pPr>
        <w:pStyle w:val="NormalWeb"/>
        <w:spacing w:line="360" w:lineRule="auto"/>
        <w:ind w:left="426" w:hanging="426"/>
        <w:rPr>
          <w:sz w:val="20"/>
          <w:szCs w:val="20"/>
        </w:rPr>
      </w:pPr>
      <w:r w:rsidRPr="00972584">
        <w:rPr>
          <w:i/>
          <w:iCs/>
          <w:sz w:val="20"/>
          <w:szCs w:val="20"/>
        </w:rPr>
        <w:t>Sports</w:t>
      </w:r>
      <w:r w:rsidRPr="00972584">
        <w:rPr>
          <w:sz w:val="20"/>
          <w:szCs w:val="20"/>
        </w:rPr>
        <w:t xml:space="preserve"> (2024) </w:t>
      </w:r>
      <w:r w:rsidRPr="00972584">
        <w:rPr>
          <w:i/>
          <w:iCs/>
          <w:sz w:val="20"/>
          <w:szCs w:val="20"/>
        </w:rPr>
        <w:t>Vault</w:t>
      </w:r>
      <w:r w:rsidRPr="00972584">
        <w:rPr>
          <w:sz w:val="20"/>
          <w:szCs w:val="20"/>
        </w:rPr>
        <w:t>. Available at: https://vault.com/industries/sports/structure</w:t>
      </w:r>
      <w:r w:rsidR="00AD4E78">
        <w:rPr>
          <w:sz w:val="20"/>
          <w:szCs w:val="20"/>
        </w:rPr>
        <w:t>.</w:t>
      </w:r>
    </w:p>
    <w:p w14:paraId="4D29C84F" w14:textId="77777777" w:rsidR="00B00321" w:rsidRPr="00972584" w:rsidRDefault="00B00321" w:rsidP="00B00321">
      <w:pPr>
        <w:pStyle w:val="NormalWeb"/>
        <w:shd w:val="clear" w:color="auto" w:fill="FFFFFF"/>
        <w:spacing w:before="75" w:beforeAutospacing="0" w:after="75" w:afterAutospacing="0" w:line="360" w:lineRule="auto"/>
        <w:ind w:left="426" w:hanging="426"/>
        <w:rPr>
          <w:color w:val="555555"/>
          <w:sz w:val="20"/>
          <w:szCs w:val="20"/>
        </w:rPr>
      </w:pPr>
      <w:r w:rsidRPr="00972584">
        <w:rPr>
          <w:color w:val="555555"/>
          <w:sz w:val="20"/>
          <w:szCs w:val="20"/>
        </w:rPr>
        <w:t>Stadiums net a sporting chance. (2023) </w:t>
      </w:r>
      <w:r w:rsidRPr="00972584">
        <w:rPr>
          <w:i/>
          <w:iCs/>
          <w:color w:val="555555"/>
          <w:sz w:val="20"/>
          <w:szCs w:val="20"/>
        </w:rPr>
        <w:t>The Estates Gazette, </w:t>
      </w:r>
      <w:r w:rsidRPr="00972584">
        <w:rPr>
          <w:color w:val="555555"/>
          <w:sz w:val="20"/>
          <w:szCs w:val="20"/>
        </w:rPr>
        <w:t>, pp. 24-25.</w:t>
      </w:r>
    </w:p>
    <w:p w14:paraId="56F65BD6" w14:textId="4EDAF19C"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 xml:space="preserve">Sweney, M. (2021) “Premier League renews £4.8bn TV deal with extra £100m trickle-down funds”, available at: </w:t>
      </w:r>
      <w:hyperlink r:id="rId15" w:history="1">
        <w:r w:rsidRPr="00972584">
          <w:rPr>
            <w:rStyle w:val="Hyperlink"/>
            <w:rFonts w:ascii="Times New Roman" w:hAnsi="Times New Roman" w:cs="Times New Roman"/>
            <w:sz w:val="20"/>
            <w:szCs w:val="20"/>
          </w:rPr>
          <w:t>https://www.theguardian.com/</w:t>
        </w:r>
      </w:hyperlink>
      <w:r w:rsidRPr="00972584">
        <w:rPr>
          <w:rFonts w:ascii="Times New Roman" w:hAnsi="Times New Roman" w:cs="Times New Roman"/>
          <w:sz w:val="20"/>
          <w:szCs w:val="20"/>
        </w:rPr>
        <w:t>.</w:t>
      </w:r>
    </w:p>
    <w:p w14:paraId="442DF21D" w14:textId="77777777" w:rsidR="00B00321" w:rsidRPr="00972584" w:rsidRDefault="00B00321" w:rsidP="00B00321">
      <w:pPr>
        <w:pStyle w:val="NormalWeb"/>
        <w:shd w:val="clear" w:color="auto" w:fill="FFFFFF"/>
        <w:spacing w:before="240" w:beforeAutospacing="0" w:after="173" w:afterAutospacing="0" w:line="360" w:lineRule="auto"/>
        <w:ind w:left="426" w:hanging="426"/>
        <w:rPr>
          <w:color w:val="000000"/>
          <w:sz w:val="20"/>
          <w:szCs w:val="20"/>
        </w:rPr>
      </w:pPr>
      <w:r w:rsidRPr="00972584">
        <w:rPr>
          <w:color w:val="000000"/>
          <w:sz w:val="20"/>
          <w:szCs w:val="20"/>
        </w:rPr>
        <w:t>Szabó, D.Z. (2022) "The impact of differing audience sizes on referees and team performance from a North American perspective", </w:t>
      </w:r>
      <w:r w:rsidRPr="00972584">
        <w:rPr>
          <w:i/>
          <w:iCs/>
          <w:color w:val="000000"/>
          <w:sz w:val="20"/>
          <w:szCs w:val="20"/>
        </w:rPr>
        <w:t>Psychology of Sport and Exercise, </w:t>
      </w:r>
      <w:r w:rsidRPr="00972584">
        <w:rPr>
          <w:color w:val="000000"/>
          <w:sz w:val="20"/>
          <w:szCs w:val="20"/>
        </w:rPr>
        <w:t>vol. 60, pp. 102162.</w:t>
      </w:r>
    </w:p>
    <w:p w14:paraId="31AE266A" w14:textId="4073C377" w:rsidR="00B00321" w:rsidRPr="00972584" w:rsidRDefault="00B00321" w:rsidP="00B00321">
      <w:pPr>
        <w:spacing w:line="360" w:lineRule="auto"/>
        <w:ind w:left="426" w:hanging="426"/>
        <w:rPr>
          <w:rFonts w:ascii="Times New Roman" w:hAnsi="Times New Roman" w:cs="Times New Roman"/>
          <w:sz w:val="20"/>
          <w:szCs w:val="20"/>
        </w:rPr>
      </w:pPr>
      <w:r w:rsidRPr="00972584">
        <w:rPr>
          <w:rFonts w:ascii="Times New Roman" w:hAnsi="Times New Roman" w:cs="Times New Roman"/>
          <w:sz w:val="20"/>
          <w:szCs w:val="20"/>
        </w:rPr>
        <w:t>Szymanski, S. (2003) “The economic design of sporting contests”, Journal of Economic Literature, Vol. 41 No. 4, pp. 1137-87.</w:t>
      </w:r>
    </w:p>
    <w:p w14:paraId="01048F39" w14:textId="341E853F" w:rsidR="00B00321" w:rsidRPr="00972584" w:rsidRDefault="00B00321" w:rsidP="00B00321">
      <w:pPr>
        <w:spacing w:line="360" w:lineRule="auto"/>
        <w:ind w:left="426" w:hanging="426"/>
        <w:rPr>
          <w:rFonts w:ascii="Times New Roman" w:hAnsi="Times New Roman" w:cs="Times New Roman"/>
          <w:sz w:val="20"/>
          <w:szCs w:val="20"/>
        </w:rPr>
      </w:pPr>
      <w:proofErr w:type="spellStart"/>
      <w:r w:rsidRPr="00972584">
        <w:rPr>
          <w:rFonts w:ascii="Times New Roman" w:hAnsi="Times New Roman" w:cs="Times New Roman"/>
          <w:sz w:val="20"/>
          <w:szCs w:val="20"/>
        </w:rPr>
        <w:t>Vamplew</w:t>
      </w:r>
      <w:proofErr w:type="spellEnd"/>
      <w:r w:rsidRPr="00972584">
        <w:rPr>
          <w:rFonts w:ascii="Times New Roman" w:hAnsi="Times New Roman" w:cs="Times New Roman"/>
          <w:sz w:val="20"/>
          <w:szCs w:val="20"/>
        </w:rPr>
        <w:t>, W. (2017) “Creating the English Premier Football League: a brief economic history with some possible lessons for Asian soccer”, The International Journal of the History of Sport, Vol. 34 Nos 17-18, pp. 1807-1818.</w:t>
      </w:r>
    </w:p>
    <w:p w14:paraId="26F72199" w14:textId="681277B8" w:rsidR="00B00321" w:rsidRPr="00972584" w:rsidRDefault="00B00321" w:rsidP="00B00321">
      <w:pPr>
        <w:pStyle w:val="NormalWeb"/>
        <w:spacing w:line="360" w:lineRule="auto"/>
        <w:ind w:left="426" w:hanging="426"/>
        <w:rPr>
          <w:sz w:val="20"/>
          <w:szCs w:val="20"/>
        </w:rPr>
      </w:pPr>
      <w:r w:rsidRPr="00972584">
        <w:rPr>
          <w:sz w:val="20"/>
          <w:szCs w:val="20"/>
        </w:rPr>
        <w:t xml:space="preserve">Wembley Stadium (2024) </w:t>
      </w:r>
      <w:r w:rsidRPr="00972584">
        <w:rPr>
          <w:i/>
          <w:iCs/>
          <w:sz w:val="20"/>
          <w:szCs w:val="20"/>
        </w:rPr>
        <w:t>Stadium facts</w:t>
      </w:r>
      <w:r w:rsidRPr="00972584">
        <w:rPr>
          <w:sz w:val="20"/>
          <w:szCs w:val="20"/>
        </w:rPr>
        <w:t xml:space="preserve">, </w:t>
      </w:r>
      <w:r w:rsidRPr="00972584">
        <w:rPr>
          <w:i/>
          <w:iCs/>
          <w:sz w:val="20"/>
          <w:szCs w:val="20"/>
        </w:rPr>
        <w:t>www.wembleystadium.com</w:t>
      </w:r>
      <w:r w:rsidRPr="00972584">
        <w:rPr>
          <w:sz w:val="20"/>
          <w:szCs w:val="20"/>
        </w:rPr>
        <w:t xml:space="preserve">. Available at: https://www.wembleystadium.com/about/stadium-facts-and-features#:~:text=Wembley%20Stadium%20is%20the%20national,second%2Dlargest%20stadium%20in%20Europe. </w:t>
      </w:r>
    </w:p>
    <w:p w14:paraId="71D0C4A5" w14:textId="2787C069"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Weprin, A. (2023) "THE NFL'S EVERYWHERE ERA", </w:t>
      </w:r>
      <w:r w:rsidRPr="00972584">
        <w:rPr>
          <w:i/>
          <w:iCs/>
          <w:color w:val="000000"/>
          <w:sz w:val="20"/>
          <w:szCs w:val="20"/>
        </w:rPr>
        <w:t>Hollywood Reporter, </w:t>
      </w:r>
      <w:r w:rsidRPr="00972584">
        <w:rPr>
          <w:color w:val="000000"/>
          <w:sz w:val="20"/>
          <w:szCs w:val="20"/>
        </w:rPr>
        <w:t>vol. 429, pp. 26-31.</w:t>
      </w:r>
    </w:p>
    <w:p w14:paraId="7114E004" w14:textId="40709CEE" w:rsidR="00B00321" w:rsidRPr="00972584" w:rsidRDefault="00B00321" w:rsidP="00B00321">
      <w:pPr>
        <w:pStyle w:val="NormalWeb"/>
        <w:spacing w:line="360" w:lineRule="auto"/>
        <w:ind w:left="426" w:hanging="426"/>
        <w:rPr>
          <w:sz w:val="20"/>
          <w:szCs w:val="20"/>
        </w:rPr>
      </w:pPr>
      <w:r w:rsidRPr="00972584">
        <w:rPr>
          <w:sz w:val="20"/>
          <w:szCs w:val="20"/>
        </w:rPr>
        <w:t xml:space="preserve">Williams, M. (2023) </w:t>
      </w:r>
      <w:r w:rsidRPr="00972584">
        <w:rPr>
          <w:i/>
          <w:iCs/>
          <w:sz w:val="20"/>
          <w:szCs w:val="20"/>
        </w:rPr>
        <w:t>Eight of the world’s ten largest stadiums are for US college football - but the two biggest sports venues are outside America</w:t>
      </w:r>
      <w:r w:rsidRPr="00972584">
        <w:rPr>
          <w:sz w:val="20"/>
          <w:szCs w:val="20"/>
        </w:rPr>
        <w:t xml:space="preserve">, </w:t>
      </w:r>
      <w:r w:rsidRPr="00972584">
        <w:rPr>
          <w:i/>
          <w:iCs/>
          <w:sz w:val="20"/>
          <w:szCs w:val="20"/>
        </w:rPr>
        <w:t>Daily Mail Online</w:t>
      </w:r>
      <w:r w:rsidRPr="00972584">
        <w:rPr>
          <w:sz w:val="20"/>
          <w:szCs w:val="20"/>
        </w:rPr>
        <w:t>. Available at: https://www.dailymail.co.uk/news/article-12483393/ten-largest-stadiums-college-football.html</w:t>
      </w:r>
      <w:r w:rsidR="00AD4E78">
        <w:rPr>
          <w:sz w:val="20"/>
          <w:szCs w:val="20"/>
        </w:rPr>
        <w:t>.</w:t>
      </w:r>
    </w:p>
    <w:p w14:paraId="48E2FB9A" w14:textId="3B413D57"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Wilson, R., Plumley, D. &amp; Ramchandani, G. (2013) "The relationship between ownership structure and club performance in the English Premier League", </w:t>
      </w:r>
      <w:r w:rsidRPr="00972584">
        <w:rPr>
          <w:i/>
          <w:iCs/>
          <w:color w:val="000000"/>
          <w:sz w:val="20"/>
          <w:szCs w:val="20"/>
        </w:rPr>
        <w:t>International Journal, </w:t>
      </w:r>
      <w:r w:rsidRPr="00972584">
        <w:rPr>
          <w:color w:val="000000"/>
          <w:sz w:val="20"/>
          <w:szCs w:val="20"/>
        </w:rPr>
        <w:t>vol. 3, no. 1, pp. 19-36.</w:t>
      </w:r>
    </w:p>
    <w:p w14:paraId="46DB306A" w14:textId="50DAF524"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t xml:space="preserve">Winfree, J.A., </w:t>
      </w:r>
      <w:proofErr w:type="spellStart"/>
      <w:r w:rsidRPr="00972584">
        <w:rPr>
          <w:color w:val="000000"/>
          <w:sz w:val="20"/>
          <w:szCs w:val="20"/>
        </w:rPr>
        <w:t>Rosentraub</w:t>
      </w:r>
      <w:proofErr w:type="spellEnd"/>
      <w:r w:rsidRPr="00972584">
        <w:rPr>
          <w:color w:val="000000"/>
          <w:sz w:val="20"/>
          <w:szCs w:val="20"/>
        </w:rPr>
        <w:t xml:space="preserve">, M.S., Mills, B.M. &amp; </w:t>
      </w:r>
      <w:proofErr w:type="spellStart"/>
      <w:r w:rsidRPr="00972584">
        <w:rPr>
          <w:color w:val="000000"/>
          <w:sz w:val="20"/>
          <w:szCs w:val="20"/>
        </w:rPr>
        <w:t>Zondlak</w:t>
      </w:r>
      <w:proofErr w:type="spellEnd"/>
      <w:r w:rsidRPr="00972584">
        <w:rPr>
          <w:color w:val="000000"/>
          <w:sz w:val="20"/>
          <w:szCs w:val="20"/>
        </w:rPr>
        <w:t>, M.P. (2018) "Ownership and the Emergence of Team Sports" in </w:t>
      </w:r>
      <w:r w:rsidRPr="00972584">
        <w:rPr>
          <w:i/>
          <w:iCs/>
          <w:color w:val="000000"/>
          <w:sz w:val="20"/>
          <w:szCs w:val="20"/>
        </w:rPr>
        <w:t>Sports Finance and Management</w:t>
      </w:r>
      <w:r w:rsidRPr="00972584">
        <w:rPr>
          <w:color w:val="000000"/>
          <w:sz w:val="20"/>
          <w:szCs w:val="20"/>
        </w:rPr>
        <w:t> Taylor &amp; Francis, , pp. 35-71.</w:t>
      </w:r>
    </w:p>
    <w:p w14:paraId="61DD3ACE" w14:textId="7AFB4B4E" w:rsidR="00B00321" w:rsidRPr="00972584" w:rsidRDefault="00B00321" w:rsidP="00B00321">
      <w:pPr>
        <w:pStyle w:val="NormalWeb"/>
        <w:shd w:val="clear" w:color="auto" w:fill="FFFFFF"/>
        <w:spacing w:before="0" w:beforeAutospacing="0" w:after="173" w:afterAutospacing="0" w:line="360" w:lineRule="auto"/>
        <w:ind w:left="426" w:hanging="426"/>
        <w:rPr>
          <w:color w:val="000000"/>
          <w:sz w:val="20"/>
          <w:szCs w:val="20"/>
        </w:rPr>
      </w:pPr>
      <w:r w:rsidRPr="00972584">
        <w:rPr>
          <w:color w:val="000000"/>
          <w:sz w:val="20"/>
          <w:szCs w:val="20"/>
        </w:rPr>
        <w:lastRenderedPageBreak/>
        <w:t>Wynne, C. (2019) "Politics, policy and the ownership of sport", </w:t>
      </w:r>
      <w:r w:rsidRPr="00972584">
        <w:rPr>
          <w:i/>
          <w:iCs/>
          <w:color w:val="000000"/>
          <w:sz w:val="20"/>
          <w:szCs w:val="20"/>
        </w:rPr>
        <w:t>Who Owns Sport?, </w:t>
      </w:r>
      <w:r w:rsidRPr="00972584">
        <w:rPr>
          <w:color w:val="000000"/>
          <w:sz w:val="20"/>
          <w:szCs w:val="20"/>
        </w:rPr>
        <w:t>, pp. 59-69.</w:t>
      </w:r>
    </w:p>
    <w:p w14:paraId="55FA5247" w14:textId="77777777" w:rsidR="009F52D0" w:rsidRPr="009F52D0" w:rsidRDefault="009F52D0" w:rsidP="000E4CB2">
      <w:pPr>
        <w:spacing w:line="360" w:lineRule="auto"/>
        <w:rPr>
          <w:rFonts w:ascii="Times New Roman" w:hAnsi="Times New Roman" w:cs="Times New Roman"/>
          <w:b/>
          <w:bCs/>
          <w:sz w:val="24"/>
          <w:szCs w:val="24"/>
        </w:rPr>
      </w:pPr>
    </w:p>
    <w:p w14:paraId="6D079882" w14:textId="61D4BD93" w:rsidR="00094ACB" w:rsidRPr="000E4CB2" w:rsidRDefault="00094ACB" w:rsidP="000E4CB2">
      <w:pPr>
        <w:spacing w:line="360" w:lineRule="auto"/>
        <w:rPr>
          <w:rFonts w:ascii="Times New Roman" w:hAnsi="Times New Roman" w:cs="Times New Roman"/>
          <w:sz w:val="20"/>
          <w:szCs w:val="20"/>
        </w:rPr>
      </w:pPr>
    </w:p>
    <w:sectPr w:rsidR="00094ACB" w:rsidRPr="000E4CB2" w:rsidSect="00F06CF5">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F52E6" w14:textId="77777777" w:rsidR="00F06CF5" w:rsidRDefault="00F06CF5" w:rsidP="00D63743">
      <w:pPr>
        <w:spacing w:after="0" w:line="240" w:lineRule="auto"/>
      </w:pPr>
      <w:r>
        <w:separator/>
      </w:r>
    </w:p>
  </w:endnote>
  <w:endnote w:type="continuationSeparator" w:id="0">
    <w:p w14:paraId="7B08E15D" w14:textId="77777777" w:rsidR="00F06CF5" w:rsidRDefault="00F06CF5" w:rsidP="00D63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E122CF" w14:textId="77777777" w:rsidR="00F06CF5" w:rsidRDefault="00F06CF5" w:rsidP="00D63743">
      <w:pPr>
        <w:spacing w:after="0" w:line="240" w:lineRule="auto"/>
      </w:pPr>
      <w:r>
        <w:separator/>
      </w:r>
    </w:p>
  </w:footnote>
  <w:footnote w:type="continuationSeparator" w:id="0">
    <w:p w14:paraId="4BBF9445" w14:textId="77777777" w:rsidR="00F06CF5" w:rsidRDefault="00F06CF5" w:rsidP="00D637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6356085"/>
      <w:docPartObj>
        <w:docPartGallery w:val="Page Numbers (Top of Page)"/>
        <w:docPartUnique/>
      </w:docPartObj>
    </w:sdtPr>
    <w:sdtEndPr>
      <w:rPr>
        <w:noProof/>
      </w:rPr>
    </w:sdtEndPr>
    <w:sdtContent>
      <w:p w14:paraId="3A77E98C" w14:textId="42B2C997" w:rsidR="00D63743" w:rsidRDefault="00D6374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310431" w14:textId="77777777" w:rsidR="00D63743" w:rsidRDefault="00D637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496"/>
    <w:rsid w:val="00027819"/>
    <w:rsid w:val="000350D2"/>
    <w:rsid w:val="00072925"/>
    <w:rsid w:val="00086EBA"/>
    <w:rsid w:val="00094ACB"/>
    <w:rsid w:val="000A4118"/>
    <w:rsid w:val="000A49DB"/>
    <w:rsid w:val="000E4CB2"/>
    <w:rsid w:val="001134AD"/>
    <w:rsid w:val="00115646"/>
    <w:rsid w:val="00136699"/>
    <w:rsid w:val="001C7211"/>
    <w:rsid w:val="002571FB"/>
    <w:rsid w:val="00270C4E"/>
    <w:rsid w:val="00272C79"/>
    <w:rsid w:val="00275A22"/>
    <w:rsid w:val="002A2BF5"/>
    <w:rsid w:val="002A6261"/>
    <w:rsid w:val="002C7E84"/>
    <w:rsid w:val="002E037D"/>
    <w:rsid w:val="002E38DB"/>
    <w:rsid w:val="00395E1A"/>
    <w:rsid w:val="003963EF"/>
    <w:rsid w:val="003B4B3C"/>
    <w:rsid w:val="00486680"/>
    <w:rsid w:val="00514657"/>
    <w:rsid w:val="00542E44"/>
    <w:rsid w:val="00566DA5"/>
    <w:rsid w:val="00573985"/>
    <w:rsid w:val="00584AF7"/>
    <w:rsid w:val="005A0BEC"/>
    <w:rsid w:val="005C7E1C"/>
    <w:rsid w:val="00646FE4"/>
    <w:rsid w:val="006542BF"/>
    <w:rsid w:val="00662C42"/>
    <w:rsid w:val="006A3959"/>
    <w:rsid w:val="006B4336"/>
    <w:rsid w:val="006F79DE"/>
    <w:rsid w:val="00725493"/>
    <w:rsid w:val="007869B6"/>
    <w:rsid w:val="007D235C"/>
    <w:rsid w:val="007F10F6"/>
    <w:rsid w:val="007F6859"/>
    <w:rsid w:val="00834C73"/>
    <w:rsid w:val="00883680"/>
    <w:rsid w:val="008903B6"/>
    <w:rsid w:val="008D73C7"/>
    <w:rsid w:val="008E1268"/>
    <w:rsid w:val="008F1C06"/>
    <w:rsid w:val="0092593E"/>
    <w:rsid w:val="009262B2"/>
    <w:rsid w:val="009C5675"/>
    <w:rsid w:val="009F52D0"/>
    <w:rsid w:val="00A14E4F"/>
    <w:rsid w:val="00A52496"/>
    <w:rsid w:val="00A61C38"/>
    <w:rsid w:val="00A64FD3"/>
    <w:rsid w:val="00AD4926"/>
    <w:rsid w:val="00AD4E78"/>
    <w:rsid w:val="00AF6C0F"/>
    <w:rsid w:val="00B00321"/>
    <w:rsid w:val="00B00FE7"/>
    <w:rsid w:val="00B23E60"/>
    <w:rsid w:val="00B2558D"/>
    <w:rsid w:val="00B34EB2"/>
    <w:rsid w:val="00BB6274"/>
    <w:rsid w:val="00BF60DC"/>
    <w:rsid w:val="00C060DE"/>
    <w:rsid w:val="00C26578"/>
    <w:rsid w:val="00C6076D"/>
    <w:rsid w:val="00D2616F"/>
    <w:rsid w:val="00D34939"/>
    <w:rsid w:val="00D63743"/>
    <w:rsid w:val="00E26621"/>
    <w:rsid w:val="00E530DD"/>
    <w:rsid w:val="00E53381"/>
    <w:rsid w:val="00E62662"/>
    <w:rsid w:val="00E8632C"/>
    <w:rsid w:val="00EB0FBE"/>
    <w:rsid w:val="00EB71D2"/>
    <w:rsid w:val="00ED2508"/>
    <w:rsid w:val="00EF1C68"/>
    <w:rsid w:val="00F06CF5"/>
    <w:rsid w:val="00F70511"/>
    <w:rsid w:val="00FB2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AF423"/>
  <w15:chartTrackingRefBased/>
  <w15:docId w15:val="{58ADF335-33BE-4065-9DCB-0D29DECF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4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524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24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24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24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2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4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524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24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24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24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2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496"/>
    <w:rPr>
      <w:rFonts w:eastAsiaTheme="majorEastAsia" w:cstheme="majorBidi"/>
      <w:color w:val="272727" w:themeColor="text1" w:themeTint="D8"/>
    </w:rPr>
  </w:style>
  <w:style w:type="paragraph" w:styleId="Title">
    <w:name w:val="Title"/>
    <w:basedOn w:val="Normal"/>
    <w:next w:val="Normal"/>
    <w:link w:val="TitleChar"/>
    <w:uiPriority w:val="10"/>
    <w:qFormat/>
    <w:rsid w:val="00A52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496"/>
    <w:pPr>
      <w:spacing w:before="160"/>
      <w:jc w:val="center"/>
    </w:pPr>
    <w:rPr>
      <w:i/>
      <w:iCs/>
      <w:color w:val="404040" w:themeColor="text1" w:themeTint="BF"/>
    </w:rPr>
  </w:style>
  <w:style w:type="character" w:customStyle="1" w:styleId="QuoteChar">
    <w:name w:val="Quote Char"/>
    <w:basedOn w:val="DefaultParagraphFont"/>
    <w:link w:val="Quote"/>
    <w:uiPriority w:val="29"/>
    <w:rsid w:val="00A52496"/>
    <w:rPr>
      <w:i/>
      <w:iCs/>
      <w:color w:val="404040" w:themeColor="text1" w:themeTint="BF"/>
    </w:rPr>
  </w:style>
  <w:style w:type="paragraph" w:styleId="ListParagraph">
    <w:name w:val="List Paragraph"/>
    <w:basedOn w:val="Normal"/>
    <w:uiPriority w:val="34"/>
    <w:qFormat/>
    <w:rsid w:val="00A52496"/>
    <w:pPr>
      <w:ind w:left="720"/>
      <w:contextualSpacing/>
    </w:pPr>
  </w:style>
  <w:style w:type="character" w:styleId="IntenseEmphasis">
    <w:name w:val="Intense Emphasis"/>
    <w:basedOn w:val="DefaultParagraphFont"/>
    <w:uiPriority w:val="21"/>
    <w:qFormat/>
    <w:rsid w:val="00A52496"/>
    <w:rPr>
      <w:i/>
      <w:iCs/>
      <w:color w:val="2F5496" w:themeColor="accent1" w:themeShade="BF"/>
    </w:rPr>
  </w:style>
  <w:style w:type="paragraph" w:styleId="IntenseQuote">
    <w:name w:val="Intense Quote"/>
    <w:basedOn w:val="Normal"/>
    <w:next w:val="Normal"/>
    <w:link w:val="IntenseQuoteChar"/>
    <w:uiPriority w:val="30"/>
    <w:qFormat/>
    <w:rsid w:val="00A524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2496"/>
    <w:rPr>
      <w:i/>
      <w:iCs/>
      <w:color w:val="2F5496" w:themeColor="accent1" w:themeShade="BF"/>
    </w:rPr>
  </w:style>
  <w:style w:type="character" w:styleId="IntenseReference">
    <w:name w:val="Intense Reference"/>
    <w:basedOn w:val="DefaultParagraphFont"/>
    <w:uiPriority w:val="32"/>
    <w:qFormat/>
    <w:rsid w:val="00A52496"/>
    <w:rPr>
      <w:b/>
      <w:bCs/>
      <w:smallCaps/>
      <w:color w:val="2F5496" w:themeColor="accent1" w:themeShade="BF"/>
      <w:spacing w:val="5"/>
    </w:rPr>
  </w:style>
  <w:style w:type="paragraph" w:styleId="NoSpacing">
    <w:name w:val="No Spacing"/>
    <w:link w:val="NoSpacingChar"/>
    <w:uiPriority w:val="1"/>
    <w:qFormat/>
    <w:rsid w:val="00A524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2496"/>
    <w:rPr>
      <w:rFonts w:eastAsiaTheme="minorEastAsia"/>
      <w:lang w:val="en-US"/>
    </w:rPr>
  </w:style>
  <w:style w:type="paragraph" w:styleId="TOCHeading">
    <w:name w:val="TOC Heading"/>
    <w:basedOn w:val="Heading1"/>
    <w:next w:val="Normal"/>
    <w:uiPriority w:val="39"/>
    <w:unhideWhenUsed/>
    <w:qFormat/>
    <w:rsid w:val="00A52496"/>
    <w:pPr>
      <w:spacing w:before="240" w:after="0"/>
      <w:outlineLvl w:val="9"/>
    </w:pPr>
    <w:rPr>
      <w:sz w:val="32"/>
      <w:szCs w:val="32"/>
      <w:lang w:val="en-US"/>
    </w:rPr>
  </w:style>
  <w:style w:type="paragraph" w:styleId="TOC2">
    <w:name w:val="toc 2"/>
    <w:basedOn w:val="Normal"/>
    <w:next w:val="Normal"/>
    <w:autoRedefine/>
    <w:uiPriority w:val="39"/>
    <w:unhideWhenUsed/>
    <w:rsid w:val="00A5249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52496"/>
    <w:pPr>
      <w:spacing w:after="100"/>
    </w:pPr>
    <w:rPr>
      <w:rFonts w:eastAsiaTheme="minorEastAsia" w:cs="Times New Roman"/>
      <w:lang w:val="en-US"/>
    </w:rPr>
  </w:style>
  <w:style w:type="paragraph" w:styleId="TOC3">
    <w:name w:val="toc 3"/>
    <w:basedOn w:val="Normal"/>
    <w:next w:val="Normal"/>
    <w:autoRedefine/>
    <w:uiPriority w:val="39"/>
    <w:unhideWhenUsed/>
    <w:rsid w:val="000A4118"/>
    <w:pPr>
      <w:spacing w:after="100" w:line="360" w:lineRule="auto"/>
    </w:pPr>
    <w:rPr>
      <w:rFonts w:ascii="Times New Roman" w:eastAsiaTheme="minorEastAsia" w:hAnsi="Times New Roman" w:cs="Times New Roman"/>
      <w:sz w:val="32"/>
      <w:szCs w:val="32"/>
      <w:u w:val="single"/>
      <w:lang w:val="en-US"/>
    </w:rPr>
  </w:style>
  <w:style w:type="paragraph" w:styleId="Header">
    <w:name w:val="header"/>
    <w:basedOn w:val="Normal"/>
    <w:link w:val="HeaderChar"/>
    <w:uiPriority w:val="99"/>
    <w:unhideWhenUsed/>
    <w:rsid w:val="00D63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743"/>
  </w:style>
  <w:style w:type="paragraph" w:styleId="Footer">
    <w:name w:val="footer"/>
    <w:basedOn w:val="Normal"/>
    <w:link w:val="FooterChar"/>
    <w:uiPriority w:val="99"/>
    <w:unhideWhenUsed/>
    <w:rsid w:val="00D63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743"/>
  </w:style>
  <w:style w:type="paragraph" w:styleId="NormalWeb">
    <w:name w:val="Normal (Web)"/>
    <w:basedOn w:val="Normal"/>
    <w:uiPriority w:val="99"/>
    <w:semiHidden/>
    <w:unhideWhenUsed/>
    <w:rsid w:val="00B003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03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emierleague.com/news/380788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emierleague.com/news/12251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lanetfootball.com/quick-reads/how-much-each-prem-club-will-earnfrom-shirt-sponsorship-in-2019-20/" TargetMode="External"/><Relationship Id="rId5" Type="http://schemas.openxmlformats.org/officeDocument/2006/relationships/styles" Target="styles.xml"/><Relationship Id="rId15" Type="http://schemas.openxmlformats.org/officeDocument/2006/relationships/hyperlink" Target="https://www.theguardian.com/" TargetMode="External"/><Relationship Id="rId10" Type="http://schemas.openxmlformats.org/officeDocument/2006/relationships/hyperlink" Target="https://www.goal.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premierleague.com/news/3703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e3e85ff3b5bf49d8d3bfbc7d14974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dcbde5a675eacf9a3944792f0ae3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C9810A4D-7B6D-4A46-B148-0BFECC80EBD4}">
  <ds:schemaRefs>
    <ds:schemaRef ds:uri="http://schemas.openxmlformats.org/officeDocument/2006/bibliography"/>
  </ds:schemaRefs>
</ds:datastoreItem>
</file>

<file path=customXml/itemProps2.xml><?xml version="1.0" encoding="utf-8"?>
<ds:datastoreItem xmlns:ds="http://schemas.openxmlformats.org/officeDocument/2006/customXml" ds:itemID="{2794E6B3-8CE7-438A-8E2B-7CD3C594E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8F24F-53B6-4C3F-ADC7-F2FFD2AADD89}">
  <ds:schemaRefs>
    <ds:schemaRef ds:uri="http://schemas.microsoft.com/sharepoint/v3/contenttype/forms"/>
  </ds:schemaRefs>
</ds:datastoreItem>
</file>

<file path=customXml/itemProps4.xml><?xml version="1.0" encoding="utf-8"?>
<ds:datastoreItem xmlns:ds="http://schemas.openxmlformats.org/officeDocument/2006/customXml" ds:itemID="{F939A868-133F-49EF-9A56-5E239FA5F64C}">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4921</Words>
  <Characters>28584</Characters>
  <Application>Microsoft Office Word</Application>
  <DocSecurity>0</DocSecurity>
  <Lines>391</Lines>
  <Paragraphs>87</Paragraphs>
  <ScaleCrop>false</ScaleCrop>
  <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globalised sports environment</dc:title>
  <dc:subject/>
  <dc:creator>Ian Cockerham (2105630)</dc:creator>
  <cp:keywords/>
  <dc:description/>
  <cp:lastModifiedBy>Ian Cockerham (2105630)</cp:lastModifiedBy>
  <cp:revision>83</cp:revision>
  <dcterms:created xsi:type="dcterms:W3CDTF">2024-05-07T20:54:00Z</dcterms:created>
  <dcterms:modified xsi:type="dcterms:W3CDTF">2024-05-07T22:22:00Z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090e2620-4d8a-4af3-82e5-d4a7df3ce447</vt:lpwstr>
  </property>
  <property fmtid="{D5CDD505-2E9C-101B-9397-08002B2CF9AE}" pid="3" name="ContentTypeId">
    <vt:lpwstr>0x0101002F3C2EEDB3FECD489FE6CB8E237B85C0</vt:lpwstr>
  </property>
</Properties>
</file>