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118CB437" w14:textId="3E8A97A2" w:rsidR="006419C3" w:rsidRDefault="00B239D0" w:rsidP="00B239D0">
      <w:pPr>
        <w:pStyle w:val="AssignHeader"/>
      </w:pPr>
      <w:r w:rsidRPr="00B239D0">
        <w:t>Can different questioning techniques influence engagement?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4880AD9D" w:rsidR="00755E37" w:rsidRDefault="00755E37">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52D09352" w:rsidR="00755E37" w:rsidRDefault="00755E37">
            <w:pPr>
              <w:pStyle w:val="AssignBody"/>
            </w:pPr>
            <w:bookmarkStart w:id="0" w:name="cysill"/>
            <w:bookmarkEnd w:id="0"/>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1446E9D0" w:rsidR="00755E37" w:rsidRDefault="00735E9D">
            <w:pPr>
              <w:pStyle w:val="AssignBody"/>
            </w:pPr>
            <w:r w:rsidRPr="00735E9D">
              <w:t>Check for long run on sentences and capitalisation where necessary</w:t>
            </w:r>
            <w:r>
              <w:t>.</w:t>
            </w:r>
          </w:p>
        </w:tc>
        <w:tc>
          <w:tcPr>
            <w:tcW w:w="3647" w:type="dxa"/>
            <w:tcBorders>
              <w:top w:val="single" w:sz="4" w:space="0" w:color="auto"/>
              <w:left w:val="single" w:sz="4" w:space="0" w:color="auto"/>
              <w:bottom w:val="single" w:sz="4" w:space="0" w:color="auto"/>
              <w:right w:val="single" w:sz="4" w:space="0" w:color="auto"/>
            </w:tcBorders>
          </w:tcPr>
          <w:p w14:paraId="342A62A2" w14:textId="7C71DEFD" w:rsidR="00755E37" w:rsidRDefault="00E53526">
            <w:pPr>
              <w:pStyle w:val="AssignBody"/>
            </w:pPr>
            <w:r>
              <w:t>I have tried to shorten sentences where possible and checked capitalisation.</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260D770A" w:rsidR="00755E37" w:rsidRDefault="00755E37">
            <w:pPr>
              <w:pStyle w:val="AssignBody"/>
            </w:pPr>
            <w: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3D9D9ED3" w:rsidR="00755E37" w:rsidRDefault="00E53526">
            <w:pPr>
              <w:pStyle w:val="AssignBody"/>
            </w:pPr>
            <w:r w:rsidRPr="00E53526">
              <w:t>Try to develop synthesis of work of a number of authors to a greater extent.</w:t>
            </w:r>
          </w:p>
        </w:tc>
        <w:tc>
          <w:tcPr>
            <w:tcW w:w="3647" w:type="dxa"/>
            <w:tcBorders>
              <w:top w:val="single" w:sz="4" w:space="0" w:color="auto"/>
              <w:left w:val="single" w:sz="4" w:space="0" w:color="auto"/>
              <w:bottom w:val="single" w:sz="4" w:space="0" w:color="auto"/>
              <w:right w:val="single" w:sz="4" w:space="0" w:color="auto"/>
            </w:tcBorders>
          </w:tcPr>
          <w:p w14:paraId="0E186AA1" w14:textId="3C0AFB18" w:rsidR="00755E37" w:rsidRDefault="00793A37">
            <w:pPr>
              <w:pStyle w:val="AssignBody"/>
            </w:pPr>
            <w:r>
              <w:t>I have read more literature and have tried to back up points using multiple sources.</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26A533EC" w:rsidR="00755E37" w:rsidRDefault="00755E37">
            <w:pPr>
              <w:pStyle w:val="AssignBody"/>
            </w:pPr>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8E46D89" w14:textId="77777777" w:rsidR="00755E37" w:rsidRDefault="00755E37">
            <w:pPr>
              <w:pStyle w:val="AssignBody"/>
            </w:pPr>
          </w:p>
        </w:tc>
      </w:tr>
    </w:tbl>
    <w:p w14:paraId="33993C5B" w14:textId="108D2C8A" w:rsidR="00B239D0" w:rsidRDefault="00B239D0" w:rsidP="00E611D9">
      <w:pPr>
        <w:pStyle w:val="AssignBody"/>
        <w:rPr>
          <w:rFonts w:cs="Arial"/>
          <w:b/>
          <w:bCs/>
          <w:i/>
          <w:iCs/>
          <w:sz w:val="28"/>
          <w:szCs w:val="28"/>
        </w:rPr>
      </w:pPr>
    </w:p>
    <w:p w14:paraId="12F25EF6" w14:textId="046243D4" w:rsidR="00E31173" w:rsidRDefault="00E31173" w:rsidP="00E611D9">
      <w:pPr>
        <w:pStyle w:val="AssignBody"/>
        <w:rPr>
          <w:rFonts w:cs="Arial"/>
          <w:i/>
          <w:iCs/>
        </w:rPr>
      </w:pPr>
      <w:r w:rsidRPr="00E31173">
        <w:rPr>
          <w:rFonts w:cs="Arial"/>
          <w:i/>
          <w:iCs/>
        </w:rPr>
        <w:t>Word count: 55</w:t>
      </w:r>
      <w:r w:rsidR="004B5F0A">
        <w:rPr>
          <w:rFonts w:cs="Arial"/>
          <w:i/>
          <w:iCs/>
        </w:rPr>
        <w:t>28</w:t>
      </w:r>
    </w:p>
    <w:p w14:paraId="48D0DD81" w14:textId="08A1A681" w:rsidR="001C174C" w:rsidRPr="00E31173" w:rsidRDefault="001C174C" w:rsidP="00E611D9">
      <w:pPr>
        <w:pStyle w:val="AssignBody"/>
        <w:rPr>
          <w:rFonts w:cs="Arial"/>
          <w:i/>
          <w:iCs/>
        </w:rPr>
      </w:pPr>
      <w:r>
        <w:rPr>
          <w:rFonts w:cs="Arial"/>
          <w:i/>
          <w:iCs/>
        </w:rPr>
        <w:t>Student code: P129083</w:t>
      </w:r>
      <w:bookmarkStart w:id="1" w:name="_GoBack"/>
      <w:bookmarkEnd w:id="1"/>
    </w:p>
    <w:p w14:paraId="75191FD0" w14:textId="77777777" w:rsidR="00E31173" w:rsidRPr="00B239D0" w:rsidRDefault="00E31173" w:rsidP="00E611D9">
      <w:pPr>
        <w:pStyle w:val="AssignBody"/>
        <w:rPr>
          <w:rFonts w:cs="Arial"/>
          <w:b/>
          <w:bCs/>
          <w:i/>
          <w:iCs/>
          <w:sz w:val="28"/>
          <w:szCs w:val="28"/>
        </w:rPr>
      </w:pPr>
    </w:p>
    <w:p w14:paraId="566BACE2" w14:textId="2EF62C5C" w:rsidR="00B239D0" w:rsidRPr="00251B6F" w:rsidRDefault="00B239D0" w:rsidP="00251B6F">
      <w:pPr>
        <w:pStyle w:val="AssignBody"/>
        <w:ind w:firstLine="720"/>
      </w:pPr>
      <w:r w:rsidRPr="00B239D0">
        <w:t>Within my school, there is an issue with pupils not wanting to participate in lessons, especially to answer questions in front of others. As a group within the same placement school, we collectively decided to focus on improving pupils' confidence to answer in front of others, both when questions were aimed specifically at them and when they could choose to answer. By the end of the research project, we hope to have discovered how the types of questioning techniques that we used had influenced the engagement within the lesson, be it positively or negatively.</w:t>
      </w:r>
    </w:p>
    <w:p w14:paraId="7E7B5948" w14:textId="03277592" w:rsidR="00B239D0" w:rsidRPr="00251B6F" w:rsidRDefault="00B239D0" w:rsidP="00251B6F">
      <w:pPr>
        <w:pStyle w:val="AssignBody"/>
        <w:ind w:firstLine="720"/>
      </w:pPr>
      <w:r w:rsidRPr="00B239D0">
        <w:t>The research question we agreed on was "Can different questioning techniques influence engagement?"</w:t>
      </w:r>
      <w:r w:rsidR="00556DE5">
        <w:t xml:space="preserve">. </w:t>
      </w:r>
      <w:r w:rsidRPr="00B239D0">
        <w:t xml:space="preserve"> We would be using 9 different pupils to concentrate our investigation on within 3, </w:t>
      </w:r>
      <w:r w:rsidR="00190069" w:rsidRPr="00B239D0">
        <w:t>1-hour</w:t>
      </w:r>
      <w:r w:rsidRPr="00B239D0">
        <w:t xml:space="preserve"> lessons, one in ICT with a year 8 class, one in Religious Education with a year 7 class and one in English with the same year 7 class.  The year 8 ICT lesson was completed first, with the R.E. Lesson second and finally, the English lesson. Within the ICT lesson, the observers were situated at the front, all pupils were facing their computer screens at the back of the classroom for the majority of the lesson and one member of the pupils being observed had to leave the lesson before the end so the interview was conducted with the two remaining pupils. The observed pupils were placed evenly around the classroom. The R.E. Lesson was in a large classroom, with all pupils paired on tables and very spaced out. The observers were situated in the back right-hand corner of the </w:t>
      </w:r>
      <w:r w:rsidRPr="00B239D0">
        <w:lastRenderedPageBreak/>
        <w:t>classroom, behind the pupils. The observed pupils were situated on the left side of the classroom. In the English lesson, pupils were sat facing the front on long rows of table and sat very close together. The observers were situated in the centre at the back of the classroom, behind the pupils. The three pupils we were observing in this class were all sat on the same row, two at one end and one at the other end.</w:t>
      </w:r>
    </w:p>
    <w:p w14:paraId="57CF1520" w14:textId="6BB0AC6C" w:rsidR="00251B6F" w:rsidRDefault="00B239D0" w:rsidP="00251B6F">
      <w:pPr>
        <w:pStyle w:val="AssignBody"/>
        <w:ind w:firstLine="720"/>
      </w:pPr>
      <w:r>
        <w:t xml:space="preserve">To find out whether questioning can </w:t>
      </w:r>
      <w:r w:rsidR="00190069">
        <w:t>affect</w:t>
      </w:r>
      <w:r>
        <w:t xml:space="preserve"> engagement in the classroom, I </w:t>
      </w:r>
      <w:r w:rsidR="00454C84">
        <w:t>investigated</w:t>
      </w:r>
      <w:r>
        <w:t xml:space="preserve"> literature further. Doherty (2017) suggests that a main purpose of questioning is to engage pupils in the learning. (Caram and Davis, 2005) suggest that questioning has the potential to successfully engage students, however, this does depend on multiple factors to prove effective. Hannel (2009) agrees with Caram and Davis (2005), in that one way to improve engagement through questioning is to be persistent and pupils should not have the opportunity to 'opt out' of engaging in the lesson. Directing teacher-generated questions at </w:t>
      </w:r>
      <w:r w:rsidR="00190069">
        <w:t>students</w:t>
      </w:r>
      <w:r>
        <w:t xml:space="preserve"> without them putting their hands up to volunteer an answer may gain the attention of the pupil in question, as well as any pupils in close proximity (Caram and Davis, 2005). Although stopping the flow of pupil though, when questioned effectively, the pupil should not feel embarrassed to answer/to have answered and it should expand their thinking, not close it down (Amos, 2002). </w:t>
      </w:r>
    </w:p>
    <w:p w14:paraId="478A4446" w14:textId="77777777" w:rsidR="00974E42" w:rsidRDefault="00B239D0" w:rsidP="00251B6F">
      <w:pPr>
        <w:pStyle w:val="AssignBody"/>
        <w:ind w:firstLine="720"/>
      </w:pPr>
      <w:r>
        <w:t xml:space="preserve">There are both positives and negatives to many types of questions, for example, a closed question, a question that has a single, correct answer. These will often be used to measure recall of knowledge. These can also help to focus the thinking (Blosser, 1995). With closed questions, there are a limited number of correct answers and pupils are not given the opportunity to justify their answer and explain. Although, there are benefits to this as pupils can then link previous learned knowledge to a new problem, thus, building on their previous knowledge (Blosser,1995).  Closed questions seem to dominate the classroom (Boyd and Rubin, 2006).  Open questions give the pupils the opportunity to do their own thinking, to not aim for the "correct" answer and give a multiple word response (Wasik, 2013). This can also stimulate the thought in pupils around them, such as, if they do not agree with the statement that has been said, this can be turned into a class discussion that can add depth to the lesson (Blosser, 1995) (Caram and Davis, 2005).  Giving wait time once the open question has been asked may also reap different benefits.  Giving pupils a few seconds of thinking time can help them process the question and be more comfortable to give an answer once they have had time to think it through.  </w:t>
      </w:r>
    </w:p>
    <w:p w14:paraId="174DDC2C" w14:textId="793D80FC" w:rsidR="00B239D0" w:rsidRDefault="00B239D0" w:rsidP="00251B6F">
      <w:pPr>
        <w:pStyle w:val="AssignBody"/>
        <w:ind w:firstLine="720"/>
      </w:pPr>
      <w:r>
        <w:t xml:space="preserve">Over time, this also can encourage active listening in their peers, getting them used to waiting for the answer and not interrupting (Wasik, 2013). Rowe (1972) agrees with wait times having a positive effect on engagement in the classroom, as she found that the questions that the teacher asked were more likely to get responses and the responses were much more in depth and worthwhile.  The readings helped us refine what types of </w:t>
      </w:r>
      <w:r>
        <w:lastRenderedPageBreak/>
        <w:t xml:space="preserve">questioning techniques we wanted to use. We refrained from moving too in depth with higher order questioning and tried to use techniques which involved asking more pupils similar questions and trying to expand on the previous answer. </w:t>
      </w:r>
    </w:p>
    <w:p w14:paraId="210443E7" w14:textId="29904553" w:rsidR="00B239D0" w:rsidRDefault="00B239D0" w:rsidP="00251B6F">
      <w:pPr>
        <w:pStyle w:val="AssignBody"/>
        <w:ind w:firstLine="720"/>
      </w:pPr>
      <w:r>
        <w:t xml:space="preserve">Which brings me to the next questioning style we wanted to include, 'Pitch, Pause, Pounce, Bounce' or 'Pose, Pause, Pounce, Bounce'. With this questioning technique, the teacher will pose a question then pause for an answer. After a reasonable amount of wait time, the teacher will then select a pupil to answer the question. Once that pupil has given an answer, the idea will then be bounced around other students in the class without much teacher intervention to eventually end up with a well-rounded answer to the original question with lots of pupil input whilst also addressing differentiation in the classroom (Trythisteaching, 2013) (TeacherToolkit, 2013).  A downside to this technique is that it is very difficult for teachers to pause for a long enough amount of time for the child to think of a valuable answer (Sherrington and Stafford, 2018) (Wiliam, 2009).  If there is a lack of wait time after a question is asked and before a student is 'pounced on', there is a higher probability that the child will fail to respond, the pupils around will struggle to build upon the answer as well as they have not had time to process the question to give a well thought through answer that they are confident to provide in front of others (Tobin, 1987).  </w:t>
      </w:r>
    </w:p>
    <w:p w14:paraId="17D9D7D7" w14:textId="3E2DD92C" w:rsidR="00B239D0" w:rsidRPr="00B239D0" w:rsidRDefault="00B239D0" w:rsidP="00251B6F">
      <w:pPr>
        <w:pStyle w:val="AssignBody"/>
        <w:ind w:firstLine="720"/>
      </w:pPr>
      <w:r>
        <w:t xml:space="preserve">We will include direct questions that are addressed to other pupils in the classroom also as the sample pupils will be aware that they are the pupils being observed, but we don't want to put too much pressure on them by continuously only asking those three pupils questions. We also do not want to make the other pupils lose out on their educational experience within the lesson also as abiding by BERA (2018) </w:t>
      </w:r>
      <w:r w:rsidR="00C37E93">
        <w:t>guidelines</w:t>
      </w:r>
      <w:r>
        <w:t>, but there will be a small amount of questions directed only at the sample pupils. We will use questions addressed to all pupils to see if the sample pupils will participate without us directing the questions solely to them also.</w:t>
      </w:r>
    </w:p>
    <w:p w14:paraId="5CDC4FEC" w14:textId="31E45D2C" w:rsidR="00EC2E77" w:rsidRDefault="00B239D0" w:rsidP="00251B6F">
      <w:pPr>
        <w:pStyle w:val="AssignBody"/>
        <w:ind w:firstLine="720"/>
      </w:pPr>
      <w:r>
        <w:t>The methodology th</w:t>
      </w:r>
      <w:r w:rsidR="00966924">
        <w:t>at</w:t>
      </w:r>
      <w:r>
        <w:t xml:space="preserve"> is being used for this research is Lesson Study research. Lesson Studies are a form of action research that originated in Japan, often used to refine teaching and learning strategies used within the classroom.  Teachers can work together to observe, reflect and analyse findings that arise in a typical classroom setting (Dudley, 2014). A benefit of using a Lesson Study as opposed to any other methodology is because they can be completed within a normal teaching day without much interruption to the pupils involved or those around them (Dudley, 2014). Another benefit is that, as many changes will be more likely to occur over time rather than in one lesson, it is possible for the same teachers to observe the same children as the participants involved are all already in the establishment (Department For Education, 2009). It is important within a Lesson Study for the teachers involved to plan what will be featured in the lesson and what exactly each teacher is looking out for when they are making notes. Therefore, it is crucial that all </w:t>
      </w:r>
      <w:r>
        <w:lastRenderedPageBreak/>
        <w:t xml:space="preserve">members </w:t>
      </w:r>
      <w:r w:rsidR="0065458C">
        <w:t>collaborate,</w:t>
      </w:r>
      <w:r>
        <w:t xml:space="preserve"> so the outcomes are consistent (Groningen and Bennett, 2012). </w:t>
      </w:r>
      <w:r w:rsidRPr="00B239D0">
        <w:t>The sample of pupils chosen for the focus group were chosen based on previous engagement in lessons prior to the Lesson Study lesson. Within each class, there will be three pupils chosen. One that has been observed to have minimal engagement within previous lessons, one with a moderate amount of engagement within lessons and one that is usually highly engaged within the lesson. All pupils will be from Key Stage 3.</w:t>
      </w:r>
      <w:r>
        <w:t xml:space="preserve"> </w:t>
      </w:r>
      <w:r w:rsidRPr="00B239D0">
        <w:t xml:space="preserve">When collecting the data, there were two non-participant student teachers within the room making notes on a observation schedule.  </w:t>
      </w:r>
      <w:r>
        <w:t>There would then be a focus group of 3 pupils where a semi-structured interview would take place immediately after each Lesson Study.  Within the interview, there will be 5 semi-structured questions with supplemented prompts (see appendix</w:t>
      </w:r>
      <w:r w:rsidR="00C172CF">
        <w:t xml:space="preserve"> 4.a</w:t>
      </w:r>
      <w:r>
        <w:t>).  The student teachers not asking the questions will make notes as the pupils speak, making notes of seating positions as well as interactions between pupils.</w:t>
      </w:r>
    </w:p>
    <w:p w14:paraId="755290CA" w14:textId="77777777" w:rsidR="00162DD1" w:rsidRDefault="006428F6" w:rsidP="00251B6F">
      <w:pPr>
        <w:pStyle w:val="AssignBody"/>
        <w:ind w:firstLine="720"/>
      </w:pPr>
      <w:r w:rsidRPr="006428F6">
        <w:t xml:space="preserve"> </w:t>
      </w:r>
      <w:r>
        <w:t xml:space="preserve">As a group, the three student teachers would use a reflective form </w:t>
      </w:r>
      <w:r w:rsidR="00EC2E77">
        <w:t xml:space="preserve">(see Appendix </w:t>
      </w:r>
      <w:r w:rsidR="005039EB">
        <w:t xml:space="preserve">1.i, 2.g and 3.i) </w:t>
      </w:r>
      <w:r>
        <w:t xml:space="preserve">to reflect on the findings we had gathered throughout the process, discussing any similarities and differences of interpretation we may have had. Within our observations of both the lessons and the interviews, a holistic view of the pupil will be taken of each sample pupil. We would be making sure to note the </w:t>
      </w:r>
      <w:r w:rsidR="00FF19AF">
        <w:t>pupil’s</w:t>
      </w:r>
      <w:r>
        <w:t xml:space="preserve"> physical actions, their verbal and expressive behaviour and their spatial relations between each other and within the classroom (Smidt, 2015). It will be a non-participant observation. However, pupils will be aware before the lesson and during the lesson that there will be an extra two student teachers in the room. This may induce the Hawthorne Effect, that as the pupils are aware that they are being observed, they may alter their behaviour to the norm (Paradis, 2017).   Each sample pupil will be aware that they are a sample pupil also as we will introduce each pupil to each visiting student teacher so that </w:t>
      </w:r>
      <w:r w:rsidR="00FF19AF">
        <w:t>everyone</w:t>
      </w:r>
      <w:r>
        <w:t xml:space="preserve"> is aware of exactly who each pupil is before any notes or observations have been taken. </w:t>
      </w:r>
    </w:p>
    <w:p w14:paraId="675397CA" w14:textId="53C4095A" w:rsidR="00162DD1" w:rsidRDefault="006428F6" w:rsidP="00251B6F">
      <w:pPr>
        <w:pStyle w:val="AssignBody"/>
        <w:ind w:firstLine="720"/>
      </w:pPr>
      <w:r>
        <w:t>Each observation will be an hour long, which is the length of a normal lesson within the school.  We used an observation schedule that was based on Higgins' (2005) 'Systematic Observation of Individual Pupils', although we simplified the observation schedule to mainly include the 'on-task, off-task' sections. This style of observation schedule however turned out to be very difficult to use as there was no timescale. This may have been easier to establish at what times engagement was gained and lost if there was a time</w:t>
      </w:r>
      <w:r w:rsidR="00B50571">
        <w:t>line aspect within the observation schedule</w:t>
      </w:r>
      <w:r>
        <w:t xml:space="preserve">. There is less bias if the student teachers observing are making notes than having the teacher report at the end what was noticed. It is more likely that more accurate notes of each sample pupil will be taken if there are extra observers in the lesson as opposed to the main student teacher. However, as the visiting researchers do not teach these pupils in this lesson normally, they will not have any background knowledge of why the pupils may behave as they do or what their intentions are for each </w:t>
      </w:r>
      <w:r>
        <w:lastRenderedPageBreak/>
        <w:t>action as it may be different when they are in a different setting with a different teacher. We can overcome this issue by reflecting with the main teacher after the lesson to work out why this may be the case. It m</w:t>
      </w:r>
      <w:r w:rsidR="00C30FC4">
        <w:t>a</w:t>
      </w:r>
      <w:r>
        <w:t xml:space="preserve">y also be useful to provide the observers with context about the pupils and lessons before the Lesson Study takes place. Another disadvantage is that each student teacher may have a different interpretation of the behaviours seen and what may appear to be valuable to one researcher, may not to another. There are multiple ways that we have tried to overcome this problem. Firstly, as there will be two researchers observing as opposed to just one, the observers are able to compare notes and can </w:t>
      </w:r>
      <w:r w:rsidR="005D2BB8">
        <w:t>compare</w:t>
      </w:r>
      <w:r>
        <w:t xml:space="preserve"> and confirm what they saw. It is also important that all observers are clear of what qualifies as a 'valuable' action so all notation taken will be as specific as the next. </w:t>
      </w:r>
    </w:p>
    <w:p w14:paraId="5E41988B" w14:textId="16EEB7A1" w:rsidR="00B239D0" w:rsidRPr="00162DD1" w:rsidRDefault="006428F6" w:rsidP="00162DD1">
      <w:pPr>
        <w:pStyle w:val="AssignBody"/>
        <w:ind w:firstLine="720"/>
      </w:pPr>
      <w:r>
        <w:t xml:space="preserve">We wanted a qualitative style approach so we could capture the individual responses from pupils and although the questions were semi-structured, we wanted the possibility for pupils to expand so we included prompts to push their answers further for more detail (Cohen, Manion and Morrison, 2018). We researched multiple reflective styles such as Kolb (1975) (1984) and Gibbs (1988) who's work was influenced by Kolb to settle on a reflective cycle style of Kenneth Wolf (2002) </w:t>
      </w:r>
      <w:r w:rsidR="00C30FC4">
        <w:t>(s</w:t>
      </w:r>
      <w:r>
        <w:t>ee Appendix</w:t>
      </w:r>
      <w:r w:rsidR="00C861BE">
        <w:t xml:space="preserve"> 3.i)</w:t>
      </w:r>
      <w:r>
        <w:t>. With this technique, there is five simple steps to reflect that gives us the chance to dig deeper on what we found and then transform our future practice based on these findings in a structured manner.</w:t>
      </w:r>
    </w:p>
    <w:p w14:paraId="66EDA074" w14:textId="649BBBEB" w:rsidR="00B239D0" w:rsidRPr="00BD4857" w:rsidRDefault="006428F6" w:rsidP="00162DD1">
      <w:pPr>
        <w:pStyle w:val="AssignBody"/>
        <w:ind w:firstLine="720"/>
      </w:pPr>
      <w:r>
        <w:t>When participating in research within a classroom, there are ethics to consider which are clearly stated within the BERA Ethical Guidelines for Educational Research report (2018) as well as the University's Research Ethics and Integrity Code of Practice (2017).  These include making sure all participants (and their parents if participants are under 16) have given consent to be involved the research. We made sure this was the case by sending out consent forms to the parents of participating pupils that also included a letter that clearly outlined what would be involved and their right to withdraw at any stage.  We were also sure to store any information, such as the returned consent forms were stored in a safe and secure place as per BERA (2018) guidelines. An ethics form was submitted to an Ethics Committee, which was checked and approved before any research had taken place.</w:t>
      </w:r>
    </w:p>
    <w:p w14:paraId="3B44BE7D" w14:textId="4D278D58" w:rsidR="00B239D0" w:rsidRDefault="00B239D0" w:rsidP="00E611D9">
      <w:pPr>
        <w:pStyle w:val="AssignBody"/>
        <w:rPr>
          <w:rFonts w:cs="Arial"/>
          <w:b/>
          <w:bCs/>
          <w:i/>
          <w:iCs/>
          <w:sz w:val="28"/>
          <w:szCs w:val="28"/>
        </w:rPr>
      </w:pPr>
      <w:r>
        <w:rPr>
          <w:rFonts w:cs="Arial"/>
          <w:b/>
          <w:bCs/>
          <w:i/>
          <w:iCs/>
          <w:sz w:val="28"/>
          <w:szCs w:val="28"/>
        </w:rPr>
        <w:t>Lesson Study 1</w:t>
      </w:r>
    </w:p>
    <w:p w14:paraId="01664A88" w14:textId="7314D1C4" w:rsidR="006428F6" w:rsidRDefault="006428F6" w:rsidP="00162DD1">
      <w:pPr>
        <w:pStyle w:val="AssignBody"/>
        <w:ind w:firstLine="720"/>
      </w:pPr>
      <w:r w:rsidRPr="006428F6">
        <w:t>This lesson was an ICT lesson where engagement can prove more difficult to observe as the pupils were facing away at their computer screens. The observers were sat at the front facing the class as this was the best position to observe all three sample pupils who were evenly spaced around the outside of the classroom. Pupil 1 who was the sample pupil chosen as the least engaged began the lesson appearing very nervous (see Appendix</w:t>
      </w:r>
      <w:r w:rsidR="00BD59E2">
        <w:t xml:space="preserve"> 1.a and 1.b</w:t>
      </w:r>
      <w:r w:rsidRPr="006428F6">
        <w:t xml:space="preserve">) with her facial expressions and body language giving signs such as looking at the floor and pulling her sleeves over her hands (Morin, 2020). This pupil chose to watch her </w:t>
      </w:r>
      <w:r w:rsidRPr="006428F6">
        <w:lastRenderedPageBreak/>
        <w:t xml:space="preserve">own screen to see what was being shown on the large screen rather than watching the teacher on the board.  Depending on the style of question asked, the pupil's confidence in answering changed. Closed questions reaped a large gap before responding with a quiet voice. When the pupil could respond with her own opinion such as for an open question, she answered quicker but was still quiet and still appeared nervous. Pupil 1 was unable to attend the focus group interview as she had to leave class early. External circumstances may have affected this pupil's engagement more than usual, therefore, the validity of the responses </w:t>
      </w:r>
      <w:r w:rsidR="00C861BE" w:rsidRPr="006428F6">
        <w:t>is</w:t>
      </w:r>
      <w:r w:rsidRPr="006428F6">
        <w:t xml:space="preserve"> unreliable.</w:t>
      </w:r>
    </w:p>
    <w:p w14:paraId="4D91FE0B" w14:textId="24172587" w:rsidR="006428F6" w:rsidRDefault="006428F6" w:rsidP="00162DD1">
      <w:pPr>
        <w:pStyle w:val="AssignBody"/>
        <w:ind w:firstLine="720"/>
      </w:pPr>
      <w:r w:rsidRPr="006428F6">
        <w:t>Pupil 2 was the pupil that is usually highly engaged in the lesson. She continuously made eye-contact throughout the lesson with the teacher and always put her hand up to answer every question (see Appendix</w:t>
      </w:r>
      <w:r w:rsidR="000F6FFB">
        <w:t xml:space="preserve"> 1.c and 1.d</w:t>
      </w:r>
      <w:r w:rsidRPr="006428F6">
        <w:t>). Although confident to answer the questions, her responses were very quiet and hard to hear although very detailed. This pupil preferred being asked questions when you can agree with others as her peers often make fun of her when she gets a question correct when asked directly (see Appendix</w:t>
      </w:r>
      <w:r w:rsidR="000F6FFB">
        <w:t xml:space="preserve"> 1.</w:t>
      </w:r>
      <w:r w:rsidR="0026753B">
        <w:t>g</w:t>
      </w:r>
      <w:r w:rsidR="00750A89">
        <w:t xml:space="preserve"> and 1.h</w:t>
      </w:r>
      <w:r w:rsidRPr="006428F6">
        <w:t>). This contradicts most of the research I have found so far as most discuss pupils being embarrassed to get questions wrong in front of their peers. Although, in this classroom environment, it appears to be the opposite and pupils are put off from getting the answer correct in fear of being bullied. This peer pressure can influence the behaviour and engagement from pupils in the classroom (Tarshis, 2010).</w:t>
      </w:r>
    </w:p>
    <w:p w14:paraId="7A87AE90" w14:textId="27AFD04D" w:rsidR="006428F6" w:rsidRPr="006428F6" w:rsidRDefault="006428F6" w:rsidP="00162DD1">
      <w:pPr>
        <w:pStyle w:val="AssignBody"/>
        <w:ind w:firstLine="720"/>
      </w:pPr>
      <w:r w:rsidRPr="006428F6">
        <w:t xml:space="preserve">Pupil 3 began the lesson by not being very engaged in the lesson as she had her back turned away from the teacher. This pupil </w:t>
      </w:r>
      <w:r w:rsidR="00362F5D" w:rsidRPr="006428F6">
        <w:t>remained</w:t>
      </w:r>
      <w:r w:rsidRPr="006428F6">
        <w:t xml:space="preserve"> facing away from the teacher when she responded to some questions also (see Appendix </w:t>
      </w:r>
      <w:r w:rsidR="0026753B">
        <w:t>1.e and 1.f</w:t>
      </w:r>
      <w:r w:rsidRPr="006428F6">
        <w:t>). The pupil became more engaged once the teacher used her work as an example on the board and other pupils were discussing it with bounced questions. This pupil's increase of engagement seemed to stem from the praise she received by having her work used as an example of 'What a good one looks like' or 'WAGOLL' (Sherrington, 2013). This pupil did not enjoy being asked questions directly (see Appendix</w:t>
      </w:r>
      <w:r w:rsidR="0026753B">
        <w:t xml:space="preserve"> 1.</w:t>
      </w:r>
      <w:r w:rsidR="00750A89">
        <w:t>g and 1.h</w:t>
      </w:r>
      <w:r w:rsidRPr="006428F6">
        <w:t xml:space="preserve">) although, as it was her work they were discussing, she did find the questions easier to respond to than a </w:t>
      </w:r>
      <w:r w:rsidR="00750A89" w:rsidRPr="006428F6">
        <w:t>straightforward</w:t>
      </w:r>
      <w:r w:rsidRPr="006428F6">
        <w:t>, closed question.</w:t>
      </w:r>
    </w:p>
    <w:p w14:paraId="00E07B58" w14:textId="2E777D76" w:rsidR="00B239D0" w:rsidRDefault="00B239D0" w:rsidP="00E611D9">
      <w:pPr>
        <w:pStyle w:val="AssignBody"/>
        <w:rPr>
          <w:rFonts w:cs="Arial"/>
          <w:b/>
          <w:bCs/>
          <w:i/>
          <w:iCs/>
          <w:sz w:val="28"/>
          <w:szCs w:val="28"/>
        </w:rPr>
      </w:pPr>
      <w:r>
        <w:rPr>
          <w:rFonts w:cs="Arial"/>
          <w:b/>
          <w:bCs/>
          <w:i/>
          <w:iCs/>
          <w:sz w:val="28"/>
          <w:szCs w:val="28"/>
        </w:rPr>
        <w:t>Lesson Study 2</w:t>
      </w:r>
    </w:p>
    <w:p w14:paraId="3914E51E" w14:textId="2EBFBAC8" w:rsidR="006428F6" w:rsidRDefault="006428F6" w:rsidP="00162DD1">
      <w:pPr>
        <w:pStyle w:val="AssignBody"/>
        <w:ind w:firstLine="720"/>
      </w:pPr>
      <w:r w:rsidRPr="006428F6">
        <w:t>This lesson was Religious Education with a Year 7 class. Within this lesson, the classroom was very large, with pupils sitting in pairs. Before Pupil 1 had been asked any questions, the pupil was talking to her friend and playing with pens (See Appendix</w:t>
      </w:r>
      <w:r w:rsidR="00750A89">
        <w:t xml:space="preserve"> 2.a</w:t>
      </w:r>
      <w:r w:rsidRPr="006428F6">
        <w:t xml:space="preserve">). The pupil was not very engaged in the lesson as they were fidgeting. Vincent Iannelli (2020) suggests that it is often beneficial for the teacher to ignore some fidgeting as long as it is not disrupting the rest of the class as it can often harm the self-esteem of the pupil being told off for it, then cause the pupil anxiety which in result, causes them to fidget more. However, if it </w:t>
      </w:r>
      <w:r w:rsidRPr="006428F6">
        <w:lastRenderedPageBreak/>
        <w:t xml:space="preserve">does become an issue, a more acceptable way of dealing with this is to offer praise and attention to the pupil when they stop fidgeting. As Doherty (2017) mentions, the act of questioning in the classroom should help increase engagement within the lesson and thus reducing the fidgeting. When the pupil was asked an open question, she was unsure of the answer and she was hesitant to elaborate on what she thought could be the answer (See Appendix </w:t>
      </w:r>
      <w:r w:rsidR="00494324">
        <w:t>2.a</w:t>
      </w:r>
      <w:r w:rsidRPr="006428F6">
        <w:t>). Regardless of the style of question asked, Pupil 1 showed many avoidance techniques such as failing to make eye contact and lowering her head and body into the desk which can suggest that the pupil is unprepared for the question (Goman, 2019). However, there is also a suggestion that when pupils evade eye contact, they are considering their response and are more likely to give the correct answer than a pupil maintaining eye-contact (Psychologist World, 2020). It has been suggested that training pupils to avert their gaze to think their responses through would be a useful step forward to help improve the value of answers within a lesson (Jarrett, 2016). Within the interview, Pupil 1 preferred to stand on the end, her proximity to the researchers more distant than the others which can suggest that the pupil will still feeling uncomfortable talking in front of both her peers and o</w:t>
      </w:r>
      <w:r w:rsidR="00494324">
        <w:t>bservers</w:t>
      </w:r>
      <w:r w:rsidRPr="006428F6">
        <w:t xml:space="preserve"> (Gans, 2019).  Pupil 1 preferred it when the teacher bounced the questions around to other pupils as she doesn't like answering in front of others</w:t>
      </w:r>
      <w:r w:rsidR="00537C6C">
        <w:t>.</w:t>
      </w:r>
      <w:r w:rsidRPr="006428F6">
        <w:t xml:space="preserve"> </w:t>
      </w:r>
      <w:r w:rsidR="00537C6C">
        <w:t>S</w:t>
      </w:r>
      <w:r w:rsidRPr="006428F6">
        <w:t xml:space="preserve">he felt that with this style of questioning, she wouldn't have to answer a whole answer </w:t>
      </w:r>
      <w:r w:rsidR="00537C6C" w:rsidRPr="006428F6">
        <w:t>herself,</w:t>
      </w:r>
      <w:r w:rsidRPr="006428F6">
        <w:t xml:space="preserve"> so it made her feel more comfortable (See Appendix </w:t>
      </w:r>
      <w:r w:rsidR="00A02712">
        <w:t>2.f</w:t>
      </w:r>
      <w:r w:rsidRPr="006428F6">
        <w:t>)</w:t>
      </w:r>
      <w:r w:rsidR="00537C6C">
        <w:t>.</w:t>
      </w:r>
      <w:r w:rsidRPr="006428F6">
        <w:t xml:space="preserve"> </w:t>
      </w:r>
      <w:r w:rsidR="00537C6C">
        <w:t>This</w:t>
      </w:r>
      <w:r w:rsidRPr="006428F6">
        <w:t xml:space="preserve"> is backed up by Sherrington and Stafford (2018) as the pupils can listen to </w:t>
      </w:r>
      <w:r w:rsidR="00A02712" w:rsidRPr="006428F6">
        <w:t>each other’s</w:t>
      </w:r>
      <w:r w:rsidRPr="006428F6">
        <w:t xml:space="preserve"> answer, have time to think about their own answer and build on the previous on</w:t>
      </w:r>
      <w:r w:rsidR="00A16BD6">
        <w:t>e</w:t>
      </w:r>
      <w:r w:rsidRPr="006428F6">
        <w:t xml:space="preserve"> and grow in confidence.</w:t>
      </w:r>
    </w:p>
    <w:p w14:paraId="6A4F4A1E" w14:textId="3A7E334D" w:rsidR="006428F6" w:rsidRDefault="006428F6" w:rsidP="00162DD1">
      <w:pPr>
        <w:pStyle w:val="AssignBody"/>
        <w:ind w:firstLine="720"/>
      </w:pPr>
      <w:r w:rsidRPr="006428F6">
        <w:t xml:space="preserve">Pupil 2 began the lesson distracted (See Appendix </w:t>
      </w:r>
      <w:r w:rsidR="00A02712">
        <w:t>2.b and 2.c</w:t>
      </w:r>
      <w:r w:rsidRPr="006428F6">
        <w:t>) as he was talking, however, as soon as any questions were asked, Pupil 2 was immediately engaged as he was shouting out the answer to the question whilst holding his hand up. Whenever Pupil 2 was asked a question, regardless of the style of question, he gave multiple answers. This suggests that the pupil felt safe in his environment to answer without worrying whether his answer is right or wrong (Tofade, Elsner and Haines, 2013). Pupil 2 always appeared very excited to answer a question but when he was incorrect, he listened to other pupil answers then tried to shout out another answer that built on the previous pupil response. Pupil 2 confirmed this was the case as he said he preferred bounced questions as the other answers helped him understand what was being asked when he wasn't sure (see Appendix</w:t>
      </w:r>
      <w:r w:rsidR="0036626C">
        <w:t xml:space="preserve"> 2.f</w:t>
      </w:r>
      <w:r w:rsidRPr="006428F6">
        <w:t>). This is again supported by Tofade, Elsner and Haines (2013) as when Pupil 2 was unsure, he did not initiate the answer, but as he has had positive re-enforcement from the teacher when he previously tried to answer, he still maintained positive behaviours such as eye-contact, nodding and asking further questions about the topic.</w:t>
      </w:r>
    </w:p>
    <w:p w14:paraId="25F72B32" w14:textId="474D6859" w:rsidR="006428F6" w:rsidRPr="006428F6" w:rsidRDefault="006428F6" w:rsidP="006A6BF0">
      <w:pPr>
        <w:pStyle w:val="AssignBody"/>
        <w:ind w:firstLine="720"/>
      </w:pPr>
      <w:r w:rsidRPr="006428F6">
        <w:t xml:space="preserve">Pupil 3 was very quiet and focused at the start of the lesson, listening intently to the what the teacher was explaining. It was clear that she was engaged in the lesson as she </w:t>
      </w:r>
      <w:r w:rsidRPr="006428F6">
        <w:lastRenderedPageBreak/>
        <w:t xml:space="preserve">was paying attention, taking notes throughout and reacting to what was being said by the teacher (Johnson, 2012).  Pupil 3 responded to all questions with full answers and continued to show positive behaviours towards the lesson (see Appendix </w:t>
      </w:r>
      <w:r w:rsidR="00253A5B">
        <w:t>2.d and 2.e</w:t>
      </w:r>
      <w:r w:rsidRPr="006428F6">
        <w:t xml:space="preserve">) such as putting her hand up to answer all questions, eye-contact with the teacher and paying attention (Tofade, Elsner and Haines, 2013). Before she answered the bounced question, she checked her notes to make sure she gave the correct answer. The answer she gave was incorrect and the pupil appeared disheartened as she sank down in her chair and looked down (Goman, 2019) although she was still engaged in what the teacher was saying as she continued to respond when asked a question. Pupil 3's responses for the interview questions were very short and lacked depth which </w:t>
      </w:r>
      <w:r w:rsidR="00476F75" w:rsidRPr="006428F6">
        <w:t>contrasts with</w:t>
      </w:r>
      <w:r w:rsidRPr="006428F6">
        <w:t xml:space="preserve"> her answers during the lesson (see Appendix</w:t>
      </w:r>
      <w:r w:rsidR="00253A5B">
        <w:t xml:space="preserve"> 2.f</w:t>
      </w:r>
      <w:r w:rsidRPr="006428F6">
        <w:t>).  She didn't feel like she didn't want to partake at any point in the lesson. She likes it when questions are asked directly to pupils and when they are asked to everyone. She also felt comfortable answering questions in front of her class which suggests a safe atmosphere for the pupils to answer questions (Tofade, Elsner and Haines, 2013).</w:t>
      </w:r>
    </w:p>
    <w:p w14:paraId="2D393CD7" w14:textId="22A07550" w:rsidR="00B239D0" w:rsidRDefault="00B239D0" w:rsidP="00E611D9">
      <w:pPr>
        <w:pStyle w:val="AssignBody"/>
        <w:rPr>
          <w:rFonts w:cs="Arial"/>
          <w:b/>
          <w:bCs/>
          <w:i/>
          <w:iCs/>
          <w:sz w:val="28"/>
          <w:szCs w:val="28"/>
        </w:rPr>
      </w:pPr>
      <w:r>
        <w:rPr>
          <w:rFonts w:cs="Arial"/>
          <w:b/>
          <w:bCs/>
          <w:i/>
          <w:iCs/>
          <w:sz w:val="28"/>
          <w:szCs w:val="28"/>
        </w:rPr>
        <w:t>Lesson Study 3</w:t>
      </w:r>
    </w:p>
    <w:p w14:paraId="00C14F4A" w14:textId="60E0AAFB" w:rsidR="006428F6" w:rsidRDefault="006428F6" w:rsidP="006A6BF0">
      <w:pPr>
        <w:pStyle w:val="AssignBody"/>
        <w:ind w:firstLine="720"/>
      </w:pPr>
      <w:r w:rsidRPr="006428F6">
        <w:t xml:space="preserve">Lesson Study 3 was a Year 7 English Lesson where pupils were sat in rows very close together. All sample pupils were sat in the second row. Pupil 1 began the lesson by silently watching the teacher, although immediately looked away from the teacher as soon as she began asking questions which can suggest traits such as shyness, anxiety and uncertainty (Larsen and Shackelford, 1996). When Pupil 1 was directly asked a question, she refused to give an answer (see Appendix </w:t>
      </w:r>
      <w:r w:rsidR="006B3265">
        <w:t>3.a</w:t>
      </w:r>
      <w:r w:rsidRPr="006428F6">
        <w:t>). The teacher could have given the pupil wait time (Wiliam, 2009) or could have re-phrased the question (Corrigan, 2015), however, instead, the teacher chose to bounce the question to other pupils around the classroom, before returning to Pupil 1 to answer the same question again (Sherrington and Stafford, 2018), to which this time, she did respond with the correct answer.  In the interview, Pupil 1 didn't seem aware that she appeared to avoid being asked a question or refused to answer as she said that she didn't at any point feel that she didn't want to respond (see Appendix</w:t>
      </w:r>
      <w:r w:rsidR="006B3265">
        <w:t xml:space="preserve"> 3.g and 3.h</w:t>
      </w:r>
      <w:r w:rsidRPr="006428F6">
        <w:t xml:space="preserve">), although her refusal to even try to answer the question initially suggested otherwise (Larsen and Shackleford, 1996).  She </w:t>
      </w:r>
      <w:r w:rsidR="006B3265" w:rsidRPr="006428F6">
        <w:t>did,</w:t>
      </w:r>
      <w:r w:rsidRPr="006428F6">
        <w:t xml:space="preserve"> however, say that it is embarrassing if you don't know the answer so this could have impacted her wanting to respond to the original question when she was unsure of the answer (Tofade, Elsner and Haines, 2013).</w:t>
      </w:r>
    </w:p>
    <w:p w14:paraId="194562F2" w14:textId="7BB9DD3E" w:rsidR="006428F6" w:rsidRDefault="006428F6" w:rsidP="006A6BF0">
      <w:pPr>
        <w:pStyle w:val="AssignBody"/>
        <w:ind w:firstLine="720"/>
      </w:pPr>
      <w:r w:rsidRPr="006428F6">
        <w:t xml:space="preserve">Pupil 2 did put his hand up to answer questions right from the start of the lesson. Pupils in all lessons still like to put their hands up to questions even though all three student teachers have tried to implement the environment to not put hands </w:t>
      </w:r>
      <w:r w:rsidR="00306E2C" w:rsidRPr="006428F6">
        <w:t>up,</w:t>
      </w:r>
      <w:r w:rsidRPr="006428F6">
        <w:t xml:space="preserve"> so any pupil has the chance to be selected to answer (Wiliam, 2015). This pupil did suggest that even though he puts his hand up to answer questions, he likes it when the teacher picks on pupils who are </w:t>
      </w:r>
      <w:r w:rsidRPr="006428F6">
        <w:lastRenderedPageBreak/>
        <w:t xml:space="preserve">not paying attention to answer the questions as this makes sure everyone is paying attention. This type of questioning makes him concentrate but he would like to be warned that there is a chance for anyone to be picked on so he can prepare his answer (see Appendix </w:t>
      </w:r>
      <w:r w:rsidR="00306E2C">
        <w:t>3.c and 3.d</w:t>
      </w:r>
      <w:r w:rsidRPr="006428F6">
        <w:t xml:space="preserve">). This supports the literature by Caram and Davies (2005), whereby, the pupil selected, as well as the pupils </w:t>
      </w:r>
      <w:r w:rsidR="003449F4" w:rsidRPr="006428F6">
        <w:t>near</w:t>
      </w:r>
      <w:r w:rsidRPr="006428F6">
        <w:t xml:space="preserve"> them are shocked into paying attention as they were not expecting to be asked the answer and now lack preparedness. This in turn, can bring disengaged pupils back into the lesson and help them to re-gain their concentration on the topic ready for the next question.</w:t>
      </w:r>
    </w:p>
    <w:p w14:paraId="022261CC" w14:textId="44E596F9" w:rsidR="006428F6" w:rsidRPr="006428F6" w:rsidRDefault="006428F6" w:rsidP="006A6BF0">
      <w:pPr>
        <w:pStyle w:val="AssignBody"/>
        <w:ind w:firstLine="720"/>
      </w:pPr>
      <w:r w:rsidRPr="006428F6">
        <w:t>Pupil 3 did not try to initiate any answers by putting her hand up although she did respond when asked a question. Her responses were single worded and lacked depth although she did always answer clearly and confidently. This pupil said within the interview (see Appendix</w:t>
      </w:r>
      <w:r w:rsidR="00593C45">
        <w:t xml:space="preserve"> 3.e and 3.f</w:t>
      </w:r>
      <w:r w:rsidRPr="006428F6">
        <w:t>) that she did prefer when a question was directed at her although she liked that there was opportunity for others to 'butt' in and help expand on her answer.  She also finds that if she doesn't know an answer when she is asked a question, it stresses her out and she doesn't like to respond. Holt (1982) suggests this may be because they are afraid to appear stupid to not only the teacher, but their peers also. It is important to build a learning space where it is safe to fail, this may reduce some, but not all anxiety about answering questions.</w:t>
      </w:r>
    </w:p>
    <w:p w14:paraId="6382ED79" w14:textId="65FDC0A1" w:rsidR="006A6BF0" w:rsidRDefault="006428F6" w:rsidP="006A6BF0">
      <w:pPr>
        <w:pStyle w:val="AssignBody"/>
        <w:ind w:firstLine="720"/>
      </w:pPr>
      <w:r w:rsidRPr="006428F6">
        <w:t xml:space="preserve">I found out that the atmosphere within the classroom can impact the engagement of pupils and this can </w:t>
      </w:r>
      <w:r w:rsidR="00593C45" w:rsidRPr="006428F6">
        <w:t>affect</w:t>
      </w:r>
      <w:r w:rsidRPr="006428F6">
        <w:t xml:space="preserve"> how much they interact with each question technique they were asked. This is supported by the literature by (Hannah, 2013), that in order to promote interaction from pupils, you need to create positive learning environment.  This can be done by the way the room has been organised, to teacher praise, but also to managing peer pressure and reducing stress and anxiety in pupils.  One way that has been presented to reduce anxieties when answering questions, is by using the 'Pose, Pause, Pounce, Bounce' (Teacher Toolkit, 2011) method.  As mentioned by the sample pupils in the interviews, they felt more comfortable answering this style of question for many reasons. For example, if the pupil was unsure what the teacher was asking, another pupil</w:t>
      </w:r>
      <w:r w:rsidR="00674275">
        <w:t>’</w:t>
      </w:r>
      <w:r w:rsidRPr="006428F6">
        <w:t xml:space="preserve">s answer would help explain further what was needed. David Didau (2013) agrees with this as he suggests that there should be no chance for a pupil to 'opt out', therefore, keeping all members of the class involved, but if a pupil refuses to give an answer, getting them to repeat an answer that a peer has said breaks down a barrier and gives them a chance to get involved. They no longer have the 'I don't know' excuse as they have just heard the answer. This style of question also gave pupils more time to process the question and think through their answer, leading them to feel more confident that what they are saying is correct. </w:t>
      </w:r>
    </w:p>
    <w:p w14:paraId="7A2ACB51" w14:textId="1AA86F0D" w:rsidR="00B239D0" w:rsidRPr="006A6BF0" w:rsidRDefault="006428F6" w:rsidP="006A6BF0">
      <w:pPr>
        <w:pStyle w:val="AssignBody"/>
        <w:ind w:firstLine="720"/>
      </w:pPr>
      <w:r w:rsidRPr="006428F6">
        <w:t xml:space="preserve">This style of questioning often led onto other pupils questioning each other and leading into debates on certain topics.  This created a dialogue full of depth and led to a </w:t>
      </w:r>
      <w:r w:rsidRPr="006428F6">
        <w:lastRenderedPageBreak/>
        <w:t>much more interesting lesson.  Making sure that the pupils knew that there was still a possibility that the questions could be 'bounced' back to them, kept them on their toes and continuously thinking about the topic at hand and what other information they could add to what has been said already, maintaining their concentration and engagement</w:t>
      </w:r>
      <w:r w:rsidR="00D30559">
        <w:t xml:space="preserve"> (Didau, 2013)</w:t>
      </w:r>
      <w:r w:rsidRPr="006428F6">
        <w:t xml:space="preserve">. The main limitations of this method </w:t>
      </w:r>
      <w:r w:rsidR="00593C45" w:rsidRPr="006428F6">
        <w:t>are</w:t>
      </w:r>
      <w:r w:rsidRPr="006428F6">
        <w:t xml:space="preserve"> that, if there is not enough wait time between the teacher posing the question and the pupil answering, then the answers will be lacking substance and will be harder for other pupils to build on. The teacher has lost the chance of higher cognitive discussions to take place (Fries-Gaither, 2008).</w:t>
      </w:r>
    </w:p>
    <w:p w14:paraId="3802EB42" w14:textId="77777777" w:rsidR="006A6BF0" w:rsidRDefault="006428F6" w:rsidP="006A6BF0">
      <w:pPr>
        <w:pStyle w:val="AssignBody"/>
        <w:ind w:firstLine="720"/>
      </w:pPr>
      <w:r w:rsidRPr="006428F6">
        <w:t xml:space="preserve">Using the Lesson Study method was valuable as they were easy to organise within the timetable and the study could take place in an environment the pupils and teacher were already comfortable with (Dudley, 2014). This minimises the risk of external factors influencing the results and affecting the validity of the </w:t>
      </w:r>
      <w:r w:rsidR="00593C45" w:rsidRPr="006428F6">
        <w:t>outcome</w:t>
      </w:r>
      <w:r w:rsidRPr="006428F6">
        <w:t xml:space="preserve">.  Lesson Study 1 featured the observers situated at the front of the classroom, facing the pupils. This meant that the pupils were always aware that they were being observed by two others, which could have induced the Hawthorne Effect and pupils changing their engagement due to the fact that they were being watched, which is backed up by literature from Paradis (2017). To reduce this effect in the next two Lesson Studies completed, we positioned the observers at the back, behind pupils to reduce the possibility of distraction. However, the main issue of being positioned behind the pupils and so </w:t>
      </w:r>
      <w:r w:rsidR="00DC09CB" w:rsidRPr="006428F6">
        <w:t>far</w:t>
      </w:r>
      <w:r w:rsidRPr="006428F6">
        <w:t xml:space="preserve"> away was that we were unable to see </w:t>
      </w:r>
      <w:r w:rsidR="000C69D6" w:rsidRPr="006428F6">
        <w:t>pupils’</w:t>
      </w:r>
      <w:r w:rsidRPr="006428F6">
        <w:t xml:space="preserve"> facial expressions and may have missed important body language that indicated engagement.</w:t>
      </w:r>
    </w:p>
    <w:p w14:paraId="435AE3F7" w14:textId="1D4AD381" w:rsidR="006428F6" w:rsidRDefault="006428F6" w:rsidP="006A6BF0">
      <w:pPr>
        <w:pStyle w:val="AssignBody"/>
        <w:ind w:firstLine="720"/>
      </w:pPr>
      <w:r w:rsidRPr="006428F6">
        <w:t xml:space="preserve">  If I was to complete a Lesson Study again, I would try and situate the observers somewhere where they have a holistic view of the sample pupils, but will need to take in to account that pupils are continuously aware of the observers and have this reflected in the research (Shuttleworth, 2009).  We could have implemented a timeline into the Observation Schedule to make it easier to make notes in as well as easier to reflect on after the Lesson Study was completed as the rigid and simplified structure</w:t>
      </w:r>
      <w:r w:rsidR="009A0BE5">
        <w:t xml:space="preserve"> (Higgins, 2005)</w:t>
      </w:r>
      <w:r w:rsidRPr="006428F6">
        <w:t xml:space="preserve"> made it unclear of what gestures and events occurred when.</w:t>
      </w:r>
      <w:r w:rsidR="00271FD9">
        <w:t xml:space="preserve"> </w:t>
      </w:r>
      <w:r w:rsidR="0062275F">
        <w:t xml:space="preserve">We adapted the interviews to allow more freedom of conversation with </w:t>
      </w:r>
      <w:r w:rsidR="00010D61">
        <w:t xml:space="preserve">natural responses by reducing the structure after the first Lesson Study we completed. This was because </w:t>
      </w:r>
      <w:r w:rsidR="000F2279">
        <w:t>the answers to the first interview were very short and did not produce much information</w:t>
      </w:r>
      <w:r w:rsidR="00245AE1">
        <w:t xml:space="preserve"> (see Appendix </w:t>
      </w:r>
      <w:r w:rsidR="009E3DF1">
        <w:t>1.h and 1.g)</w:t>
      </w:r>
      <w:r w:rsidR="00E26E57">
        <w:t>.</w:t>
      </w:r>
      <w:r w:rsidR="000F2279">
        <w:t xml:space="preserve"> </w:t>
      </w:r>
      <w:r w:rsidR="00E26E57">
        <w:t>H</w:t>
      </w:r>
      <w:r w:rsidR="000F2279">
        <w:t>owever, if we let the conversations occur naturally like we did specifically in interview 3</w:t>
      </w:r>
      <w:r w:rsidR="00E26E57">
        <w:t xml:space="preserve"> (see Appendix </w:t>
      </w:r>
      <w:r w:rsidR="00245AE1">
        <w:t>3.g and 3.h)</w:t>
      </w:r>
      <w:r w:rsidR="000F2279">
        <w:t xml:space="preserve">, </w:t>
      </w:r>
      <w:r w:rsidR="0033066F">
        <w:t xml:space="preserve">we could make notes of the key aspects that were regarding the lesson without having to </w:t>
      </w:r>
      <w:r w:rsidR="00E26E57">
        <w:t>interrupt the flow of conversation.</w:t>
      </w:r>
      <w:r w:rsidR="000F5996">
        <w:t xml:space="preserve"> The limitations of this method, however, was </w:t>
      </w:r>
      <w:r w:rsidR="00835816">
        <w:t xml:space="preserve">that meant it was down to the observers that were making notes to decide what information would be crucial and what was unnecessary. </w:t>
      </w:r>
      <w:r w:rsidR="00694407">
        <w:t>This also increased the amount of qualitative data produced and this was harder to compare to the two previous interviews</w:t>
      </w:r>
      <w:r w:rsidR="00290E50">
        <w:t xml:space="preserve"> as they lacked the same amount of detail and depth</w:t>
      </w:r>
      <w:r w:rsidR="00694407">
        <w:t>.</w:t>
      </w:r>
    </w:p>
    <w:p w14:paraId="659D2D1E" w14:textId="1F232717" w:rsidR="0019213B" w:rsidRDefault="00722E71" w:rsidP="006A6BF0">
      <w:pPr>
        <w:pStyle w:val="AssignBody"/>
        <w:ind w:firstLine="720"/>
      </w:pPr>
      <w:r>
        <w:lastRenderedPageBreak/>
        <w:t xml:space="preserve">Building a safe environment that pupils feel comfortable to answer the questions in is </w:t>
      </w:r>
      <w:r w:rsidR="0003208B">
        <w:t xml:space="preserve">a key aspect I have discovered within my research. Even the most </w:t>
      </w:r>
      <w:r w:rsidR="00A612BF">
        <w:t>knowledgeable</w:t>
      </w:r>
      <w:r w:rsidR="0003208B">
        <w:t xml:space="preserve"> pupil can be affected by peer pressure and refuse to respond when prompted </w:t>
      </w:r>
      <w:r w:rsidR="00A612BF">
        <w:t xml:space="preserve">in fear of being teased. </w:t>
      </w:r>
      <w:r w:rsidR="00D900B7">
        <w:t xml:space="preserve">It is key to build an environment of mutual respect between the teacher and pupil as well as their peers. </w:t>
      </w:r>
      <w:r w:rsidR="00AF1378">
        <w:t xml:space="preserve">Implementing classroom strategies to create a class community spirit can help children feel welcome. Using techniques such as </w:t>
      </w:r>
      <w:r w:rsidR="000F6909">
        <w:t xml:space="preserve">seating plans and grouping. Arranging seating plans and lessons that have the children working co-operatively </w:t>
      </w:r>
      <w:r w:rsidR="00714A88">
        <w:t>has been shown to actively increase pupil</w:t>
      </w:r>
      <w:r w:rsidR="008E257C">
        <w:t>’</w:t>
      </w:r>
      <w:r w:rsidR="00714A88">
        <w:t>s engagement in the learning (Bucholz</w:t>
      </w:r>
      <w:r w:rsidR="00082845">
        <w:t xml:space="preserve"> and Sheffler, 2009)</w:t>
      </w:r>
      <w:r w:rsidR="00714A88">
        <w:t>.</w:t>
      </w:r>
      <w:r w:rsidR="00E62902">
        <w:t xml:space="preserve"> </w:t>
      </w:r>
      <w:r w:rsidR="003B6BD0">
        <w:t xml:space="preserve">I would like to take this research further in future and find more techniques </w:t>
      </w:r>
      <w:r w:rsidR="00E0218E">
        <w:t xml:space="preserve">to improve co-operation in lessons and reducing the negative atmosphere that can </w:t>
      </w:r>
      <w:r w:rsidR="00614890">
        <w:t xml:space="preserve">be present in some classrooms. </w:t>
      </w:r>
    </w:p>
    <w:p w14:paraId="42E0B1EB" w14:textId="51678170" w:rsidR="00722E71" w:rsidRDefault="0019213B" w:rsidP="006A6BF0">
      <w:pPr>
        <w:pStyle w:val="AssignBody"/>
        <w:ind w:firstLine="720"/>
      </w:pPr>
      <w:r>
        <w:t xml:space="preserve">Moving forward, I will use a combination of questioning techniques as </w:t>
      </w:r>
      <w:r w:rsidR="00083103">
        <w:t>previous research has shown styles such as closed questions can be critical in Assessment For Learning</w:t>
      </w:r>
      <w:r w:rsidR="00486193">
        <w:t xml:space="preserve"> (Bowen and Ellis, </w:t>
      </w:r>
      <w:r w:rsidR="00282B69">
        <w:t>2009).</w:t>
      </w:r>
      <w:r w:rsidR="00714A88">
        <w:t xml:space="preserve"> </w:t>
      </w:r>
      <w:r w:rsidR="007F276D">
        <w:t xml:space="preserve"> </w:t>
      </w:r>
      <w:r w:rsidR="00D37DBA">
        <w:t>One of my next steps will be to implement</w:t>
      </w:r>
      <w:r w:rsidR="007F276D">
        <w:t xml:space="preserve"> </w:t>
      </w:r>
      <w:r w:rsidR="00851462">
        <w:t xml:space="preserve">questioning techniques from Bloom’s Taxonomy (1956) to encourage </w:t>
      </w:r>
      <w:r w:rsidR="00D37DBA">
        <w:t xml:space="preserve">a higher order of thinking. </w:t>
      </w:r>
      <w:r w:rsidR="00F27CE9">
        <w:t xml:space="preserve">Building on what I have learnt through this research, I can </w:t>
      </w:r>
      <w:r w:rsidR="00DA5641">
        <w:t xml:space="preserve">continue to increase engagement within lessons through questioning. It was clear that pupils became more involved in lesson when they were asked a question, whether they responded with an answer or not. Questioning did, however, encourage them to </w:t>
      </w:r>
      <w:r w:rsidR="00CF30C9">
        <w:t xml:space="preserve">at least stop what they were doing and interact with the teacher. From what I have learnt from the Lesson Studies as well as the focus group interviews, choosing pupils that are not paying attention to answer the questions is the most </w:t>
      </w:r>
      <w:r w:rsidR="00FD1834">
        <w:t>e</w:t>
      </w:r>
      <w:r w:rsidR="00CF30C9">
        <w:t xml:space="preserve">ffective strategy </w:t>
      </w:r>
      <w:r w:rsidR="00BB1A21">
        <w:t xml:space="preserve">to engage pupils for a number of reasons. Firstly, it tends to stop the pupils from doing whatever it may be that is distracting them from the lesson. It also warns others around the selected pupil that they need to pay attention as they may be asked the question next. Not wanting to be incorrect in front of their peers plays a key role in </w:t>
      </w:r>
      <w:r w:rsidR="004B4BC7">
        <w:t>maintaining the concentration in some pupils</w:t>
      </w:r>
      <w:r w:rsidR="001C6B63">
        <w:t>.</w:t>
      </w:r>
      <w:r w:rsidR="004B4BC7">
        <w:t xml:space="preserve"> </w:t>
      </w:r>
      <w:r w:rsidR="001C6B63">
        <w:t>H</w:t>
      </w:r>
      <w:r w:rsidR="004B4BC7">
        <w:t xml:space="preserve">owever, for this to </w:t>
      </w:r>
      <w:r w:rsidR="001C6B63">
        <w:t xml:space="preserve">become a technique used in lessons continuously may work against the teacher in the long run as the </w:t>
      </w:r>
      <w:r w:rsidR="00D94198">
        <w:t>classroom environment will no longer feel like a safe space to share and discuss ideas, which can lead to the most valuable and enriching lessons (</w:t>
      </w:r>
      <w:r w:rsidR="00C81E4F">
        <w:t>Bucholz and Sheffler, 2009)</w:t>
      </w:r>
      <w:r w:rsidR="00D94198">
        <w:t>.</w:t>
      </w:r>
    </w:p>
    <w:p w14:paraId="5FD5F401" w14:textId="2DFEC3C0" w:rsidR="009A0BE5" w:rsidRDefault="009A0BE5" w:rsidP="006428F6">
      <w:pPr>
        <w:pStyle w:val="AssignBody"/>
      </w:pPr>
    </w:p>
    <w:p w14:paraId="5FCAF5FB" w14:textId="084B7780" w:rsidR="009A0BE5" w:rsidRDefault="009A0BE5" w:rsidP="006428F6">
      <w:pPr>
        <w:pStyle w:val="AssignBody"/>
      </w:pPr>
    </w:p>
    <w:p w14:paraId="523430C2" w14:textId="373F525A" w:rsidR="009A0BE5" w:rsidRDefault="009A0BE5" w:rsidP="006428F6">
      <w:pPr>
        <w:pStyle w:val="AssignBody"/>
      </w:pPr>
    </w:p>
    <w:p w14:paraId="1347124D" w14:textId="2895D204" w:rsidR="009A0BE5" w:rsidRDefault="009A0BE5" w:rsidP="006428F6">
      <w:pPr>
        <w:pStyle w:val="AssignBody"/>
      </w:pPr>
    </w:p>
    <w:p w14:paraId="16A6A638" w14:textId="12435FC1" w:rsidR="009A0BE5" w:rsidRPr="009A0BE5" w:rsidRDefault="009A0BE5" w:rsidP="009A0BE5">
      <w:pPr>
        <w:pStyle w:val="AssignBody"/>
      </w:pPr>
    </w:p>
    <w:p w14:paraId="3DBD2570" w14:textId="1C52079E" w:rsidR="009A0BE5" w:rsidRDefault="009A0BE5" w:rsidP="006428F6">
      <w:pPr>
        <w:pStyle w:val="AssignBody"/>
      </w:pPr>
    </w:p>
    <w:p w14:paraId="11FAE848" w14:textId="2F59849C" w:rsidR="009A0BE5" w:rsidRDefault="009A0BE5" w:rsidP="006428F6">
      <w:pPr>
        <w:pStyle w:val="AssignBody"/>
      </w:pPr>
    </w:p>
    <w:p w14:paraId="184126DF" w14:textId="167CF675" w:rsidR="00EE0916" w:rsidRDefault="00EE0916" w:rsidP="006428F6">
      <w:pPr>
        <w:pStyle w:val="AssignBody"/>
      </w:pPr>
    </w:p>
    <w:p w14:paraId="494DF861" w14:textId="77777777" w:rsidR="009A0BE5" w:rsidRPr="006428F6" w:rsidRDefault="009A0BE5" w:rsidP="006428F6">
      <w:pPr>
        <w:pStyle w:val="AssignBody"/>
      </w:pPr>
    </w:p>
    <w:p w14:paraId="2A3C9EDE" w14:textId="4F3E8DCF" w:rsidR="00B239D0" w:rsidRDefault="00B239D0" w:rsidP="00E611D9">
      <w:pPr>
        <w:pStyle w:val="AssignBody"/>
        <w:rPr>
          <w:rFonts w:cs="Arial"/>
          <w:b/>
          <w:bCs/>
          <w:i/>
          <w:iCs/>
          <w:sz w:val="28"/>
          <w:szCs w:val="28"/>
        </w:rPr>
      </w:pPr>
      <w:r>
        <w:rPr>
          <w:rFonts w:cs="Arial"/>
          <w:b/>
          <w:bCs/>
          <w:i/>
          <w:iCs/>
          <w:sz w:val="28"/>
          <w:szCs w:val="28"/>
        </w:rPr>
        <w:lastRenderedPageBreak/>
        <w:t>References</w:t>
      </w:r>
    </w:p>
    <w:p w14:paraId="0F52191C"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Amos, S., 2002. Teachers' questions in the science classroom. </w:t>
      </w:r>
      <w:r w:rsidRPr="009A0BE5">
        <w:rPr>
          <w:rFonts w:ascii="Arial" w:eastAsia="Times New Roman" w:hAnsi="Arial" w:cs="Arial"/>
          <w:i/>
          <w:iCs/>
          <w:lang w:eastAsia="en-GB"/>
        </w:rPr>
        <w:t>Aspects of Teaching Secondary Science, RoutledgeFalmer, London</w:t>
      </w:r>
      <w:r w:rsidRPr="009A0BE5">
        <w:rPr>
          <w:rFonts w:ascii="Arial" w:eastAsia="Times New Roman" w:hAnsi="Arial" w:cs="Arial"/>
          <w:lang w:eastAsia="en-GB"/>
        </w:rPr>
        <w:t>, pp.5-15.</w:t>
      </w:r>
    </w:p>
    <w:p w14:paraId="5B9A0EF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03C80EE" w14:textId="5AE87427" w:rsid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BERA, (2018) </w:t>
      </w:r>
      <w:r w:rsidRPr="009A0BE5">
        <w:rPr>
          <w:rFonts w:ascii="Arial" w:eastAsia="Times New Roman" w:hAnsi="Arial" w:cs="Arial"/>
          <w:i/>
          <w:iCs/>
          <w:lang w:eastAsia="en-GB"/>
        </w:rPr>
        <w:t xml:space="preserve">Ethical Guidelines for Educational Research. </w:t>
      </w:r>
      <w:r w:rsidRPr="009A0BE5">
        <w:rPr>
          <w:rFonts w:ascii="Arial" w:eastAsia="Times New Roman" w:hAnsi="Arial" w:cs="Arial"/>
          <w:lang w:eastAsia="en-GB"/>
        </w:rPr>
        <w:t>London: British Educational Research Association.</w:t>
      </w:r>
    </w:p>
    <w:p w14:paraId="22BCF4BB" w14:textId="46056760" w:rsidR="00D37DBA" w:rsidRDefault="00D37DBA" w:rsidP="009A0BE5">
      <w:pPr>
        <w:spacing w:after="0" w:line="240" w:lineRule="auto"/>
        <w:rPr>
          <w:rFonts w:ascii="Arial" w:eastAsia="Times New Roman" w:hAnsi="Arial" w:cs="Arial"/>
          <w:lang w:eastAsia="en-GB"/>
        </w:rPr>
      </w:pPr>
    </w:p>
    <w:p w14:paraId="585BA59D" w14:textId="56FF7E92" w:rsidR="00D37DBA" w:rsidRPr="009A0BE5" w:rsidRDefault="00D37DBA" w:rsidP="009A0BE5">
      <w:pPr>
        <w:spacing w:after="0" w:line="240" w:lineRule="auto"/>
        <w:rPr>
          <w:rFonts w:ascii="Arial" w:eastAsia="Times New Roman" w:hAnsi="Arial" w:cs="Arial"/>
          <w:lang w:eastAsia="en-GB"/>
        </w:rPr>
      </w:pPr>
      <w:r>
        <w:rPr>
          <w:rFonts w:ascii="Arial" w:hAnsi="Arial" w:cs="Arial"/>
        </w:rPr>
        <w:t>Bloom, B. S. (1956). Taxonomy of Educational Objectives: Book 1, Cognitive Domain. London: Longman Group Ltd.</w:t>
      </w:r>
    </w:p>
    <w:p w14:paraId="6C2AFF9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89BB7CB" w14:textId="1F6C1CF2" w:rsid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Blosser, P. (1995) How To Ask The Right Questions, </w:t>
      </w:r>
      <w:r w:rsidRPr="009A0BE5">
        <w:rPr>
          <w:rFonts w:ascii="Arial" w:eastAsia="Times New Roman" w:hAnsi="Arial" w:cs="Arial"/>
          <w:i/>
          <w:iCs/>
          <w:lang w:eastAsia="en-GB"/>
        </w:rPr>
        <w:t>National Science Teachers Association, 1840 Wilson Boulevard, Arlinton VA</w:t>
      </w:r>
      <w:r w:rsidRPr="009A0BE5">
        <w:rPr>
          <w:rFonts w:ascii="Arial" w:eastAsia="Times New Roman" w:hAnsi="Arial" w:cs="Arial"/>
          <w:lang w:eastAsia="en-GB"/>
        </w:rPr>
        <w:t>.</w:t>
      </w:r>
    </w:p>
    <w:p w14:paraId="119F2E08" w14:textId="22B5B2A3" w:rsidR="00282B69" w:rsidRDefault="00282B69" w:rsidP="009A0BE5">
      <w:pPr>
        <w:spacing w:after="0" w:line="240" w:lineRule="auto"/>
        <w:rPr>
          <w:rFonts w:ascii="Arial" w:eastAsia="Times New Roman" w:hAnsi="Arial" w:cs="Arial"/>
          <w:lang w:eastAsia="en-GB"/>
        </w:rPr>
      </w:pPr>
    </w:p>
    <w:p w14:paraId="2F92E6DD" w14:textId="3E252AB2" w:rsidR="00282B69" w:rsidRPr="00282B69" w:rsidRDefault="00282B69" w:rsidP="009A0BE5">
      <w:pPr>
        <w:spacing w:after="0" w:line="240" w:lineRule="auto"/>
        <w:rPr>
          <w:rFonts w:ascii="Arial" w:eastAsia="Times New Roman" w:hAnsi="Arial" w:cs="Arial"/>
          <w:lang w:eastAsia="en-GB"/>
        </w:rPr>
      </w:pPr>
      <w:r w:rsidRPr="00282B69">
        <w:rPr>
          <w:rFonts w:ascii="Arial" w:hAnsi="Arial" w:cs="Arial"/>
        </w:rPr>
        <w:t xml:space="preserve">Bowen, T., and L. Ellis. (2009) Assessment for Learning. A Dictionary of Education (2009), </w:t>
      </w:r>
      <w:r w:rsidRPr="00282B69">
        <w:rPr>
          <w:rFonts w:ascii="Arial" w:hAnsi="Arial" w:cs="Arial"/>
          <w:i/>
          <w:iCs/>
        </w:rPr>
        <w:t xml:space="preserve">Oxford Reference. </w:t>
      </w:r>
      <w:r w:rsidRPr="00282B69">
        <w:rPr>
          <w:rFonts w:ascii="Arial" w:hAnsi="Arial" w:cs="Arial"/>
        </w:rPr>
        <w:t xml:space="preserve">[Online]. Available at: </w:t>
      </w:r>
      <w:hyperlink r:id="rId9" w:history="1">
        <w:r w:rsidRPr="00282B69">
          <w:rPr>
            <w:rStyle w:val="Hyperlink"/>
            <w:rFonts w:ascii="Arial" w:hAnsi="Arial" w:cs="Arial"/>
            <w:color w:val="auto"/>
          </w:rPr>
          <w:t>https://www-oxfordreference-com.ezproxy.uwtsd.ac.uk/view/10.1093/acref/9780199212064.001.0001/acref-9780199212064-e-60</w:t>
        </w:r>
      </w:hyperlink>
      <w:r w:rsidRPr="00282B69">
        <w:rPr>
          <w:rFonts w:ascii="Arial" w:hAnsi="Arial" w:cs="Arial"/>
        </w:rPr>
        <w:t xml:space="preserve"> (Accessed: </w:t>
      </w:r>
      <w:r>
        <w:rPr>
          <w:rFonts w:ascii="Arial" w:hAnsi="Arial" w:cs="Arial"/>
        </w:rPr>
        <w:t>20 February 2020</w:t>
      </w:r>
      <w:r w:rsidRPr="00282B69">
        <w:rPr>
          <w:rFonts w:ascii="Arial" w:hAnsi="Arial" w:cs="Arial"/>
        </w:rPr>
        <w:t>).</w:t>
      </w:r>
    </w:p>
    <w:p w14:paraId="4489580A" w14:textId="236E0BF4" w:rsidR="00082845" w:rsidRDefault="00082845" w:rsidP="009A0BE5">
      <w:pPr>
        <w:spacing w:after="0" w:line="240" w:lineRule="auto"/>
        <w:rPr>
          <w:rFonts w:ascii="Arial" w:eastAsia="Times New Roman" w:hAnsi="Arial" w:cs="Arial"/>
          <w:lang w:eastAsia="en-GB"/>
        </w:rPr>
      </w:pPr>
    </w:p>
    <w:p w14:paraId="4FCD4D4E" w14:textId="251B9660" w:rsidR="00082845" w:rsidRPr="009A0BE5" w:rsidRDefault="00082845" w:rsidP="009A0BE5">
      <w:pPr>
        <w:spacing w:after="0" w:line="240" w:lineRule="auto"/>
        <w:rPr>
          <w:rFonts w:ascii="Arial" w:eastAsia="Times New Roman" w:hAnsi="Arial" w:cs="Arial"/>
          <w:lang w:eastAsia="en-GB"/>
        </w:rPr>
      </w:pPr>
      <w:r w:rsidRPr="00082845">
        <w:rPr>
          <w:rFonts w:ascii="Arial" w:eastAsia="Times New Roman" w:hAnsi="Arial" w:cs="Arial"/>
          <w:lang w:eastAsia="en-GB"/>
        </w:rPr>
        <w:t>Bucholz, J. L., &amp; Sheffler, J. L. (2009). Creating a Warm and Inclusive Classroom Environment: Planning for All Children to Feel Welcome,</w:t>
      </w:r>
      <w:r>
        <w:rPr>
          <w:rFonts w:ascii="Arial" w:eastAsia="Times New Roman" w:hAnsi="Arial" w:cs="Arial"/>
          <w:lang w:eastAsia="en-GB"/>
        </w:rPr>
        <w:t xml:space="preserve"> </w:t>
      </w:r>
      <w:r w:rsidRPr="00082845">
        <w:rPr>
          <w:rFonts w:ascii="Arial" w:eastAsia="Times New Roman" w:hAnsi="Arial" w:cs="Arial"/>
          <w:lang w:eastAsia="en-GB"/>
        </w:rPr>
        <w:t>Electronic Journal for Inclusive Education, 2(4).</w:t>
      </w:r>
    </w:p>
    <w:p w14:paraId="18E6B74C"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66129C3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Caram, C. and Davis, P. (2005) Inviting Student Engagement with Questioning, </w:t>
      </w:r>
      <w:r w:rsidRPr="009A0BE5">
        <w:rPr>
          <w:rFonts w:ascii="Arial" w:eastAsia="Times New Roman" w:hAnsi="Arial" w:cs="Arial"/>
          <w:i/>
          <w:iCs/>
          <w:lang w:eastAsia="en-GB"/>
        </w:rPr>
        <w:t>Kappa Delta Pi Record</w:t>
      </w:r>
      <w:r w:rsidRPr="009A0BE5">
        <w:rPr>
          <w:rFonts w:ascii="Arial" w:eastAsia="Times New Roman" w:hAnsi="Arial" w:cs="Arial"/>
          <w:lang w:eastAsia="en-GB"/>
        </w:rPr>
        <w:t>, 42(1), pp.  19-23.</w:t>
      </w:r>
    </w:p>
    <w:p w14:paraId="72FF363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3CF556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Cohen, L., Manion, L. &amp; Morrison, K. (2018) Research Methods in Education, 8th edition.  Oxford: Routledge. Pp. 355-562.</w:t>
      </w:r>
    </w:p>
    <w:p w14:paraId="040B916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AD5FF79"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Corrigan, P. (2015) When Students Don't Answer A Question, What Does The Awkward Silence Mean?, Teaching and Learning In Highter Ed. [online] Available at: </w:t>
      </w:r>
      <w:hyperlink r:id="rId10" w:history="1">
        <w:r w:rsidRPr="009A0BE5">
          <w:rPr>
            <w:rFonts w:ascii="Arial" w:eastAsia="Times New Roman" w:hAnsi="Arial" w:cs="Arial"/>
            <w:u w:val="single"/>
            <w:lang w:eastAsia="en-GB"/>
          </w:rPr>
          <w:t>https://teachingandlearninginhighered.org/2015/05/28/when-students-dont-answer-a-question-what-does-the-awkward-silence-mean/</w:t>
        </w:r>
      </w:hyperlink>
      <w:r w:rsidRPr="009A0BE5">
        <w:rPr>
          <w:rFonts w:ascii="Arial" w:eastAsia="Times New Roman" w:hAnsi="Arial" w:cs="Arial"/>
          <w:lang w:eastAsia="en-GB"/>
        </w:rPr>
        <w:t xml:space="preserve"> (Accessed: 18 February 2020).</w:t>
      </w:r>
    </w:p>
    <w:p w14:paraId="0EB6A3BF"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0FB48140"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Department For Education (2009) Improving Subject Pedagogy Through Lesson Study,</w:t>
      </w:r>
      <w:r w:rsidRPr="009A0BE5">
        <w:rPr>
          <w:rFonts w:ascii="Arial" w:eastAsia="Times New Roman" w:hAnsi="Arial" w:cs="Arial"/>
          <w:i/>
          <w:iCs/>
          <w:lang w:eastAsia="en-GB"/>
        </w:rPr>
        <w:t xml:space="preserve"> DCSF Publications, Nottingham.</w:t>
      </w:r>
    </w:p>
    <w:p w14:paraId="1ACF23D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179E62F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Didau, D. (2013) A Model Lesson? Part 1: Routines Vs Gimmicks, Learning Spy. [blog] Available at: </w:t>
      </w:r>
      <w:hyperlink r:id="rId11" w:history="1">
        <w:r w:rsidRPr="009A0BE5">
          <w:rPr>
            <w:rFonts w:ascii="Arial" w:eastAsia="Times New Roman" w:hAnsi="Arial" w:cs="Arial"/>
            <w:u w:val="single"/>
            <w:lang w:eastAsia="en-GB"/>
          </w:rPr>
          <w:t>https://learningspy.co.uk/leadership/model-lesson-part-1/</w:t>
        </w:r>
      </w:hyperlink>
      <w:r w:rsidRPr="009A0BE5">
        <w:rPr>
          <w:rFonts w:ascii="Arial" w:eastAsia="Times New Roman" w:hAnsi="Arial" w:cs="Arial"/>
          <w:lang w:eastAsia="en-GB"/>
        </w:rPr>
        <w:t xml:space="preserve"> (Accessed: 20 February 2020).</w:t>
      </w:r>
    </w:p>
    <w:p w14:paraId="32478D99"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7E1007B0"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Doherty, J. (2017) Skilful questioning: 'The beating heart of good pedagogy ',</w:t>
      </w:r>
      <w:r w:rsidRPr="009A0BE5">
        <w:rPr>
          <w:rFonts w:ascii="Arial" w:eastAsia="Times New Roman" w:hAnsi="Arial" w:cs="Arial"/>
          <w:i/>
          <w:iCs/>
          <w:lang w:eastAsia="en-GB"/>
        </w:rPr>
        <w:t xml:space="preserve"> Impact, Journal of Chartered College of Teaching</w:t>
      </w:r>
      <w:r w:rsidRPr="009A0BE5">
        <w:rPr>
          <w:rFonts w:ascii="Arial" w:eastAsia="Times New Roman" w:hAnsi="Arial" w:cs="Arial"/>
          <w:lang w:eastAsia="en-GB"/>
        </w:rPr>
        <w:t xml:space="preserve"> [blog]. Available at: </w:t>
      </w:r>
      <w:hyperlink r:id="rId12" w:history="1">
        <w:r w:rsidRPr="009A0BE5">
          <w:rPr>
            <w:rFonts w:ascii="Arial" w:eastAsia="Times New Roman" w:hAnsi="Arial" w:cs="Arial"/>
            <w:u w:val="single"/>
            <w:lang w:eastAsia="en-GB"/>
          </w:rPr>
          <w:t>https://impact.chartered.college/article/doherty-skilful-questioning-beating-heart-pedagogy/</w:t>
        </w:r>
      </w:hyperlink>
      <w:r w:rsidRPr="009A0BE5">
        <w:rPr>
          <w:rFonts w:ascii="Arial" w:eastAsia="Times New Roman" w:hAnsi="Arial" w:cs="Arial"/>
          <w:lang w:eastAsia="en-GB"/>
        </w:rPr>
        <w:t xml:space="preserve"> (Accessed: 10 February 2020).</w:t>
      </w:r>
    </w:p>
    <w:p w14:paraId="4803D45D"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55F6BD2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Dudley, P. (2014), Lesson Study: A Handbook, Cambridge.</w:t>
      </w:r>
    </w:p>
    <w:p w14:paraId="75C2E13F"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50481F8D"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Fries-Gaither, J. (2008) Questioning Techniques: Research-Based Strategies for Teachers, Beyond Penguins and Polar Bears. [online] Available at: </w:t>
      </w:r>
      <w:hyperlink r:id="rId13" w:history="1">
        <w:r w:rsidRPr="009A0BE5">
          <w:rPr>
            <w:rFonts w:ascii="Arial" w:eastAsia="Times New Roman" w:hAnsi="Arial" w:cs="Arial"/>
            <w:u w:val="single"/>
            <w:lang w:eastAsia="en-GB"/>
          </w:rPr>
          <w:t>https://beyondpenguins.ehe.osu.edu/issue/energy-and-the-polar-environment/questioning-techniques-research-based-strategies-for-teachers</w:t>
        </w:r>
      </w:hyperlink>
      <w:r w:rsidRPr="009A0BE5">
        <w:rPr>
          <w:rFonts w:ascii="Arial" w:eastAsia="Times New Roman" w:hAnsi="Arial" w:cs="Arial"/>
          <w:lang w:eastAsia="en-GB"/>
        </w:rPr>
        <w:t xml:space="preserve"> (Accessed: 20 February 2020).</w:t>
      </w:r>
    </w:p>
    <w:p w14:paraId="79EF5330"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6D57590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lastRenderedPageBreak/>
        <w:t xml:space="preserve">Gans, S. (2020) How To Understand Body Language and Facial Expressions, Very Well Mind [online]. Available at: </w:t>
      </w:r>
      <w:hyperlink r:id="rId14" w:history="1">
        <w:r w:rsidRPr="009A0BE5">
          <w:rPr>
            <w:rFonts w:ascii="Arial" w:eastAsia="Times New Roman" w:hAnsi="Arial" w:cs="Arial"/>
            <w:u w:val="single"/>
            <w:lang w:eastAsia="en-GB"/>
          </w:rPr>
          <w:t>https://www.verywellmind.com/understand-body-language-and-facial-expressions-4147228(Accessed</w:t>
        </w:r>
      </w:hyperlink>
      <w:r w:rsidRPr="009A0BE5">
        <w:rPr>
          <w:rFonts w:ascii="Arial" w:eastAsia="Times New Roman" w:hAnsi="Arial" w:cs="Arial"/>
          <w:lang w:eastAsia="en-GB"/>
        </w:rPr>
        <w:t>: 18 February 2020).</w:t>
      </w:r>
    </w:p>
    <w:p w14:paraId="4AFEBC9A"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29964B2B"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Gibbs G (1988) Learning by Doing: </w:t>
      </w:r>
      <w:r w:rsidRPr="009A0BE5">
        <w:rPr>
          <w:rFonts w:ascii="Arial" w:eastAsia="Times New Roman" w:hAnsi="Arial" w:cs="Arial"/>
          <w:i/>
          <w:iCs/>
          <w:lang w:eastAsia="en-GB"/>
        </w:rPr>
        <w:t>A guide to teaching and learning methods</w:t>
      </w:r>
      <w:r w:rsidRPr="009A0BE5">
        <w:rPr>
          <w:rFonts w:ascii="Arial" w:eastAsia="Times New Roman" w:hAnsi="Arial" w:cs="Arial"/>
          <w:lang w:eastAsia="en-GB"/>
        </w:rPr>
        <w:t>. Further Education Unit. Oxford Polytechnic: Oxford.</w:t>
      </w:r>
    </w:p>
    <w:p w14:paraId="05CE87B1"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5F38475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Goman, C. (2019) Fascinating Facts About Eye Contact, BBN Times [online]. Available at: </w:t>
      </w:r>
      <w:hyperlink r:id="rId15" w:history="1">
        <w:r w:rsidRPr="009A0BE5">
          <w:rPr>
            <w:rFonts w:ascii="Arial" w:eastAsia="Times New Roman" w:hAnsi="Arial" w:cs="Arial"/>
            <w:u w:val="single"/>
            <w:lang w:eastAsia="en-GB"/>
          </w:rPr>
          <w:t>https://www.bbntimes.com/companies/fascinating-facts-about-eye-contact</w:t>
        </w:r>
      </w:hyperlink>
      <w:r w:rsidRPr="009A0BE5">
        <w:rPr>
          <w:rFonts w:ascii="Arial" w:eastAsia="Times New Roman" w:hAnsi="Arial" w:cs="Arial"/>
          <w:lang w:eastAsia="en-GB"/>
        </w:rPr>
        <w:t xml:space="preserve"> (Accessed: 19 February 2020).</w:t>
      </w:r>
    </w:p>
    <w:p w14:paraId="7C9C8866" w14:textId="602B7DF4"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1C29B262"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Groningen, A. and Bennett, S. (2012) 'Lesson Study: Collaboration, </w:t>
      </w:r>
      <w:r w:rsidRPr="009A0BE5">
        <w:rPr>
          <w:rFonts w:ascii="Arial" w:eastAsia="Times New Roman" w:hAnsi="Arial" w:cs="Arial"/>
          <w:i/>
          <w:iCs/>
          <w:lang w:eastAsia="en-GB"/>
        </w:rPr>
        <w:t xml:space="preserve">Improvement and Reflection, International Journal of Applied Science and Technology, </w:t>
      </w:r>
      <w:r w:rsidRPr="009A0BE5">
        <w:rPr>
          <w:rFonts w:ascii="Arial" w:eastAsia="Times New Roman" w:hAnsi="Arial" w:cs="Arial"/>
          <w:lang w:eastAsia="en-GB"/>
        </w:rPr>
        <w:t>2(8), pp. 20-25.</w:t>
      </w:r>
    </w:p>
    <w:p w14:paraId="06AD20DD"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3AD267CC"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Hannah, R. (2013) The Effect of Classroom Environment on Student Learning. Western Michigan University.</w:t>
      </w:r>
    </w:p>
    <w:p w14:paraId="34E4C8B7"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7F4D28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Hannel, I. (2009) Insufficient Questioning, </w:t>
      </w:r>
      <w:r w:rsidRPr="009A0BE5">
        <w:rPr>
          <w:rFonts w:ascii="Arial" w:eastAsia="Times New Roman" w:hAnsi="Arial" w:cs="Arial"/>
          <w:i/>
          <w:iCs/>
          <w:lang w:eastAsia="en-GB"/>
        </w:rPr>
        <w:t>Phi Delta Kappan</w:t>
      </w:r>
      <w:r w:rsidRPr="009A0BE5">
        <w:rPr>
          <w:rFonts w:ascii="Arial" w:eastAsia="Times New Roman" w:hAnsi="Arial" w:cs="Arial"/>
          <w:lang w:eastAsia="en-GB"/>
        </w:rPr>
        <w:t>, 91(3), pp. 65-69.</w:t>
      </w:r>
    </w:p>
    <w:p w14:paraId="163D2172"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238BFD2"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Higgins, S. (2005) Systematic Observation of Individual Pupils, Research Gate [online]. Available at: </w:t>
      </w:r>
      <w:hyperlink r:id="rId16" w:history="1">
        <w:r w:rsidRPr="009A0BE5">
          <w:rPr>
            <w:rFonts w:ascii="Arial" w:eastAsia="Times New Roman" w:hAnsi="Arial" w:cs="Arial"/>
            <w:u w:val="single"/>
            <w:lang w:eastAsia="en-GB"/>
          </w:rPr>
          <w:t>https://www.researchgate.net/figure/Systematic-observation-schedule-for-pupils-on-task-off-task-behaviour-The-three-schools_fig5_232607640?fbclid=IwAR2EXsPpYocJRBkLfiSaQszzRNttG-tL3I3--Lg2W98eiMqtarRfZh6bsXY</w:t>
        </w:r>
      </w:hyperlink>
      <w:r w:rsidRPr="009A0BE5">
        <w:rPr>
          <w:rFonts w:ascii="Arial" w:eastAsia="Times New Roman" w:hAnsi="Arial" w:cs="Arial"/>
          <w:lang w:eastAsia="en-GB"/>
        </w:rPr>
        <w:t xml:space="preserve"> (Accessed: 12 December 2019).</w:t>
      </w:r>
    </w:p>
    <w:p w14:paraId="1623B7FA"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7355BFBE"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Holt, J. (1982 revised )</w:t>
      </w:r>
      <w:r w:rsidRPr="009A0BE5">
        <w:rPr>
          <w:rFonts w:ascii="Arial" w:eastAsia="Times New Roman" w:hAnsi="Arial" w:cs="Arial"/>
          <w:i/>
          <w:iCs/>
          <w:lang w:eastAsia="en-GB"/>
        </w:rPr>
        <w:t xml:space="preserve"> How Children Fail</w:t>
      </w:r>
      <w:r w:rsidRPr="009A0BE5">
        <w:rPr>
          <w:rFonts w:ascii="Arial" w:eastAsia="Times New Roman" w:hAnsi="Arial" w:cs="Arial"/>
          <w:lang w:eastAsia="en-GB"/>
        </w:rPr>
        <w:t>, Penguin, Harmondsworth.</w:t>
      </w:r>
    </w:p>
    <w:p w14:paraId="3BA9D8A1"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7DE8750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Iannelli, V. (2020) Bad Habits and Fidgeting at School, Very Well Family [online]. Available at: </w:t>
      </w:r>
      <w:hyperlink r:id="rId17" w:history="1">
        <w:r w:rsidRPr="009A0BE5">
          <w:rPr>
            <w:rFonts w:ascii="Arial" w:eastAsia="Times New Roman" w:hAnsi="Arial" w:cs="Arial"/>
            <w:u w:val="single"/>
            <w:lang w:eastAsia="en-GB"/>
          </w:rPr>
          <w:t>https://www.verywellfamily.com/bad-habits-and-fidgeting-at-school-2634497</w:t>
        </w:r>
      </w:hyperlink>
      <w:r w:rsidRPr="009A0BE5">
        <w:rPr>
          <w:rFonts w:ascii="Arial" w:eastAsia="Times New Roman" w:hAnsi="Arial" w:cs="Arial"/>
          <w:lang w:eastAsia="en-GB"/>
        </w:rPr>
        <w:t xml:space="preserve"> (Accessed: 19 February 2020).</w:t>
      </w:r>
    </w:p>
    <w:p w14:paraId="59DE4D8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051390A"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Jarrett, C. (2016) The Psychology of Eye Contact, Digested, Research Digest, British Psychological Society. [online] Available at: </w:t>
      </w:r>
      <w:hyperlink r:id="rId18" w:history="1">
        <w:r w:rsidRPr="009A0BE5">
          <w:rPr>
            <w:rFonts w:ascii="Arial" w:eastAsia="Times New Roman" w:hAnsi="Arial" w:cs="Arial"/>
            <w:u w:val="single"/>
            <w:lang w:eastAsia="en-GB"/>
          </w:rPr>
          <w:t>https://digest.bps.org.uk/2016/11/28/the-psychology-of-eye-contact-digested/</w:t>
        </w:r>
      </w:hyperlink>
      <w:r w:rsidRPr="009A0BE5">
        <w:rPr>
          <w:rFonts w:ascii="Arial" w:eastAsia="Times New Roman" w:hAnsi="Arial" w:cs="Arial"/>
          <w:lang w:eastAsia="en-GB"/>
        </w:rPr>
        <w:t xml:space="preserve"> (Accessed: 18 February 2020).</w:t>
      </w:r>
    </w:p>
    <w:p w14:paraId="07061E49"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10C48E5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Johnson, B. (2013) How Do We Know When Students Are Engaged?, Edutopia [online]. Available at: </w:t>
      </w:r>
      <w:hyperlink r:id="rId19" w:history="1">
        <w:r w:rsidRPr="009A0BE5">
          <w:rPr>
            <w:rFonts w:ascii="Arial" w:eastAsia="Times New Roman" w:hAnsi="Arial" w:cs="Arial"/>
            <w:u w:val="single"/>
            <w:lang w:eastAsia="en-GB"/>
          </w:rPr>
          <w:t>https://www.edutopia.org/blog/student-engagement-definition-ben-johnson</w:t>
        </w:r>
      </w:hyperlink>
      <w:r w:rsidRPr="009A0BE5">
        <w:rPr>
          <w:rFonts w:ascii="Arial" w:eastAsia="Times New Roman" w:hAnsi="Arial" w:cs="Arial"/>
          <w:lang w:eastAsia="en-GB"/>
        </w:rPr>
        <w:t xml:space="preserve"> (Accessed: 18 February 2020).</w:t>
      </w:r>
    </w:p>
    <w:p w14:paraId="5F9585CE"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063B26C0"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Kolb. D. A., &amp; Fry, R. (1975). Towards an applied theory of experiential learning. In C. Cooper (Ed.), Theories of Group Process. London: John Wiley. </w:t>
      </w:r>
    </w:p>
    <w:p w14:paraId="264A515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0C1F5C49"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Larsen, R. And Shackleford, T. (1996) 'Gaze Avoidance: Personality and Social Judgements of People Who Avoid Direct Face-To-Face Contact',</w:t>
      </w:r>
      <w:r w:rsidRPr="009A0BE5">
        <w:rPr>
          <w:rFonts w:ascii="Arial" w:eastAsia="Times New Roman" w:hAnsi="Arial" w:cs="Arial"/>
          <w:i/>
          <w:iCs/>
          <w:lang w:eastAsia="en-GB"/>
        </w:rPr>
        <w:t xml:space="preserve"> Personality and Individual Differences. </w:t>
      </w:r>
      <w:r w:rsidRPr="009A0BE5">
        <w:rPr>
          <w:rFonts w:ascii="Arial" w:eastAsia="Times New Roman" w:hAnsi="Arial" w:cs="Arial"/>
          <w:lang w:eastAsia="en-GB"/>
        </w:rPr>
        <w:t>21(6), pp. 907-917. Department of Psychology, University of Michigan.</w:t>
      </w:r>
    </w:p>
    <w:p w14:paraId="2A2422A7"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7523B1B"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Morin, A. (2020) Types of Non-Verbal Communication, Very Well Mind [online]. Available at: </w:t>
      </w:r>
      <w:hyperlink r:id="rId20" w:history="1">
        <w:r w:rsidRPr="009A0BE5">
          <w:rPr>
            <w:rFonts w:ascii="Arial" w:eastAsia="Times New Roman" w:hAnsi="Arial" w:cs="Arial"/>
            <w:u w:val="single"/>
            <w:lang w:eastAsia="en-GB"/>
          </w:rPr>
          <w:t>https://www.verywellmind.com/types-of-nonverbal-communication-2795397</w:t>
        </w:r>
      </w:hyperlink>
      <w:r w:rsidRPr="009A0BE5">
        <w:rPr>
          <w:rFonts w:ascii="Arial" w:eastAsia="Times New Roman" w:hAnsi="Arial" w:cs="Arial"/>
          <w:lang w:eastAsia="en-GB"/>
        </w:rPr>
        <w:t xml:space="preserve"> (Accessed: 20 February 2020).</w:t>
      </w:r>
    </w:p>
    <w:p w14:paraId="38B25DDD"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640671C2" w14:textId="37786B1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Paradis, E. (2017) 'Beyond a Good Story: From Hawthorne Effect to Reactivity in Health Professions Education Research.' Medical Education 51(1). Pp. 31-40. </w:t>
      </w:r>
    </w:p>
    <w:p w14:paraId="66471BC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894602D" w14:textId="21B12880"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lastRenderedPageBreak/>
        <w:t xml:space="preserve">Psychologist World, (2020) Eye Reading (Body Language), Psychologist World [online]. Available at: </w:t>
      </w:r>
      <w:hyperlink r:id="rId21" w:history="1">
        <w:r w:rsidRPr="009A0BE5">
          <w:rPr>
            <w:rFonts w:ascii="Arial" w:eastAsia="Times New Roman" w:hAnsi="Arial" w:cs="Arial"/>
            <w:u w:val="single"/>
            <w:lang w:eastAsia="en-GB"/>
          </w:rPr>
          <w:t>https://www.psychologistworld.com/body-language/eyes</w:t>
        </w:r>
      </w:hyperlink>
      <w:r w:rsidRPr="009A0BE5">
        <w:rPr>
          <w:rFonts w:ascii="Arial" w:eastAsia="Times New Roman" w:hAnsi="Arial" w:cs="Arial"/>
          <w:lang w:eastAsia="en-GB"/>
        </w:rPr>
        <w:t xml:space="preserve"> (Accessed: 18 February 2020). </w:t>
      </w:r>
    </w:p>
    <w:p w14:paraId="7F3A7F7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02386E92"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Rowe, M. B. (1972), 'Wait-Time and Rewards as Instructional Variables: Their Influence on Language, Logic, and Fate Control' in</w:t>
      </w:r>
      <w:r w:rsidRPr="009A0BE5">
        <w:rPr>
          <w:rFonts w:ascii="Arial" w:eastAsia="Times New Roman" w:hAnsi="Arial" w:cs="Arial"/>
          <w:i/>
          <w:iCs/>
          <w:lang w:eastAsia="en-GB"/>
        </w:rPr>
        <w:t xml:space="preserve"> Resources in Education</w:t>
      </w:r>
      <w:r w:rsidRPr="009A0BE5">
        <w:rPr>
          <w:rFonts w:ascii="Arial" w:eastAsia="Times New Roman" w:hAnsi="Arial" w:cs="Arial"/>
          <w:lang w:eastAsia="en-GB"/>
        </w:rPr>
        <w:t>, Education Resources Information Center, </w:t>
      </w:r>
      <w:r w:rsidRPr="009A0BE5">
        <w:rPr>
          <w:rFonts w:ascii="Arial" w:eastAsia="Times New Roman" w:hAnsi="Arial" w:cs="Arial"/>
          <w:i/>
          <w:iCs/>
          <w:lang w:eastAsia="en-GB"/>
        </w:rPr>
        <w:t>Presented at the National Association for Research in Science Teaching, Chicago, Illinois.</w:t>
      </w:r>
    </w:p>
    <w:p w14:paraId="49F67A0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0FB4581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Sherrington, T. (2013) Defining the Butterfly: Knowing the Standards to Set the Standards, TeacherHead [online]. Available at: </w:t>
      </w:r>
      <w:hyperlink r:id="rId22" w:history="1">
        <w:r w:rsidRPr="009A0BE5">
          <w:rPr>
            <w:rFonts w:ascii="Arial" w:eastAsia="Times New Roman" w:hAnsi="Arial" w:cs="Arial"/>
            <w:u w:val="single"/>
            <w:lang w:eastAsia="en-GB"/>
          </w:rPr>
          <w:t>https://teacherhead.com/2013/11/20/defining-the-butterfly-knowing-the-standards-to-set-the-standards/</w:t>
        </w:r>
      </w:hyperlink>
      <w:r w:rsidRPr="009A0BE5">
        <w:rPr>
          <w:rFonts w:ascii="Arial" w:eastAsia="Times New Roman" w:hAnsi="Arial" w:cs="Arial"/>
          <w:lang w:eastAsia="en-GB"/>
        </w:rPr>
        <w:t xml:space="preserve"> (Accessed: 20 February 2020).</w:t>
      </w:r>
    </w:p>
    <w:p w14:paraId="14A3D99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6CDE9BDD"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Sherrington, T. And Stafford, S. (2018) Pose, Pause, Pounce, Bounce, Questioning Techniques. Chartered College of Teaching. </w:t>
      </w:r>
    </w:p>
    <w:p w14:paraId="330E67B8"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4AADD031"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Shuttleworth, M. (2009). Hawthorne Effect. Explorable.com [online] Available at: </w:t>
      </w:r>
      <w:hyperlink r:id="rId23" w:history="1">
        <w:r w:rsidRPr="009A0BE5">
          <w:rPr>
            <w:rFonts w:ascii="Arial" w:eastAsia="Times New Roman" w:hAnsi="Arial" w:cs="Arial"/>
            <w:u w:val="single"/>
            <w:lang w:eastAsia="en-GB"/>
          </w:rPr>
          <w:t>https://explorable.com/hawthorne-effect</w:t>
        </w:r>
      </w:hyperlink>
      <w:r w:rsidRPr="009A0BE5">
        <w:rPr>
          <w:rFonts w:ascii="Arial" w:eastAsia="Times New Roman" w:hAnsi="Arial" w:cs="Arial"/>
          <w:lang w:eastAsia="en-GB"/>
        </w:rPr>
        <w:t xml:space="preserve"> (Accessed: 20 February 2020).</w:t>
      </w:r>
    </w:p>
    <w:p w14:paraId="0918B32F"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139EBB37"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Smidt, S. (2015) Observing Young Children : The Role of Observation and Assessment in Early Childhood Settings. 2nd ed. Print. Essential Guides for Early Years Practitioners.</w:t>
      </w:r>
    </w:p>
    <w:p w14:paraId="4B80D5BE"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2894ACAC"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Tarshis, T. P. (2010) Living with Peer Pressure and Bullying. Teen's Guides Living with Peer Pressure and Bullying. Facts On File.</w:t>
      </w:r>
    </w:p>
    <w:p w14:paraId="6AB1035F"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23DB38E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TeacherToolkit (2011) 'Pose, Pause, Pounce, Bounce!'</w:t>
      </w:r>
      <w:r w:rsidRPr="009A0BE5">
        <w:rPr>
          <w:rFonts w:ascii="Arial" w:eastAsia="Times New Roman" w:hAnsi="Arial" w:cs="Arial"/>
          <w:i/>
          <w:iCs/>
          <w:lang w:eastAsia="en-GB"/>
        </w:rPr>
        <w:t xml:space="preserve"> TeacherToolkit</w:t>
      </w:r>
      <w:r w:rsidRPr="009A0BE5">
        <w:rPr>
          <w:rFonts w:ascii="Arial" w:eastAsia="Times New Roman" w:hAnsi="Arial" w:cs="Arial"/>
          <w:lang w:eastAsia="en-GB"/>
        </w:rPr>
        <w:t xml:space="preserve"> [Online] Available at: </w:t>
      </w:r>
      <w:hyperlink r:id="rId24" w:history="1">
        <w:r w:rsidRPr="009A0BE5">
          <w:rPr>
            <w:rFonts w:ascii="Arial" w:eastAsia="Times New Roman" w:hAnsi="Arial" w:cs="Arial"/>
            <w:u w:val="single"/>
            <w:lang w:eastAsia="en-GB"/>
          </w:rPr>
          <w:t>https://www.teachertoolkit.co.uk/2011/11/04/pose-pause-bounce-pounce/</w:t>
        </w:r>
      </w:hyperlink>
      <w:r w:rsidRPr="009A0BE5">
        <w:rPr>
          <w:rFonts w:ascii="Arial" w:eastAsia="Times New Roman" w:hAnsi="Arial" w:cs="Arial"/>
          <w:lang w:eastAsia="en-GB"/>
        </w:rPr>
        <w:t xml:space="preserve"> (Accessed: 20 February 2020)</w:t>
      </w:r>
    </w:p>
    <w:p w14:paraId="2C22537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3BE84DB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TeacherToolkit (2013) 'Pose, Pause, Pounce, Bounce' Teacher Toolkit, [blog] Available at: </w:t>
      </w:r>
      <w:hyperlink r:id="rId25" w:history="1">
        <w:r w:rsidRPr="009A0BE5">
          <w:rPr>
            <w:rFonts w:ascii="Arial" w:eastAsia="Times New Roman" w:hAnsi="Arial" w:cs="Arial"/>
            <w:u w:val="single"/>
            <w:lang w:eastAsia="en-GB"/>
          </w:rPr>
          <w:t>https://www.teachertoolkit.co.uk/2013/01/04/pppb/</w:t>
        </w:r>
      </w:hyperlink>
      <w:r w:rsidRPr="009A0BE5">
        <w:rPr>
          <w:rFonts w:ascii="Arial" w:eastAsia="Times New Roman" w:hAnsi="Arial" w:cs="Arial"/>
          <w:lang w:eastAsia="en-GB"/>
        </w:rPr>
        <w:t xml:space="preserve"> (Accessed: 10 February 2020).</w:t>
      </w:r>
    </w:p>
    <w:p w14:paraId="59F9AD9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5A851A00"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Tobin, K. (1987) ‘The Role of Wait Time in Higher Cognitive Level Learning’, </w:t>
      </w:r>
      <w:r w:rsidRPr="009A0BE5">
        <w:rPr>
          <w:rFonts w:ascii="Arial" w:eastAsia="Times New Roman" w:hAnsi="Arial" w:cs="Arial"/>
          <w:i/>
          <w:iCs/>
          <w:lang w:eastAsia="en-GB"/>
        </w:rPr>
        <w:t>Review of Educational Research</w:t>
      </w:r>
      <w:r w:rsidRPr="009A0BE5">
        <w:rPr>
          <w:rFonts w:ascii="Arial" w:eastAsia="Times New Roman" w:hAnsi="Arial" w:cs="Arial"/>
          <w:lang w:eastAsia="en-GB"/>
        </w:rPr>
        <w:t>, 57(1), pp. 69-95.</w:t>
      </w:r>
    </w:p>
    <w:p w14:paraId="3F4348EB"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13512DD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Tofade, T., Elsner, J., and Haines, S. T. (2013). Best practice strategies for effective use of questions as a teaching tool. </w:t>
      </w:r>
      <w:r w:rsidRPr="009A0BE5">
        <w:rPr>
          <w:rFonts w:ascii="Arial" w:eastAsia="Times New Roman" w:hAnsi="Arial" w:cs="Arial"/>
          <w:i/>
          <w:iCs/>
          <w:lang w:eastAsia="en-GB"/>
        </w:rPr>
        <w:t>American journal of pharmaceutical education</w:t>
      </w:r>
      <w:r w:rsidRPr="009A0BE5">
        <w:rPr>
          <w:rFonts w:ascii="Arial" w:eastAsia="Times New Roman" w:hAnsi="Arial" w:cs="Arial"/>
          <w:lang w:eastAsia="en-GB"/>
        </w:rPr>
        <w:t xml:space="preserve">, </w:t>
      </w:r>
      <w:r w:rsidRPr="009A0BE5">
        <w:rPr>
          <w:rFonts w:ascii="Arial" w:eastAsia="Times New Roman" w:hAnsi="Arial" w:cs="Arial"/>
          <w:i/>
          <w:iCs/>
          <w:lang w:eastAsia="en-GB"/>
        </w:rPr>
        <w:t>77</w:t>
      </w:r>
      <w:r w:rsidRPr="009A0BE5">
        <w:rPr>
          <w:rFonts w:ascii="Arial" w:eastAsia="Times New Roman" w:hAnsi="Arial" w:cs="Arial"/>
          <w:lang w:eastAsia="en-GB"/>
        </w:rPr>
        <w:t xml:space="preserve">(7), pp. 155. </w:t>
      </w:r>
    </w:p>
    <w:p w14:paraId="2C57B1F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3B5276E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TryThisTeaching (2013) 'Pose, Pause, Pounce, Bounce' Try This Teaching, [blog]. Available at: </w:t>
      </w:r>
      <w:hyperlink r:id="rId26" w:history="1">
        <w:r w:rsidRPr="009A0BE5">
          <w:rPr>
            <w:rFonts w:ascii="Arial" w:eastAsia="Times New Roman" w:hAnsi="Arial" w:cs="Arial"/>
            <w:u w:val="single"/>
            <w:lang w:eastAsia="en-GB"/>
          </w:rPr>
          <w:t>https://www.trythisteaching.com/2013/06/pose-pause-pounce-bounce/</w:t>
        </w:r>
      </w:hyperlink>
      <w:r w:rsidRPr="009A0BE5">
        <w:rPr>
          <w:rFonts w:ascii="Arial" w:eastAsia="Times New Roman" w:hAnsi="Arial" w:cs="Arial"/>
          <w:lang w:eastAsia="en-GB"/>
        </w:rPr>
        <w:t xml:space="preserve"> (Accessed: 10 February 2020).</w:t>
      </w:r>
    </w:p>
    <w:p w14:paraId="65A7EAD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75E8DDB2"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UWTSD Research Ethics and Integrity Code of Practice (2017)</w:t>
      </w:r>
    </w:p>
    <w:p w14:paraId="018DDA39"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39F96731"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Wasik, B. (2013) 'Realizing the Promise of Open-Ended Questions.' Reading Teacher, 67(4), pp. 302-312. </w:t>
      </w:r>
    </w:p>
    <w:p w14:paraId="2FF89C4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6F8FBD5C"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Wiliam, D. (2009) </w:t>
      </w:r>
      <w:hyperlink r:id="rId27" w:history="1">
        <w:r w:rsidRPr="009A0BE5">
          <w:rPr>
            <w:rFonts w:ascii="Arial" w:eastAsia="Times New Roman" w:hAnsi="Arial" w:cs="Arial"/>
            <w:u w:val="single"/>
            <w:lang w:eastAsia="en-GB"/>
          </w:rPr>
          <w:t>Solution Tree: Dylan Wiliam, Content Then Process</w:t>
        </w:r>
      </w:hyperlink>
      <w:r w:rsidRPr="009A0BE5">
        <w:rPr>
          <w:rFonts w:ascii="Arial" w:eastAsia="Times New Roman" w:hAnsi="Arial" w:cs="Arial"/>
          <w:lang w:eastAsia="en-GB"/>
        </w:rPr>
        <w:t xml:space="preserve"> [video]. Available at: </w:t>
      </w:r>
    </w:p>
    <w:p w14:paraId="78605865" w14:textId="77777777" w:rsidR="009A0BE5" w:rsidRPr="009A0BE5" w:rsidRDefault="0040090C" w:rsidP="009A0BE5">
      <w:pPr>
        <w:spacing w:after="0" w:line="240" w:lineRule="auto"/>
        <w:rPr>
          <w:rFonts w:ascii="Arial" w:eastAsia="Times New Roman" w:hAnsi="Arial" w:cs="Arial"/>
          <w:lang w:eastAsia="en-GB"/>
        </w:rPr>
      </w:pPr>
      <w:hyperlink r:id="rId28" w:history="1">
        <w:r w:rsidR="009A0BE5" w:rsidRPr="009A0BE5">
          <w:rPr>
            <w:rFonts w:ascii="Arial" w:eastAsia="Times New Roman" w:hAnsi="Arial" w:cs="Arial"/>
            <w:u w:val="single"/>
            <w:lang w:eastAsia="en-GB"/>
          </w:rPr>
          <w:t>https://youtu.be/029fSeOaGio</w:t>
        </w:r>
      </w:hyperlink>
      <w:r w:rsidR="009A0BE5" w:rsidRPr="009A0BE5">
        <w:rPr>
          <w:rFonts w:ascii="Arial" w:eastAsia="Times New Roman" w:hAnsi="Arial" w:cs="Arial"/>
          <w:lang w:eastAsia="en-GB"/>
        </w:rPr>
        <w:t xml:space="preserve"> (Accessed: 17 February 2020).</w:t>
      </w:r>
    </w:p>
    <w:p w14:paraId="232C2323"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6F4CC6B6"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xml:space="preserve">Wiliam, D. (2015) Practical Ideas For Classroom Formative Assessment, Dylan Wiliam Centre [online]. Available at: </w:t>
      </w:r>
      <w:hyperlink r:id="rId29" w:history="1">
        <w:r w:rsidRPr="009A0BE5">
          <w:rPr>
            <w:rFonts w:ascii="Arial" w:eastAsia="Times New Roman" w:hAnsi="Arial" w:cs="Arial"/>
            <w:u w:val="single"/>
            <w:lang w:eastAsia="en-GB"/>
          </w:rPr>
          <w:t>https://www.dylanwiliamcenter.com/2015/02/03/practical-ideas-for-classroom-formative-assessment/</w:t>
        </w:r>
      </w:hyperlink>
      <w:r w:rsidRPr="009A0BE5">
        <w:rPr>
          <w:rFonts w:ascii="Arial" w:eastAsia="Times New Roman" w:hAnsi="Arial" w:cs="Arial"/>
          <w:lang w:eastAsia="en-GB"/>
        </w:rPr>
        <w:t xml:space="preserve"> (Accessed: 18 February 2020).</w:t>
      </w:r>
    </w:p>
    <w:p w14:paraId="6F701B84"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t> </w:t>
      </w:r>
    </w:p>
    <w:p w14:paraId="3ADC8A45" w14:textId="77777777" w:rsidR="009A0BE5" w:rsidRPr="009A0BE5" w:rsidRDefault="009A0BE5" w:rsidP="009A0BE5">
      <w:pPr>
        <w:spacing w:after="0" w:line="240" w:lineRule="auto"/>
        <w:rPr>
          <w:rFonts w:ascii="Arial" w:eastAsia="Times New Roman" w:hAnsi="Arial" w:cs="Arial"/>
          <w:lang w:eastAsia="en-GB"/>
        </w:rPr>
      </w:pPr>
      <w:r w:rsidRPr="009A0BE5">
        <w:rPr>
          <w:rFonts w:ascii="Arial" w:eastAsia="Times New Roman" w:hAnsi="Arial" w:cs="Arial"/>
          <w:lang w:eastAsia="en-GB"/>
        </w:rPr>
        <w:lastRenderedPageBreak/>
        <w:t xml:space="preserve">Wolf, K. (2002) Self-Assessment: The Reflective Practitioner. Available at: </w:t>
      </w:r>
      <w:hyperlink r:id="rId30" w:history="1">
        <w:r w:rsidRPr="009A0BE5">
          <w:rPr>
            <w:rFonts w:ascii="Arial" w:eastAsia="Times New Roman" w:hAnsi="Arial" w:cs="Arial"/>
            <w:u w:val="single"/>
            <w:lang w:eastAsia="en-GB"/>
          </w:rPr>
          <w:t>https://www.dpi.nc.gov/search?search_api_views_fulltext=kenneth%20wolf</w:t>
        </w:r>
      </w:hyperlink>
      <w:r w:rsidRPr="009A0BE5">
        <w:rPr>
          <w:rFonts w:ascii="Arial" w:eastAsia="Times New Roman" w:hAnsi="Arial" w:cs="Arial"/>
          <w:lang w:eastAsia="en-GB"/>
        </w:rPr>
        <w:t xml:space="preserve"> (Accessed: 15 December 2019).</w:t>
      </w:r>
    </w:p>
    <w:p w14:paraId="2DD31F9C" w14:textId="77777777" w:rsidR="009A0BE5" w:rsidRPr="009A0BE5" w:rsidRDefault="009A0BE5" w:rsidP="009A0BE5">
      <w:pPr>
        <w:pStyle w:val="AssignBody"/>
      </w:pPr>
    </w:p>
    <w:sectPr w:rsidR="009A0BE5" w:rsidRPr="009A0BE5">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079FE" w14:textId="77777777" w:rsidR="0040090C" w:rsidRDefault="0040090C" w:rsidP="00E611D9">
      <w:pPr>
        <w:spacing w:after="0" w:line="240" w:lineRule="auto"/>
      </w:pPr>
      <w:r>
        <w:separator/>
      </w:r>
    </w:p>
  </w:endnote>
  <w:endnote w:type="continuationSeparator" w:id="0">
    <w:p w14:paraId="61F2F21F" w14:textId="77777777" w:rsidR="0040090C" w:rsidRDefault="0040090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23284" w14:textId="77777777" w:rsidR="0040090C" w:rsidRDefault="0040090C" w:rsidP="00E611D9">
      <w:pPr>
        <w:spacing w:after="0" w:line="240" w:lineRule="auto"/>
      </w:pPr>
      <w:r>
        <w:separator/>
      </w:r>
    </w:p>
  </w:footnote>
  <w:footnote w:type="continuationSeparator" w:id="0">
    <w:p w14:paraId="42466237" w14:textId="77777777" w:rsidR="0040090C" w:rsidRDefault="0040090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1316A520" w:rsidR="00755E37" w:rsidRDefault="00755E37">
    <w:pPr>
      <w:pStyle w:val="Header"/>
    </w:pPr>
    <w:r>
      <w:t>ECAD7004/C</w:t>
    </w:r>
    <w:r w:rsidR="002F5915">
      <w:t xml:space="preserve">                                                                                                                                              P129083</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0D61"/>
    <w:rsid w:val="0003208B"/>
    <w:rsid w:val="00076283"/>
    <w:rsid w:val="00082845"/>
    <w:rsid w:val="00083103"/>
    <w:rsid w:val="000C69D6"/>
    <w:rsid w:val="000F2279"/>
    <w:rsid w:val="000F3E48"/>
    <w:rsid w:val="000F5996"/>
    <w:rsid w:val="000F6909"/>
    <w:rsid w:val="000F6FFB"/>
    <w:rsid w:val="00162DD1"/>
    <w:rsid w:val="00190069"/>
    <w:rsid w:val="0019213B"/>
    <w:rsid w:val="001C174C"/>
    <w:rsid w:val="001C6B63"/>
    <w:rsid w:val="00205311"/>
    <w:rsid w:val="002229F0"/>
    <w:rsid w:val="002429C8"/>
    <w:rsid w:val="00245AE1"/>
    <w:rsid w:val="00251B6F"/>
    <w:rsid w:val="00253A5B"/>
    <w:rsid w:val="0026753B"/>
    <w:rsid w:val="00271FD9"/>
    <w:rsid w:val="00282B69"/>
    <w:rsid w:val="00290E50"/>
    <w:rsid w:val="002B02D3"/>
    <w:rsid w:val="002F5915"/>
    <w:rsid w:val="00306E2C"/>
    <w:rsid w:val="0033066F"/>
    <w:rsid w:val="003449F4"/>
    <w:rsid w:val="00362F5D"/>
    <w:rsid w:val="0036626C"/>
    <w:rsid w:val="003B6BD0"/>
    <w:rsid w:val="0040090C"/>
    <w:rsid w:val="00454C84"/>
    <w:rsid w:val="00476F75"/>
    <w:rsid w:val="00486193"/>
    <w:rsid w:val="00494324"/>
    <w:rsid w:val="004B4BC7"/>
    <w:rsid w:val="004B5F0A"/>
    <w:rsid w:val="005039EB"/>
    <w:rsid w:val="0052720F"/>
    <w:rsid w:val="00530CFB"/>
    <w:rsid w:val="00537C6C"/>
    <w:rsid w:val="00556DE5"/>
    <w:rsid w:val="00593C45"/>
    <w:rsid w:val="005D2BB8"/>
    <w:rsid w:val="00614890"/>
    <w:rsid w:val="0062275F"/>
    <w:rsid w:val="006419C3"/>
    <w:rsid w:val="006428F6"/>
    <w:rsid w:val="0065458C"/>
    <w:rsid w:val="00674275"/>
    <w:rsid w:val="00694407"/>
    <w:rsid w:val="006A6BF0"/>
    <w:rsid w:val="006B3265"/>
    <w:rsid w:val="006B5861"/>
    <w:rsid w:val="006F05FA"/>
    <w:rsid w:val="006F3E7B"/>
    <w:rsid w:val="00714A88"/>
    <w:rsid w:val="00722E71"/>
    <w:rsid w:val="00735E9D"/>
    <w:rsid w:val="00750A89"/>
    <w:rsid w:val="00755E37"/>
    <w:rsid w:val="00793A37"/>
    <w:rsid w:val="007F276D"/>
    <w:rsid w:val="00817F7A"/>
    <w:rsid w:val="00835816"/>
    <w:rsid w:val="00851462"/>
    <w:rsid w:val="008C7C24"/>
    <w:rsid w:val="008E257C"/>
    <w:rsid w:val="00966924"/>
    <w:rsid w:val="00974E42"/>
    <w:rsid w:val="009A0BE5"/>
    <w:rsid w:val="009C2864"/>
    <w:rsid w:val="009E3DF1"/>
    <w:rsid w:val="00A02712"/>
    <w:rsid w:val="00A16BD6"/>
    <w:rsid w:val="00A612BF"/>
    <w:rsid w:val="00AD3E80"/>
    <w:rsid w:val="00AF1378"/>
    <w:rsid w:val="00B239D0"/>
    <w:rsid w:val="00B457F0"/>
    <w:rsid w:val="00B50571"/>
    <w:rsid w:val="00BB1A21"/>
    <w:rsid w:val="00BC651E"/>
    <w:rsid w:val="00BD4857"/>
    <w:rsid w:val="00BD59E2"/>
    <w:rsid w:val="00BD5BCA"/>
    <w:rsid w:val="00C172CF"/>
    <w:rsid w:val="00C30FC4"/>
    <w:rsid w:val="00C37E93"/>
    <w:rsid w:val="00C81E4F"/>
    <w:rsid w:val="00C861BE"/>
    <w:rsid w:val="00CD1240"/>
    <w:rsid w:val="00CE5E3A"/>
    <w:rsid w:val="00CF1FBA"/>
    <w:rsid w:val="00CF30C9"/>
    <w:rsid w:val="00D30559"/>
    <w:rsid w:val="00D37DBA"/>
    <w:rsid w:val="00D638DF"/>
    <w:rsid w:val="00D83A40"/>
    <w:rsid w:val="00D900B7"/>
    <w:rsid w:val="00D94198"/>
    <w:rsid w:val="00D96FCD"/>
    <w:rsid w:val="00DA5641"/>
    <w:rsid w:val="00DC09CB"/>
    <w:rsid w:val="00E0218E"/>
    <w:rsid w:val="00E26E57"/>
    <w:rsid w:val="00E31173"/>
    <w:rsid w:val="00E53526"/>
    <w:rsid w:val="00E611D9"/>
    <w:rsid w:val="00E62902"/>
    <w:rsid w:val="00EC2E77"/>
    <w:rsid w:val="00EE0916"/>
    <w:rsid w:val="00F27CE9"/>
    <w:rsid w:val="00FD1834"/>
    <w:rsid w:val="00FF1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A0B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19304">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yondpenguins.ehe.osu.edu/issue/energy-and-the-polar-environment/questioning-techniques-research-based-strategies-for-teachers" TargetMode="External"/><Relationship Id="rId18" Type="http://schemas.openxmlformats.org/officeDocument/2006/relationships/hyperlink" Target="https://digest.bps.org.uk/2016/11/28/the-psychology-of-eye-contact-digested/" TargetMode="External"/><Relationship Id="rId26" Type="http://schemas.openxmlformats.org/officeDocument/2006/relationships/hyperlink" Target="https://www.trythisteaching.com/2013/06/pose-pause-pounce-bounce/" TargetMode="External"/><Relationship Id="rId3" Type="http://schemas.openxmlformats.org/officeDocument/2006/relationships/customXml" Target="../customXml/item3.xml"/><Relationship Id="rId21" Type="http://schemas.openxmlformats.org/officeDocument/2006/relationships/hyperlink" Target="https://www.psychologistworld.com/body-language/eyes"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impact.chartered.college/article/doherty-skilful-questioning-beating-heart-pedagogy/" TargetMode="External"/><Relationship Id="rId17" Type="http://schemas.openxmlformats.org/officeDocument/2006/relationships/hyperlink" Target="https://www.verywellfamily.com/bad-habits-and-fidgeting-at-school-2634497" TargetMode="External"/><Relationship Id="rId25" Type="http://schemas.openxmlformats.org/officeDocument/2006/relationships/hyperlink" Target="https://www.teachertoolkit.co.uk/2013/01/04/pppb/"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searchgate.net/figure/Systematic-observation-schedule-for-pupils-on-task-off-task-behaviour-The-three-schools_fig5_232607640?fbclid=IwAR2EXsPpYocJRBkLfiSaQszzRNttG-tL3I3--Lg2W98eiMqtarRfZh6bsXY" TargetMode="External"/><Relationship Id="rId20" Type="http://schemas.openxmlformats.org/officeDocument/2006/relationships/hyperlink" Target="https://www.verywellmind.com/types-of-nonverbal-communication-2795397" TargetMode="External"/><Relationship Id="rId29" Type="http://schemas.openxmlformats.org/officeDocument/2006/relationships/hyperlink" Target="https://www.dylanwiliamcenter.com/2015/02/03/practical-ideas-for-classroom-formative-assess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arningspy.co.uk/leadership/model-lesson-part-1/" TargetMode="External"/><Relationship Id="rId24" Type="http://schemas.openxmlformats.org/officeDocument/2006/relationships/hyperlink" Target="https://www.teachertoolkit.co.uk/2011/11/04/pose-pause-bounce-pounce/"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bbntimes.com/companies/fascinating-facts-about-eye-contact" TargetMode="External"/><Relationship Id="rId23" Type="http://schemas.openxmlformats.org/officeDocument/2006/relationships/hyperlink" Target="https://explorable.com/hawthorne-effect" TargetMode="External"/><Relationship Id="rId28" Type="http://schemas.openxmlformats.org/officeDocument/2006/relationships/hyperlink" Target="https://youtu.be/029fSeOaGio" TargetMode="External"/><Relationship Id="rId10" Type="http://schemas.openxmlformats.org/officeDocument/2006/relationships/hyperlink" Target="https://teachingandlearninginhighered.org/2015/05/28/when-students-dont-answer-a-question-what-does-the-awkward-silence-mean/" TargetMode="External"/><Relationship Id="rId19" Type="http://schemas.openxmlformats.org/officeDocument/2006/relationships/hyperlink" Target="https://www.edutopia.org/blog/student-engagement-definition-ben-johnson"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oxfordreference-com.ezproxy.uwtsd.ac.uk/view/10.1093/acref/9780199212064.001.0001/acref-9780199212064-e-60" TargetMode="External"/><Relationship Id="rId14" Type="http://schemas.openxmlformats.org/officeDocument/2006/relationships/hyperlink" Target="https://www.verywellmind.com/understand-body-language-and-facial-expressions-4147228(Accessed" TargetMode="External"/><Relationship Id="rId22" Type="http://schemas.openxmlformats.org/officeDocument/2006/relationships/hyperlink" Target="https://teacherhead.com/2013/11/20/defining-the-butterfly-knowing-the-standards-to-set-the-standards/" TargetMode="External"/><Relationship Id="rId27" Type="http://schemas.openxmlformats.org/officeDocument/2006/relationships/hyperlink" Target="https://www.youtube.com/watch?v=029fSeOaGio" TargetMode="External"/><Relationship Id="rId30" Type="http://schemas.openxmlformats.org/officeDocument/2006/relationships/hyperlink" Target="https://www.dpi.nc.gov/search?search_api_views_fulltext=kenneth%20wolf"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13" ma:contentTypeDescription="Create a new document." ma:contentTypeScope="" ma:versionID="0f5b6d964850057bf692ecce39223555">
  <xsd:schema xmlns:xsd="http://www.w3.org/2001/XMLSchema" xmlns:xs="http://www.w3.org/2001/XMLSchema" xmlns:p="http://schemas.microsoft.com/office/2006/metadata/properties" xmlns:ns3="cf37589e-79a4-4ad7-84b7-60b6d0c56612" xmlns:ns4="25ae1f4b-5282-41d4-b625-a24acda62aec" targetNamespace="http://schemas.microsoft.com/office/2006/metadata/properties" ma:root="true" ma:fieldsID="55fbc2dad7e773649bfd9beb726af744" ns3:_="" ns4:_="">
    <xsd:import namespace="cf37589e-79a4-4ad7-84b7-60b6d0c56612"/>
    <xsd:import namespace="25ae1f4b-5282-41d4-b625-a24acda62a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7589e-79a4-4ad7-84b7-60b6d0c566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ae1f4b-5282-41d4-b625-a24acda62ae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A4D47F-E956-4BAC-BF4E-97BBD0DD6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37589e-79a4-4ad7-84b7-60b6d0c56612"/>
    <ds:schemaRef ds:uri="25ae1f4b-5282-41d4-b625-a24acda62a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15</Pages>
  <Words>6466</Words>
  <Characters>36859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Rachel Piper</cp:lastModifiedBy>
  <cp:revision>104</cp:revision>
  <dcterms:created xsi:type="dcterms:W3CDTF">2020-02-20T11:27:00Z</dcterms:created>
  <dcterms:modified xsi:type="dcterms:W3CDTF">2020-02-21T01:49:00Z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ies>
</file>