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2E962" w14:textId="19A10304" w:rsidR="009A1D28" w:rsidRDefault="001E59F6">
      <w:pPr>
        <w:rPr>
          <w:noProof/>
        </w:rPr>
      </w:pPr>
      <w:r>
        <w:rPr>
          <w:noProof/>
        </w:rPr>
        <w:drawing>
          <wp:inline distT="0" distB="0" distL="0" distR="0" wp14:anchorId="50FD6A86" wp14:editId="45E5AB98">
            <wp:extent cx="5431809" cy="2197290"/>
            <wp:effectExtent l="0" t="0" r="3810" b="0"/>
            <wp:docPr id="5" name="Picture 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4112" cy="2254855"/>
                    </a:xfrm>
                    <a:prstGeom prst="rect">
                      <a:avLst/>
                    </a:prstGeom>
                    <a:noFill/>
                    <a:ln>
                      <a:noFill/>
                    </a:ln>
                  </pic:spPr>
                </pic:pic>
              </a:graphicData>
            </a:graphic>
          </wp:inline>
        </w:drawing>
      </w:r>
    </w:p>
    <w:p w14:paraId="3A94AEEB" w14:textId="77777777" w:rsidR="001E59F6" w:rsidRPr="001E59F6" w:rsidRDefault="001E59F6" w:rsidP="001E59F6"/>
    <w:p w14:paraId="3091D354" w14:textId="77777777" w:rsidR="001E59F6" w:rsidRDefault="001E59F6" w:rsidP="001E59F6">
      <w:pPr>
        <w:rPr>
          <w:noProof/>
        </w:rPr>
      </w:pPr>
    </w:p>
    <w:p w14:paraId="70EA9EFD" w14:textId="41BB1324" w:rsidR="001E59F6" w:rsidRPr="000E360A" w:rsidRDefault="001E59F6" w:rsidP="001E59F6">
      <w:pPr>
        <w:ind w:firstLine="720"/>
        <w:rPr>
          <w:rFonts w:ascii="Arial" w:hAnsi="Arial" w:cs="Arial"/>
          <w:b/>
          <w:bCs/>
        </w:rPr>
      </w:pPr>
      <w:r w:rsidRPr="000E360A">
        <w:rPr>
          <w:rFonts w:ascii="Arial" w:hAnsi="Arial" w:cs="Arial"/>
          <w:b/>
          <w:bCs/>
        </w:rPr>
        <w:t>Changemakers: Creativity and Value Creation</w:t>
      </w:r>
    </w:p>
    <w:p w14:paraId="0CA291E6" w14:textId="77777777" w:rsidR="001E59F6" w:rsidRPr="000E360A" w:rsidRDefault="001E59F6" w:rsidP="001E59F6">
      <w:pPr>
        <w:ind w:firstLine="720"/>
        <w:rPr>
          <w:rFonts w:ascii="Arial" w:hAnsi="Arial" w:cs="Arial"/>
        </w:rPr>
      </w:pPr>
    </w:p>
    <w:p w14:paraId="669AC074" w14:textId="77777777" w:rsidR="001E59F6" w:rsidRPr="000E360A" w:rsidRDefault="001E59F6" w:rsidP="001E59F6">
      <w:pPr>
        <w:rPr>
          <w:rFonts w:ascii="Arial" w:hAnsi="Arial" w:cs="Arial"/>
          <w:b/>
          <w:bCs/>
        </w:rPr>
      </w:pPr>
    </w:p>
    <w:p w14:paraId="04C5949B" w14:textId="7977C919" w:rsidR="001E59F6" w:rsidRPr="000E360A" w:rsidRDefault="001E59F6" w:rsidP="001E59F6">
      <w:pPr>
        <w:rPr>
          <w:rFonts w:ascii="Arial" w:hAnsi="Arial" w:cs="Arial"/>
          <w:b/>
          <w:bCs/>
        </w:rPr>
      </w:pPr>
      <w:r w:rsidRPr="000E360A">
        <w:rPr>
          <w:rFonts w:ascii="Arial" w:hAnsi="Arial" w:cs="Arial"/>
          <w:b/>
          <w:bCs/>
        </w:rPr>
        <w:t xml:space="preserve">Component 2: Report Assignment </w:t>
      </w:r>
    </w:p>
    <w:p w14:paraId="209F0FEC" w14:textId="77777777" w:rsidR="001E59F6" w:rsidRPr="000E360A" w:rsidRDefault="001E59F6" w:rsidP="001E59F6">
      <w:pPr>
        <w:rPr>
          <w:rFonts w:ascii="Arial" w:hAnsi="Arial" w:cs="Arial"/>
          <w:b/>
          <w:bCs/>
        </w:rPr>
      </w:pPr>
    </w:p>
    <w:p w14:paraId="30E502AF" w14:textId="28819749" w:rsidR="001E59F6" w:rsidRPr="000E360A" w:rsidRDefault="001E59F6" w:rsidP="001E59F6">
      <w:pPr>
        <w:rPr>
          <w:rFonts w:ascii="Arial" w:hAnsi="Arial" w:cs="Arial"/>
          <w:b/>
          <w:bCs/>
          <w:lang w:val="pt-PT"/>
        </w:rPr>
      </w:pPr>
      <w:r w:rsidRPr="000E360A">
        <w:rPr>
          <w:rFonts w:ascii="Arial" w:hAnsi="Arial" w:cs="Arial"/>
          <w:b/>
          <w:bCs/>
          <w:lang w:val="pt-PT"/>
        </w:rPr>
        <w:t>Student Name: Nelda Miranda Gomes De Sousa</w:t>
      </w:r>
    </w:p>
    <w:p w14:paraId="6E31C12E" w14:textId="77777777" w:rsidR="001E59F6" w:rsidRPr="000E360A" w:rsidRDefault="001E59F6" w:rsidP="001E59F6">
      <w:pPr>
        <w:rPr>
          <w:rFonts w:ascii="Arial" w:hAnsi="Arial" w:cs="Arial"/>
          <w:b/>
          <w:bCs/>
          <w:lang w:val="pt-PT"/>
        </w:rPr>
      </w:pPr>
    </w:p>
    <w:p w14:paraId="573D2A74" w14:textId="071FE8C7" w:rsidR="001E59F6" w:rsidRPr="000E360A" w:rsidRDefault="001E59F6" w:rsidP="001E59F6">
      <w:pPr>
        <w:rPr>
          <w:rFonts w:ascii="Arial" w:hAnsi="Arial" w:cs="Arial"/>
          <w:b/>
          <w:bCs/>
        </w:rPr>
      </w:pPr>
      <w:r w:rsidRPr="000E360A">
        <w:rPr>
          <w:rFonts w:ascii="Arial" w:hAnsi="Arial" w:cs="Arial"/>
          <w:b/>
          <w:bCs/>
        </w:rPr>
        <w:t>Student Number: 2336733</w:t>
      </w:r>
    </w:p>
    <w:p w14:paraId="648616A7" w14:textId="77777777" w:rsidR="001E59F6" w:rsidRPr="000E360A" w:rsidRDefault="001E59F6" w:rsidP="001E59F6">
      <w:pPr>
        <w:rPr>
          <w:rFonts w:ascii="Arial" w:hAnsi="Arial" w:cs="Arial"/>
          <w:b/>
          <w:bCs/>
        </w:rPr>
      </w:pPr>
    </w:p>
    <w:p w14:paraId="0BB1DB74" w14:textId="0FEFEC6B" w:rsidR="001E59F6" w:rsidRPr="000E360A" w:rsidRDefault="001E59F6" w:rsidP="001E59F6">
      <w:pPr>
        <w:rPr>
          <w:rFonts w:ascii="Arial" w:hAnsi="Arial" w:cs="Arial"/>
          <w:b/>
          <w:bCs/>
        </w:rPr>
      </w:pPr>
      <w:r w:rsidRPr="000E360A">
        <w:rPr>
          <w:rFonts w:ascii="Arial" w:hAnsi="Arial" w:cs="Arial"/>
          <w:b/>
          <w:bCs/>
        </w:rPr>
        <w:t>Lecturer’s Name: Laila Surani</w:t>
      </w:r>
    </w:p>
    <w:p w14:paraId="024D6D09" w14:textId="482D079C" w:rsidR="00D03CF9" w:rsidRDefault="001E59F6">
      <w:pPr>
        <w:rPr>
          <w:rFonts w:ascii="Arial" w:hAnsi="Arial" w:cs="Arial"/>
          <w:b/>
          <w:bCs/>
        </w:rPr>
      </w:pPr>
      <w:r w:rsidRPr="000E360A">
        <w:rPr>
          <w:rFonts w:ascii="Arial" w:hAnsi="Arial" w:cs="Arial"/>
          <w:b/>
          <w:bCs/>
        </w:rPr>
        <w:br w:type="page"/>
      </w:r>
    </w:p>
    <w:sdt>
      <w:sdtPr>
        <w:id w:val="-201875678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1D65310" w14:textId="4D1F463E" w:rsidR="006A6B54" w:rsidRPr="006A6B54" w:rsidRDefault="006A6B54">
          <w:pPr>
            <w:pStyle w:val="TOCHeading"/>
            <w:rPr>
              <w:rFonts w:ascii="Arial" w:hAnsi="Arial" w:cs="Arial"/>
              <w:sz w:val="24"/>
              <w:szCs w:val="24"/>
            </w:rPr>
          </w:pPr>
          <w:r w:rsidRPr="006A6B54">
            <w:rPr>
              <w:rFonts w:ascii="Arial" w:hAnsi="Arial" w:cs="Arial"/>
              <w:sz w:val="24"/>
              <w:szCs w:val="24"/>
            </w:rPr>
            <w:t>Table of Contents</w:t>
          </w:r>
        </w:p>
        <w:p w14:paraId="70302DAA" w14:textId="364F0183" w:rsidR="006A6B54" w:rsidRPr="006A6B54" w:rsidRDefault="006A6B54">
          <w:pPr>
            <w:pStyle w:val="TOC1"/>
            <w:tabs>
              <w:tab w:val="right" w:leader="dot" w:pos="9016"/>
            </w:tabs>
            <w:rPr>
              <w:rFonts w:ascii="Arial" w:eastAsiaTheme="minorEastAsia" w:hAnsi="Arial" w:cs="Arial"/>
              <w:b w:val="0"/>
              <w:bCs w:val="0"/>
              <w:i w:val="0"/>
              <w:iCs w:val="0"/>
              <w:noProof/>
              <w:lang w:eastAsia="en-GB"/>
            </w:rPr>
          </w:pPr>
          <w:r w:rsidRPr="006A6B54">
            <w:rPr>
              <w:rFonts w:ascii="Arial" w:hAnsi="Arial" w:cs="Arial"/>
              <w:b w:val="0"/>
              <w:bCs w:val="0"/>
            </w:rPr>
            <w:fldChar w:fldCharType="begin"/>
          </w:r>
          <w:r w:rsidRPr="006A6B54">
            <w:rPr>
              <w:rFonts w:ascii="Arial" w:hAnsi="Arial" w:cs="Arial"/>
            </w:rPr>
            <w:instrText xml:space="preserve"> TOC \o "1-3" \h \z \u </w:instrText>
          </w:r>
          <w:r w:rsidRPr="006A6B54">
            <w:rPr>
              <w:rFonts w:ascii="Arial" w:hAnsi="Arial" w:cs="Arial"/>
              <w:b w:val="0"/>
              <w:bCs w:val="0"/>
            </w:rPr>
            <w:fldChar w:fldCharType="separate"/>
          </w:r>
          <w:hyperlink w:anchor="_Toc217006098" w:history="1">
            <w:r w:rsidRPr="006A6B54">
              <w:rPr>
                <w:rStyle w:val="Hyperlink"/>
                <w:rFonts w:ascii="Arial" w:hAnsi="Arial" w:cs="Arial"/>
                <w:noProof/>
              </w:rPr>
              <w:t>Title and Innovation Overview</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_Toc217006098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4</w:t>
            </w:r>
            <w:r w:rsidRPr="006A6B54">
              <w:rPr>
                <w:rFonts w:ascii="Arial" w:hAnsi="Arial" w:cs="Arial"/>
                <w:noProof/>
                <w:webHidden/>
              </w:rPr>
              <w:fldChar w:fldCharType="end"/>
            </w:r>
          </w:hyperlink>
        </w:p>
        <w:p w14:paraId="0354D822" w14:textId="0442F3A7"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099" w:history="1">
            <w:r w:rsidRPr="006A6B54">
              <w:rPr>
                <w:rStyle w:val="Hyperlink"/>
                <w:rFonts w:ascii="Arial" w:hAnsi="Arial" w:cs="Arial"/>
                <w:noProof/>
              </w:rPr>
              <w:t>The Issue in Health &amp; Social Care</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_Toc217006099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4</w:t>
            </w:r>
            <w:r w:rsidRPr="006A6B54">
              <w:rPr>
                <w:rFonts w:ascii="Arial" w:hAnsi="Arial" w:cs="Arial"/>
                <w:noProof/>
                <w:webHidden/>
              </w:rPr>
              <w:fldChar w:fldCharType="end"/>
            </w:r>
          </w:hyperlink>
        </w:p>
        <w:p w14:paraId="68F4501D" w14:textId="7E5912FE"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0" w:history="1">
            <w:r w:rsidRPr="006A6B54">
              <w:rPr>
                <w:rStyle w:val="Hyperlink"/>
                <w:rFonts w:ascii="Arial" w:hAnsi="Arial" w:cs="Arial"/>
                <w:noProof/>
              </w:rPr>
              <w:t>Development and Regulation</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_Toc217006100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4</w:t>
            </w:r>
            <w:r w:rsidRPr="006A6B54">
              <w:rPr>
                <w:rFonts w:ascii="Arial" w:hAnsi="Arial" w:cs="Arial"/>
                <w:noProof/>
                <w:webHidden/>
              </w:rPr>
              <w:fldChar w:fldCharType="end"/>
            </w:r>
          </w:hyperlink>
        </w:p>
        <w:p w14:paraId="7FB2587A" w14:textId="282FC6EE"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1" w:history="1">
            <w:r w:rsidRPr="006A6B54">
              <w:rPr>
                <w:rStyle w:val="Hyperlink"/>
                <w:rFonts w:ascii="Arial" w:hAnsi="Arial" w:cs="Arial"/>
                <w:noProof/>
              </w:rPr>
              <w:t>Target Audience</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_Toc217006101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5</w:t>
            </w:r>
            <w:r w:rsidRPr="006A6B54">
              <w:rPr>
                <w:rFonts w:ascii="Arial" w:hAnsi="Arial" w:cs="Arial"/>
                <w:noProof/>
                <w:webHidden/>
              </w:rPr>
              <w:fldChar w:fldCharType="end"/>
            </w:r>
          </w:hyperlink>
        </w:p>
        <w:p w14:paraId="77F93F65" w14:textId="40665E99"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2" w:history="1">
            <w:r w:rsidRPr="006A6B54">
              <w:rPr>
                <w:rStyle w:val="Hyperlink"/>
                <w:rFonts w:ascii="Arial" w:hAnsi="Arial" w:cs="Arial"/>
                <w:noProof/>
              </w:rPr>
              <w:t>The Statutory Context</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_Toc217006102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5</w:t>
            </w:r>
            <w:r w:rsidRPr="006A6B54">
              <w:rPr>
                <w:rFonts w:ascii="Arial" w:hAnsi="Arial" w:cs="Arial"/>
                <w:noProof/>
                <w:webHidden/>
              </w:rPr>
              <w:fldChar w:fldCharType="end"/>
            </w:r>
          </w:hyperlink>
        </w:p>
        <w:p w14:paraId="3002084B" w14:textId="437FD909"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3" w:history="1">
            <w:r w:rsidRPr="006A6B54">
              <w:rPr>
                <w:rStyle w:val="Hyperlink"/>
                <w:rFonts w:ascii="Arial" w:hAnsi="Arial" w:cs="Arial"/>
                <w:noProof/>
              </w:rPr>
              <w:t>Technology Integration</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_Toc217006103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5</w:t>
            </w:r>
            <w:r w:rsidRPr="006A6B54">
              <w:rPr>
                <w:rFonts w:ascii="Arial" w:hAnsi="Arial" w:cs="Arial"/>
                <w:noProof/>
                <w:webHidden/>
              </w:rPr>
              <w:fldChar w:fldCharType="end"/>
            </w:r>
          </w:hyperlink>
        </w:p>
        <w:p w14:paraId="5904EFCC" w14:textId="78D5719B"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4" w:history="1">
            <w:r w:rsidRPr="006A6B54">
              <w:rPr>
                <w:rStyle w:val="Hyperlink"/>
                <w:rFonts w:ascii="Arial" w:hAnsi="Arial" w:cs="Arial"/>
                <w:noProof/>
              </w:rPr>
              <w:t>Implementation</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_Toc217006104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5</w:t>
            </w:r>
            <w:r w:rsidRPr="006A6B54">
              <w:rPr>
                <w:rFonts w:ascii="Arial" w:hAnsi="Arial" w:cs="Arial"/>
                <w:noProof/>
                <w:webHidden/>
              </w:rPr>
              <w:fldChar w:fldCharType="end"/>
            </w:r>
          </w:hyperlink>
        </w:p>
        <w:p w14:paraId="2D705B0C" w14:textId="780A926F"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5" w:history="1">
            <w:r w:rsidRPr="006A6B54">
              <w:rPr>
                <w:rStyle w:val="Hyperlink"/>
                <w:rFonts w:ascii="Arial" w:hAnsi="Arial" w:cs="Arial"/>
                <w:noProof/>
              </w:rPr>
              <w:t>Timeline</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_Toc217006105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6</w:t>
            </w:r>
            <w:r w:rsidRPr="006A6B54">
              <w:rPr>
                <w:rFonts w:ascii="Arial" w:hAnsi="Arial" w:cs="Arial"/>
                <w:noProof/>
                <w:webHidden/>
              </w:rPr>
              <w:fldChar w:fldCharType="end"/>
            </w:r>
          </w:hyperlink>
        </w:p>
        <w:p w14:paraId="4A61B174" w14:textId="18877434"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6" w:history="1">
            <w:r w:rsidRPr="006A6B54">
              <w:rPr>
                <w:rStyle w:val="Hyperlink"/>
                <w:rFonts w:ascii="Arial" w:hAnsi="Arial" w:cs="Arial"/>
                <w:noProof/>
              </w:rPr>
              <w:t>Conclusion</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_Toc217006106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6</w:t>
            </w:r>
            <w:r w:rsidRPr="006A6B54">
              <w:rPr>
                <w:rFonts w:ascii="Arial" w:hAnsi="Arial" w:cs="Arial"/>
                <w:noProof/>
                <w:webHidden/>
              </w:rPr>
              <w:fldChar w:fldCharType="end"/>
            </w:r>
          </w:hyperlink>
        </w:p>
        <w:p w14:paraId="20E17DAB" w14:textId="398669FF" w:rsidR="006A6B54" w:rsidRPr="006A6B54" w:rsidRDefault="006A6B54">
          <w:pPr>
            <w:pStyle w:val="TOC1"/>
            <w:tabs>
              <w:tab w:val="right" w:leader="dot" w:pos="9016"/>
            </w:tabs>
            <w:rPr>
              <w:rFonts w:ascii="Arial" w:eastAsiaTheme="minorEastAsia" w:hAnsi="Arial" w:cs="Arial"/>
              <w:b w:val="0"/>
              <w:bCs w:val="0"/>
              <w:i w:val="0"/>
              <w:iCs w:val="0"/>
              <w:noProof/>
              <w:lang w:eastAsia="en-GB"/>
            </w:rPr>
          </w:pPr>
          <w:hyperlink w:anchor="_Toc217006107" w:history="1">
            <w:r w:rsidRPr="006A6B54">
              <w:rPr>
                <w:rStyle w:val="Hyperlink"/>
                <w:rFonts w:ascii="Arial" w:hAnsi="Arial" w:cs="Arial"/>
                <w:noProof/>
              </w:rPr>
              <w:t>References</w:t>
            </w:r>
            <w:r w:rsidRPr="006A6B54">
              <w:rPr>
                <w:rFonts w:ascii="Arial" w:hAnsi="Arial" w:cs="Arial"/>
                <w:noProof/>
                <w:webHidden/>
              </w:rPr>
              <w:tab/>
            </w:r>
            <w:r w:rsidRPr="006A6B54">
              <w:rPr>
                <w:rFonts w:ascii="Arial" w:hAnsi="Arial" w:cs="Arial"/>
                <w:noProof/>
                <w:webHidden/>
              </w:rPr>
              <w:fldChar w:fldCharType="begin"/>
            </w:r>
            <w:r w:rsidRPr="006A6B54">
              <w:rPr>
                <w:rFonts w:ascii="Arial" w:hAnsi="Arial" w:cs="Arial"/>
                <w:noProof/>
                <w:webHidden/>
              </w:rPr>
              <w:instrText xml:space="preserve"> PAGEREF _Toc217006107 \h </w:instrText>
            </w:r>
            <w:r w:rsidRPr="006A6B54">
              <w:rPr>
                <w:rFonts w:ascii="Arial" w:hAnsi="Arial" w:cs="Arial"/>
                <w:noProof/>
                <w:webHidden/>
              </w:rPr>
            </w:r>
            <w:r w:rsidRPr="006A6B54">
              <w:rPr>
                <w:rFonts w:ascii="Arial" w:hAnsi="Arial" w:cs="Arial"/>
                <w:noProof/>
                <w:webHidden/>
              </w:rPr>
              <w:fldChar w:fldCharType="separate"/>
            </w:r>
            <w:r w:rsidRPr="006A6B54">
              <w:rPr>
                <w:rFonts w:ascii="Arial" w:hAnsi="Arial" w:cs="Arial"/>
                <w:noProof/>
                <w:webHidden/>
              </w:rPr>
              <w:t>7</w:t>
            </w:r>
            <w:r w:rsidRPr="006A6B54">
              <w:rPr>
                <w:rFonts w:ascii="Arial" w:hAnsi="Arial" w:cs="Arial"/>
                <w:noProof/>
                <w:webHidden/>
              </w:rPr>
              <w:fldChar w:fldCharType="end"/>
            </w:r>
          </w:hyperlink>
        </w:p>
        <w:p w14:paraId="563D5305" w14:textId="749D2EF4" w:rsidR="006A6B54" w:rsidRDefault="006A6B54">
          <w:r w:rsidRPr="006A6B54">
            <w:rPr>
              <w:rFonts w:ascii="Arial" w:hAnsi="Arial" w:cs="Arial"/>
              <w:b/>
              <w:bCs/>
              <w:noProof/>
            </w:rPr>
            <w:fldChar w:fldCharType="end"/>
          </w:r>
        </w:p>
      </w:sdtContent>
    </w:sdt>
    <w:p w14:paraId="0289BB40" w14:textId="77777777" w:rsidR="00D03CF9" w:rsidRDefault="00D03CF9">
      <w:pPr>
        <w:rPr>
          <w:rFonts w:ascii="Arial" w:hAnsi="Arial" w:cs="Arial"/>
          <w:b/>
          <w:bCs/>
        </w:rPr>
      </w:pPr>
      <w:r>
        <w:rPr>
          <w:rFonts w:ascii="Arial" w:hAnsi="Arial" w:cs="Arial"/>
          <w:b/>
          <w:bCs/>
        </w:rPr>
        <w:br w:type="page"/>
      </w:r>
    </w:p>
    <w:p w14:paraId="37DD8466" w14:textId="48DBC858" w:rsidR="001E59F6" w:rsidRPr="000E360A" w:rsidRDefault="00B97798">
      <w:pPr>
        <w:rPr>
          <w:rFonts w:ascii="Arial" w:hAnsi="Arial" w:cs="Arial"/>
          <w:b/>
          <w:bCs/>
        </w:rPr>
      </w:pPr>
      <w:r>
        <w:rPr>
          <w:b/>
          <w:bCs/>
          <w:noProof/>
          <w:sz w:val="36"/>
          <w:szCs w:val="36"/>
        </w:rPr>
        <w:lastRenderedPageBreak/>
        <mc:AlternateContent>
          <mc:Choice Requires="wps">
            <w:drawing>
              <wp:anchor distT="0" distB="0" distL="114300" distR="114300" simplePos="0" relativeHeight="251659264" behindDoc="0" locked="0" layoutInCell="1" allowOverlap="1" wp14:anchorId="381D90FD" wp14:editId="35F9160F">
                <wp:simplePos x="0" y="0"/>
                <wp:positionH relativeFrom="column">
                  <wp:posOffset>6097269</wp:posOffset>
                </wp:positionH>
                <wp:positionV relativeFrom="paragraph">
                  <wp:posOffset>-2032920</wp:posOffset>
                </wp:positionV>
                <wp:extent cx="477672" cy="11750107"/>
                <wp:effectExtent l="0" t="0" r="17780" b="10160"/>
                <wp:wrapNone/>
                <wp:docPr id="835323293" name="Text Box 2"/>
                <wp:cNvGraphicFramePr/>
                <a:graphic xmlns:a="http://schemas.openxmlformats.org/drawingml/2006/main">
                  <a:graphicData uri="http://schemas.microsoft.com/office/word/2010/wordprocessingShape">
                    <wps:wsp>
                      <wps:cNvSpPr txBox="1"/>
                      <wps:spPr>
                        <a:xfrm rot="10800000">
                          <a:off x="0" y="0"/>
                          <a:ext cx="477672" cy="11750107"/>
                        </a:xfrm>
                        <a:prstGeom prst="rect">
                          <a:avLst/>
                        </a:prstGeom>
                        <a:solidFill>
                          <a:schemeClr val="lt1"/>
                        </a:solidFill>
                        <a:ln w="6350">
                          <a:solidFill>
                            <a:prstClr val="black"/>
                          </a:solidFill>
                        </a:ln>
                      </wps:spPr>
                      <wps:txbx>
                        <w:txbxContent>
                          <w:p w14:paraId="54E7E2E4" w14:textId="218F9F9E" w:rsidR="000D0EB2" w:rsidRPr="00D42E7B" w:rsidRDefault="00D42E7B">
                            <w:pPr>
                              <w:rPr>
                                <w:b/>
                                <w:bCs/>
                                <w:sz w:val="28"/>
                                <w:szCs w:val="28"/>
                              </w:rPr>
                            </w:pPr>
                            <w:r>
                              <w:rPr>
                                <w:b/>
                                <w:bCs/>
                                <w:sz w:val="28"/>
                                <w:szCs w:val="28"/>
                              </w:rPr>
                              <w:t xml:space="preserve">Poster </w:t>
                            </w:r>
                            <w:r w:rsidR="000E360A">
                              <w:rPr>
                                <w:b/>
                                <w:bCs/>
                                <w:sz w:val="28"/>
                                <w:szCs w:val="28"/>
                              </w:rPr>
                              <w:t>conte</w:t>
                            </w:r>
                            <w:r w:rsidR="000E360A" w:rsidRPr="000E360A">
                              <w:rPr>
                                <w:b/>
                                <w:bCs/>
                              </w:rPr>
                              <w:t>nts</w:t>
                            </w:r>
                            <w:r w:rsidRPr="000E360A">
                              <w:rPr>
                                <w:b/>
                                <w:bCs/>
                              </w:rPr>
                              <w:t xml:space="preserve"> presented as a 1,000-word equivalency using concise text</w:t>
                            </w:r>
                            <w:r>
                              <w:rPr>
                                <w:b/>
                                <w:bCs/>
                                <w:sz w:val="28"/>
                                <w:szCs w:val="28"/>
                              </w:rPr>
                              <w:t>.</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1D90FD" id="_x0000_t202" coordsize="21600,21600" o:spt="202" path="m,l,21600r21600,l21600,xe">
                <v:stroke joinstyle="miter"/>
                <v:path gradientshapeok="t" o:connecttype="rect"/>
              </v:shapetype>
              <v:shape id="Text Box 2" o:spid="_x0000_s1026" type="#_x0000_t202" style="position:absolute;margin-left:480.1pt;margin-top:-160.05pt;width:37.6pt;height:925.2pt;rotation:18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2YrQgIAAI4EAAAOAAAAZHJzL2Uyb0RvYy54bWysVFFv2jAQfp+0/2D5fSRhQLqIUDEqpkmo&#13;&#10;rUS3PhvHIdEcn2cbEvbrd3YCpd2epuXBOfu+fL777i7z266R5CiMrUHlNBnFlAjFoajVPqffntYf&#13;&#10;biixjqmCSVAipydh6e3i/bt5qzMxhgpkIQxBEmWzVue0ck5nUWR5JRpmR6CFQmcJpmEOt2YfFYa1&#13;&#10;yN7IaBzHs6gFU2gDXFiLp3e9ky4Cf1kK7h7K0gpHZE4xNhdWE9adX6PFnGV7w3RV8yEM9g9RNKxW&#13;&#10;eOmF6o45Rg6m/oOqqbkBC6UbcWgiKMuai5ADZpPEb7LZVkyLkAuKY/VFJvv/aPn9casfDXHdZ+iw&#13;&#10;gF6QVtvM4qHPpytNQwygbkl8E/snpImBE4SjoqeLiqJzhOPhJE1n6ZgSjq4kSaeYV+ppo57Ns2pj&#13;&#10;3RcBDfFGTg2WKdCy48a6HnqGeLgFWRfrWsqw8a0hVtKQI8OiShdiRvJXKKlIm9PZx2kf7yufp758&#13;&#10;v5OM/xjCu0Ihn1QY84sW3nLdrhsE2kFxQt2CNCiD1XxdI++GWffIDPYQHuJcuAdcSgkYDAwWJRWY&#13;&#10;X3879/icCvYd35S02JU5tT8PzAhK5FeFZf+UTCa+jcNmMk3HuDHXnt21Rx2aFaBGSYgvmB7v5Nks&#13;&#10;DTTPOEBLfy+6mOIYW07x9t5cuX5WcAC5WC4DCBtXM7dRW8099bmeT90zM3qoqMNmuIdz/7LsTWF7&#13;&#10;rP9SwfLgoKxD1b3Eva6D8tj0oW+GAfVTdb0PqJffyOI3AAAA//8DAFBLAwQUAAYACAAAACEAC1Yn&#13;&#10;BugAAAATAQAADwAAAGRycy9kb3ducmV2LnhtbExPy07DMBC8I/EP1iJxQa3dhEYljVPxEOLQA7Qp&#13;&#10;guMmdpOIeB3Fbhv+vu4JLqtdzew8stVoOnbUg2stSZhNBTBNlVUt1RJ2xetkAcx5JIWdJS3hVztY&#13;&#10;5ddXGabKnmijj1tfsyBCLkUJjfd9yrmrGm3QTW2vKWB7Oxj04RxqrgY8BXHT8UiIhBtsKTg02Ovn&#13;&#10;Rlc/24ORYO4+y/VH+227Aoun9f6NNsn7l5S3N+PLMozHJTCvR//3AZcOIT/kIVhpD6Qc6yQ8JCIK&#13;&#10;VAmTOBIzYBeKiOf3wMqwzWMRA88z/r9LfgYAAP//AwBQSwECLQAUAAYACAAAACEAtoM4kv4AAADh&#13;&#10;AQAAEwAAAAAAAAAAAAAAAAAAAAAAW0NvbnRlbnRfVHlwZXNdLnhtbFBLAQItABQABgAIAAAAIQA4&#13;&#10;/SH/1gAAAJQBAAALAAAAAAAAAAAAAAAAAC8BAABfcmVscy8ucmVsc1BLAQItABQABgAIAAAAIQBZ&#13;&#10;N2YrQgIAAI4EAAAOAAAAAAAAAAAAAAAAAC4CAABkcnMvZTJvRG9jLnhtbFBLAQItABQABgAIAAAA&#13;&#10;IQALVicG6AAAABMBAAAPAAAAAAAAAAAAAAAAAJwEAABkcnMvZG93bnJldi54bWxQSwUGAAAAAAQA&#13;&#10;BADzAAAAsQUAAAAA&#13;&#10;" fillcolor="white [3201]" strokeweight=".5pt">
                <v:textbox style="layout-flow:vertical-ideographic">
                  <w:txbxContent>
                    <w:p w14:paraId="54E7E2E4" w14:textId="218F9F9E" w:rsidR="000D0EB2" w:rsidRPr="00D42E7B" w:rsidRDefault="00D42E7B">
                      <w:pPr>
                        <w:rPr>
                          <w:b/>
                          <w:bCs/>
                          <w:sz w:val="28"/>
                          <w:szCs w:val="28"/>
                        </w:rPr>
                      </w:pPr>
                      <w:r>
                        <w:rPr>
                          <w:b/>
                          <w:bCs/>
                          <w:sz w:val="28"/>
                          <w:szCs w:val="28"/>
                        </w:rPr>
                        <w:t xml:space="preserve">Poster </w:t>
                      </w:r>
                      <w:r w:rsidR="000E360A">
                        <w:rPr>
                          <w:b/>
                          <w:bCs/>
                          <w:sz w:val="28"/>
                          <w:szCs w:val="28"/>
                        </w:rPr>
                        <w:t>conte</w:t>
                      </w:r>
                      <w:r w:rsidR="000E360A" w:rsidRPr="000E360A">
                        <w:rPr>
                          <w:b/>
                          <w:bCs/>
                        </w:rPr>
                        <w:t>nts</w:t>
                      </w:r>
                      <w:r w:rsidRPr="000E360A">
                        <w:rPr>
                          <w:b/>
                          <w:bCs/>
                        </w:rPr>
                        <w:t xml:space="preserve"> presented as a 1,000-word equivalency using concise text</w:t>
                      </w:r>
                      <w:r>
                        <w:rPr>
                          <w:b/>
                          <w:bCs/>
                          <w:sz w:val="28"/>
                          <w:szCs w:val="28"/>
                        </w:rPr>
                        <w:t>.</w:t>
                      </w:r>
                    </w:p>
                  </w:txbxContent>
                </v:textbox>
              </v:shape>
            </w:pict>
          </mc:Fallback>
        </mc:AlternateContent>
      </w:r>
    </w:p>
    <w:p w14:paraId="1BAB267B" w14:textId="00A80531" w:rsidR="001E59F6" w:rsidRPr="001E59F6" w:rsidRDefault="001E59F6" w:rsidP="001E59F6">
      <w:pPr>
        <w:rPr>
          <w:b/>
          <w:bCs/>
          <w:sz w:val="36"/>
          <w:szCs w:val="36"/>
        </w:rPr>
      </w:pPr>
    </w:p>
    <w:p w14:paraId="572FEE11" w14:textId="30FF8F8D" w:rsidR="001E59F6" w:rsidRPr="001E59F6" w:rsidRDefault="00B97798">
      <w:pPr>
        <w:rPr>
          <w:b/>
          <w:bCs/>
          <w:sz w:val="36"/>
          <w:szCs w:val="36"/>
        </w:rPr>
      </w:pPr>
      <w:r>
        <w:rPr>
          <w:b/>
          <w:bCs/>
          <w:noProof/>
          <w:sz w:val="36"/>
          <w:szCs w:val="36"/>
        </w:rPr>
        <w:drawing>
          <wp:anchor distT="0" distB="0" distL="114300" distR="114300" simplePos="0" relativeHeight="251658240" behindDoc="0" locked="0" layoutInCell="1" allowOverlap="1" wp14:anchorId="631A40E6" wp14:editId="5871C10E">
            <wp:simplePos x="0" y="0"/>
            <wp:positionH relativeFrom="column">
              <wp:posOffset>-2856023</wp:posOffset>
            </wp:positionH>
            <wp:positionV relativeFrom="page">
              <wp:posOffset>1775271</wp:posOffset>
            </wp:positionV>
            <wp:extent cx="10995025" cy="6918325"/>
            <wp:effectExtent l="0" t="6350" r="0" b="0"/>
            <wp:wrapNone/>
            <wp:docPr id="1379899281" name="Picture 1" descr="A close-up of a health care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99281" name="Picture 1" descr="A close-up of a health care repo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16200000">
                      <a:off x="0" y="0"/>
                      <a:ext cx="10995025" cy="6918325"/>
                    </a:xfrm>
                    <a:prstGeom prst="rect">
                      <a:avLst/>
                    </a:prstGeom>
                  </pic:spPr>
                </pic:pic>
              </a:graphicData>
            </a:graphic>
            <wp14:sizeRelH relativeFrom="page">
              <wp14:pctWidth>0</wp14:pctWidth>
            </wp14:sizeRelH>
            <wp14:sizeRelV relativeFrom="page">
              <wp14:pctHeight>0</wp14:pctHeight>
            </wp14:sizeRelV>
          </wp:anchor>
        </w:drawing>
      </w:r>
      <w:r w:rsidR="001E59F6" w:rsidRPr="001E59F6">
        <w:rPr>
          <w:b/>
          <w:bCs/>
          <w:sz w:val="36"/>
          <w:szCs w:val="36"/>
        </w:rPr>
        <w:br w:type="page"/>
      </w:r>
    </w:p>
    <w:p w14:paraId="52604A44" w14:textId="73B9CBCA" w:rsidR="001E59F6" w:rsidRPr="007F7D7B" w:rsidRDefault="001E59F6" w:rsidP="001E59F6">
      <w:pPr>
        <w:jc w:val="center"/>
        <w:rPr>
          <w:rFonts w:ascii="Arial" w:hAnsi="Arial" w:cs="Arial"/>
          <w:b/>
          <w:bCs/>
        </w:rPr>
      </w:pPr>
      <w:r w:rsidRPr="007F7D7B">
        <w:rPr>
          <w:rFonts w:ascii="Arial" w:hAnsi="Arial" w:cs="Arial"/>
          <w:b/>
          <w:bCs/>
        </w:rPr>
        <w:lastRenderedPageBreak/>
        <w:t>Pitch for “Health First UK”: A National Advocacy Campaign to Strengthen Compassionate Communication in Health and Social Care</w:t>
      </w:r>
    </w:p>
    <w:p w14:paraId="47F14AAD" w14:textId="4B6DB7AA" w:rsidR="00C67D45" w:rsidRPr="00C67D45" w:rsidRDefault="00C67D45" w:rsidP="001E59F6">
      <w:pPr>
        <w:rPr>
          <w:b/>
          <w:bCs/>
          <w:sz w:val="32"/>
          <w:szCs w:val="32"/>
        </w:rPr>
      </w:pPr>
    </w:p>
    <w:p w14:paraId="10A1EF02" w14:textId="48385476" w:rsidR="00C67D45" w:rsidRPr="007F34B9" w:rsidRDefault="00C67D45" w:rsidP="007F34B9">
      <w:pPr>
        <w:pStyle w:val="Heading1"/>
        <w:rPr>
          <w:rFonts w:ascii="Arial" w:hAnsi="Arial" w:cs="Arial"/>
          <w:b/>
          <w:bCs/>
          <w:sz w:val="24"/>
          <w:szCs w:val="24"/>
        </w:rPr>
      </w:pPr>
      <w:bookmarkStart w:id="0" w:name="_Toc217006098"/>
      <w:r w:rsidRPr="007F34B9">
        <w:rPr>
          <w:rFonts w:ascii="Arial" w:hAnsi="Arial" w:cs="Arial"/>
          <w:b/>
          <w:bCs/>
          <w:sz w:val="24"/>
          <w:szCs w:val="24"/>
        </w:rPr>
        <w:t>Title and Innovation Overview</w:t>
      </w:r>
      <w:bookmarkEnd w:id="0"/>
    </w:p>
    <w:p w14:paraId="2ED9A681" w14:textId="2F5ADA19" w:rsidR="001E59F6" w:rsidRPr="007F7D7B" w:rsidRDefault="00C67D45" w:rsidP="001E59F6">
      <w:pPr>
        <w:rPr>
          <w:rFonts w:ascii="Arial" w:hAnsi="Arial" w:cs="Arial"/>
          <w:sz w:val="22"/>
          <w:szCs w:val="22"/>
        </w:rPr>
      </w:pPr>
      <w:r w:rsidRPr="007F7D7B">
        <w:rPr>
          <w:rFonts w:ascii="Arial" w:hAnsi="Arial" w:cs="Arial"/>
          <w:sz w:val="22"/>
          <w:szCs w:val="22"/>
        </w:rPr>
        <w:t>H</w:t>
      </w:r>
      <w:r w:rsidR="001E59F6" w:rsidRPr="007F7D7B">
        <w:rPr>
          <w:rFonts w:ascii="Arial" w:hAnsi="Arial" w:cs="Arial"/>
          <w:sz w:val="22"/>
          <w:szCs w:val="22"/>
        </w:rPr>
        <w:t xml:space="preserve">ealth First UK is a national advocacy campaign designed to address one of many overlooked challenges in the UK health and social care sector. Ineffective communication is an ongoing issue which must be addressed to ensure that service users experience is enhanced. </w:t>
      </w:r>
    </w:p>
    <w:p w14:paraId="67927306" w14:textId="55914E7C" w:rsidR="001E59F6" w:rsidRPr="007F7D7B" w:rsidRDefault="001E59F6" w:rsidP="001E59F6">
      <w:pPr>
        <w:rPr>
          <w:rFonts w:ascii="Arial" w:hAnsi="Arial" w:cs="Arial"/>
          <w:sz w:val="22"/>
          <w:szCs w:val="22"/>
        </w:rPr>
      </w:pPr>
    </w:p>
    <w:p w14:paraId="47BF6875" w14:textId="72DF628F" w:rsidR="001E59F6" w:rsidRPr="007F7D7B" w:rsidRDefault="001E59F6" w:rsidP="001E59F6">
      <w:pPr>
        <w:rPr>
          <w:rFonts w:ascii="Arial" w:hAnsi="Arial" w:cs="Arial"/>
          <w:sz w:val="22"/>
          <w:szCs w:val="22"/>
        </w:rPr>
      </w:pPr>
      <w:r w:rsidRPr="007F7D7B">
        <w:rPr>
          <w:rFonts w:ascii="Arial" w:hAnsi="Arial" w:cs="Arial"/>
          <w:sz w:val="22"/>
          <w:szCs w:val="22"/>
        </w:rPr>
        <w:t xml:space="preserve">Despite the existence of various legislations and policies which commit professionals to providing person-centred care, communication failures remain a big issue in the UK health and social care system. </w:t>
      </w:r>
    </w:p>
    <w:p w14:paraId="395CF617" w14:textId="77777777" w:rsidR="001E59F6" w:rsidRPr="007F7D7B" w:rsidRDefault="001E59F6" w:rsidP="001E59F6">
      <w:pPr>
        <w:rPr>
          <w:rFonts w:ascii="Arial" w:hAnsi="Arial" w:cs="Arial"/>
        </w:rPr>
      </w:pPr>
    </w:p>
    <w:p w14:paraId="7217D1A7" w14:textId="347AAE87" w:rsidR="00C67D45" w:rsidRPr="007F34B9" w:rsidRDefault="00C67D45" w:rsidP="007F34B9">
      <w:pPr>
        <w:pStyle w:val="Heading1"/>
        <w:rPr>
          <w:rFonts w:ascii="Arial" w:hAnsi="Arial" w:cs="Arial"/>
          <w:b/>
          <w:bCs/>
          <w:sz w:val="24"/>
          <w:szCs w:val="24"/>
        </w:rPr>
      </w:pPr>
      <w:bookmarkStart w:id="1" w:name="_Toc217006099"/>
      <w:r w:rsidRPr="007F34B9">
        <w:rPr>
          <w:rFonts w:ascii="Arial" w:hAnsi="Arial" w:cs="Arial"/>
          <w:b/>
          <w:bCs/>
          <w:sz w:val="24"/>
          <w:szCs w:val="24"/>
        </w:rPr>
        <w:t>The Issue in Health &amp; Social Care</w:t>
      </w:r>
      <w:bookmarkEnd w:id="1"/>
      <w:r w:rsidRPr="007F34B9">
        <w:rPr>
          <w:rFonts w:ascii="Arial" w:hAnsi="Arial" w:cs="Arial"/>
          <w:b/>
          <w:bCs/>
          <w:sz w:val="24"/>
          <w:szCs w:val="24"/>
        </w:rPr>
        <w:t xml:space="preserve"> </w:t>
      </w:r>
    </w:p>
    <w:p w14:paraId="0E4DEF96" w14:textId="340D0223" w:rsidR="001E59F6" w:rsidRPr="007F7D7B" w:rsidRDefault="001E59F6" w:rsidP="001E59F6">
      <w:pPr>
        <w:rPr>
          <w:rFonts w:ascii="Arial" w:hAnsi="Arial" w:cs="Arial"/>
          <w:sz w:val="22"/>
          <w:szCs w:val="22"/>
        </w:rPr>
      </w:pPr>
      <w:r w:rsidRPr="007F7D7B">
        <w:rPr>
          <w:rFonts w:ascii="Arial" w:hAnsi="Arial" w:cs="Arial"/>
          <w:sz w:val="22"/>
          <w:szCs w:val="22"/>
        </w:rPr>
        <w:t xml:space="preserve">The </w:t>
      </w:r>
      <w:r w:rsidR="001F1F85" w:rsidRPr="007F7D7B">
        <w:rPr>
          <w:rFonts w:ascii="Arial" w:hAnsi="Arial" w:cs="Arial"/>
          <w:sz w:val="22"/>
          <w:szCs w:val="22"/>
        </w:rPr>
        <w:t>significance of the Health First UK is grounded in both lived experience of thousands and evidence. National data consistently demonstrates how poor communication is one of main causes of service user dissatisfaction and formal complaints within the NHS (</w:t>
      </w:r>
      <w:r w:rsidR="00CC45BA" w:rsidRPr="007F7D7B">
        <w:rPr>
          <w:rFonts w:ascii="Arial" w:hAnsi="Arial" w:cs="Arial"/>
          <w:sz w:val="22"/>
          <w:szCs w:val="22"/>
        </w:rPr>
        <w:t>NHS England, 2023</w:t>
      </w:r>
      <w:r w:rsidR="0085517E" w:rsidRPr="007F7D7B">
        <w:rPr>
          <w:rFonts w:ascii="Arial" w:hAnsi="Arial" w:cs="Arial"/>
          <w:sz w:val="22"/>
          <w:szCs w:val="22"/>
        </w:rPr>
        <w:t>a</w:t>
      </w:r>
      <w:r w:rsidR="00CC45BA" w:rsidRPr="007F7D7B">
        <w:rPr>
          <w:rFonts w:ascii="Arial" w:hAnsi="Arial" w:cs="Arial"/>
          <w:sz w:val="22"/>
          <w:szCs w:val="22"/>
        </w:rPr>
        <w:t xml:space="preserve">). Service users have reported feeling </w:t>
      </w:r>
      <w:r w:rsidR="009F1E77" w:rsidRPr="007F7D7B">
        <w:rPr>
          <w:rFonts w:ascii="Arial" w:hAnsi="Arial" w:cs="Arial"/>
          <w:sz w:val="22"/>
          <w:szCs w:val="22"/>
        </w:rPr>
        <w:t xml:space="preserve">rushed or unheard, or excluded from making decisions regarding their health, particularly within mental health services, hospital discharge planning and social care assessments. These experiences can lead to loss of trust, poorer health outcomes and disengagement. Such treatment leaves vulnerable groups, such as elderly adults, individuals with learning disabilities and those with language barriers exacerbating existing inequalities in the service (CQC, 2023). </w:t>
      </w:r>
    </w:p>
    <w:p w14:paraId="4C723225" w14:textId="77777777" w:rsidR="009F1E77" w:rsidRPr="007F7D7B" w:rsidRDefault="009F1E77" w:rsidP="001E59F6">
      <w:pPr>
        <w:rPr>
          <w:rFonts w:ascii="Arial" w:hAnsi="Arial" w:cs="Arial"/>
          <w:sz w:val="22"/>
          <w:szCs w:val="22"/>
        </w:rPr>
      </w:pPr>
    </w:p>
    <w:p w14:paraId="505CF78C" w14:textId="3DF12717" w:rsidR="009F1E77" w:rsidRPr="007F7D7B" w:rsidRDefault="009F1E77" w:rsidP="001E59F6">
      <w:pPr>
        <w:rPr>
          <w:rFonts w:ascii="Arial" w:hAnsi="Arial" w:cs="Arial"/>
          <w:sz w:val="22"/>
          <w:szCs w:val="22"/>
        </w:rPr>
      </w:pPr>
      <w:r w:rsidRPr="007F7D7B">
        <w:rPr>
          <w:rFonts w:ascii="Arial" w:hAnsi="Arial" w:cs="Arial"/>
          <w:sz w:val="22"/>
          <w:szCs w:val="22"/>
        </w:rPr>
        <w:t xml:space="preserve">The </w:t>
      </w:r>
      <w:r w:rsidR="0085517E" w:rsidRPr="007F7D7B">
        <w:rPr>
          <w:rFonts w:ascii="Arial" w:hAnsi="Arial" w:cs="Arial"/>
          <w:sz w:val="22"/>
          <w:szCs w:val="22"/>
        </w:rPr>
        <w:t>pervasive sense of patient disempowerment stands in direct contradiction to the core principles of autonomy and person- centred care emphasized in professionals training, which elucidates how communication must be delivered in a clear and easy to understand manner (NHS England, 2023b).</w:t>
      </w:r>
    </w:p>
    <w:p w14:paraId="26405CDC" w14:textId="77777777" w:rsidR="00F11787" w:rsidRPr="007F7D7B" w:rsidRDefault="00F11787" w:rsidP="001E59F6">
      <w:pPr>
        <w:rPr>
          <w:rFonts w:ascii="Arial" w:hAnsi="Arial" w:cs="Arial"/>
        </w:rPr>
      </w:pPr>
    </w:p>
    <w:p w14:paraId="401E733C" w14:textId="7C03B00D" w:rsidR="00715EB0" w:rsidRPr="007F34B9" w:rsidRDefault="00715EB0" w:rsidP="007F34B9">
      <w:pPr>
        <w:pStyle w:val="Heading1"/>
        <w:rPr>
          <w:rFonts w:ascii="Arial" w:hAnsi="Arial" w:cs="Arial"/>
          <w:b/>
          <w:bCs/>
          <w:sz w:val="24"/>
          <w:szCs w:val="24"/>
        </w:rPr>
      </w:pPr>
      <w:bookmarkStart w:id="2" w:name="_Toc217006100"/>
      <w:r w:rsidRPr="007F34B9">
        <w:rPr>
          <w:rFonts w:ascii="Arial" w:hAnsi="Arial" w:cs="Arial"/>
          <w:b/>
          <w:bCs/>
          <w:sz w:val="24"/>
          <w:szCs w:val="24"/>
        </w:rPr>
        <w:t>Development and Regulation</w:t>
      </w:r>
      <w:bookmarkEnd w:id="2"/>
    </w:p>
    <w:p w14:paraId="777FFC90" w14:textId="382BB34F" w:rsidR="00F11787" w:rsidRPr="007F7D7B" w:rsidRDefault="00F11787" w:rsidP="001E59F6">
      <w:pPr>
        <w:rPr>
          <w:rFonts w:ascii="Arial" w:hAnsi="Arial" w:cs="Arial"/>
          <w:sz w:val="22"/>
          <w:szCs w:val="22"/>
        </w:rPr>
      </w:pPr>
      <w:r w:rsidRPr="007F7D7B">
        <w:rPr>
          <w:rFonts w:ascii="Arial" w:hAnsi="Arial" w:cs="Arial"/>
          <w:sz w:val="22"/>
          <w:szCs w:val="22"/>
        </w:rPr>
        <w:t xml:space="preserve">Health First UK responds to challenges by recontextualising listening as a fundamental component of ethical, safe, and effective care. In place of introducing a new clinical intervention </w:t>
      </w:r>
      <w:r w:rsidR="00492BF3" w:rsidRPr="007F7D7B">
        <w:rPr>
          <w:rFonts w:ascii="Arial" w:hAnsi="Arial" w:cs="Arial"/>
          <w:sz w:val="22"/>
          <w:szCs w:val="22"/>
        </w:rPr>
        <w:t xml:space="preserve">or digital system, the campaign targets cultural change within everyday practice. It encourages professionals to follow a different approach one that prioritises them to pause, listen actively and involve service users in conversations regarding their preferences, needs, and concerns. </w:t>
      </w:r>
      <w:r w:rsidR="009403FD" w:rsidRPr="007F7D7B">
        <w:rPr>
          <w:rFonts w:ascii="Arial" w:hAnsi="Arial" w:cs="Arial"/>
          <w:sz w:val="22"/>
          <w:szCs w:val="22"/>
        </w:rPr>
        <w:t>This approach</w:t>
      </w:r>
      <w:r w:rsidR="00492BF3" w:rsidRPr="007F7D7B">
        <w:rPr>
          <w:rFonts w:ascii="Arial" w:hAnsi="Arial" w:cs="Arial"/>
          <w:sz w:val="22"/>
          <w:szCs w:val="22"/>
        </w:rPr>
        <w:t xml:space="preserve"> </w:t>
      </w:r>
      <w:r w:rsidR="009403FD" w:rsidRPr="007F7D7B">
        <w:rPr>
          <w:rFonts w:ascii="Arial" w:hAnsi="Arial" w:cs="Arial"/>
          <w:sz w:val="22"/>
          <w:szCs w:val="22"/>
        </w:rPr>
        <w:t xml:space="preserve">aligns closely with NHS values, the Care Act 2014, and the broader policy emphasis on strengths -based and person- centred care. </w:t>
      </w:r>
      <w:r w:rsidR="00384930" w:rsidRPr="007F7D7B">
        <w:rPr>
          <w:rFonts w:ascii="Arial" w:hAnsi="Arial" w:cs="Arial"/>
          <w:sz w:val="22"/>
          <w:szCs w:val="22"/>
        </w:rPr>
        <w:t xml:space="preserve">Health First UK acknowledges these constraints and seeks to support professionals by promoting reflective practice and emotional intelligence rather than placing more pressure on overworked professionals. The aim of the campaign is to reduce complaints, enhance job satisfaction, improve </w:t>
      </w:r>
      <w:r w:rsidR="0015638F" w:rsidRPr="007F7D7B">
        <w:rPr>
          <w:rFonts w:ascii="Arial" w:hAnsi="Arial" w:cs="Arial"/>
          <w:sz w:val="22"/>
          <w:szCs w:val="22"/>
        </w:rPr>
        <w:t>teamwork,</w:t>
      </w:r>
      <w:r w:rsidR="00384930" w:rsidRPr="007F7D7B">
        <w:rPr>
          <w:rFonts w:ascii="Arial" w:hAnsi="Arial" w:cs="Arial"/>
          <w:sz w:val="22"/>
          <w:szCs w:val="22"/>
        </w:rPr>
        <w:t xml:space="preserve"> and most importantly improve communication. </w:t>
      </w:r>
    </w:p>
    <w:p w14:paraId="127CF8A0" w14:textId="77777777" w:rsidR="009403FD" w:rsidRPr="007F7D7B" w:rsidRDefault="009403FD" w:rsidP="001E59F6">
      <w:pPr>
        <w:rPr>
          <w:rFonts w:ascii="Arial" w:hAnsi="Arial" w:cs="Arial"/>
          <w:sz w:val="22"/>
          <w:szCs w:val="22"/>
        </w:rPr>
      </w:pPr>
    </w:p>
    <w:p w14:paraId="393BAC88" w14:textId="735F8942" w:rsidR="009403FD" w:rsidRPr="007F7D7B" w:rsidRDefault="009403FD" w:rsidP="001E59F6">
      <w:pPr>
        <w:rPr>
          <w:rFonts w:ascii="Arial" w:hAnsi="Arial" w:cs="Arial"/>
          <w:sz w:val="22"/>
          <w:szCs w:val="22"/>
        </w:rPr>
      </w:pPr>
      <w:r w:rsidRPr="007F7D7B">
        <w:rPr>
          <w:rFonts w:ascii="Arial" w:hAnsi="Arial" w:cs="Arial"/>
          <w:sz w:val="22"/>
          <w:szCs w:val="22"/>
        </w:rPr>
        <w:t xml:space="preserve">Given the acute pressures facing </w:t>
      </w:r>
      <w:r w:rsidR="00E53DCE" w:rsidRPr="007F7D7B">
        <w:rPr>
          <w:rFonts w:ascii="Arial" w:hAnsi="Arial" w:cs="Arial"/>
          <w:sz w:val="22"/>
          <w:szCs w:val="22"/>
        </w:rPr>
        <w:t xml:space="preserve">the workforce, this campaign is a critical intervention. Health and social care professionals are working in environments of increasing demand characterised by high caseloads, staff shortages, physical and emotional fatigue. Research shows that staff burnout has a negative impact on communication and empathy, increasing the likelihood of misunderstandings and conflict (West et al., 2020). </w:t>
      </w:r>
    </w:p>
    <w:p w14:paraId="5AC3BD73" w14:textId="77777777" w:rsidR="00592039" w:rsidRPr="007F34B9" w:rsidRDefault="00592039" w:rsidP="007F34B9">
      <w:pPr>
        <w:pStyle w:val="Heading1"/>
        <w:rPr>
          <w:rFonts w:ascii="Arial" w:hAnsi="Arial" w:cs="Arial"/>
          <w:sz w:val="24"/>
          <w:szCs w:val="24"/>
        </w:rPr>
      </w:pPr>
    </w:p>
    <w:p w14:paraId="769201AD" w14:textId="104A9370" w:rsidR="00C67D45" w:rsidRPr="007F34B9" w:rsidRDefault="00C67D45" w:rsidP="007F34B9">
      <w:pPr>
        <w:pStyle w:val="Heading1"/>
        <w:rPr>
          <w:rFonts w:ascii="Arial" w:hAnsi="Arial" w:cs="Arial"/>
          <w:b/>
          <w:bCs/>
          <w:sz w:val="24"/>
          <w:szCs w:val="24"/>
        </w:rPr>
      </w:pPr>
      <w:bookmarkStart w:id="3" w:name="_Toc217006101"/>
      <w:r w:rsidRPr="007F34B9">
        <w:rPr>
          <w:rFonts w:ascii="Arial" w:hAnsi="Arial" w:cs="Arial"/>
          <w:b/>
          <w:bCs/>
          <w:sz w:val="24"/>
          <w:szCs w:val="24"/>
        </w:rPr>
        <w:t>Target Audience</w:t>
      </w:r>
      <w:bookmarkEnd w:id="3"/>
      <w:r w:rsidRPr="007F34B9">
        <w:rPr>
          <w:rFonts w:ascii="Arial" w:hAnsi="Arial" w:cs="Arial"/>
          <w:b/>
          <w:bCs/>
          <w:sz w:val="24"/>
          <w:szCs w:val="24"/>
        </w:rPr>
        <w:t xml:space="preserve"> </w:t>
      </w:r>
    </w:p>
    <w:p w14:paraId="67C922B0" w14:textId="749ABB12" w:rsidR="00592039" w:rsidRPr="007F7D7B" w:rsidRDefault="00592039" w:rsidP="00592039">
      <w:pPr>
        <w:rPr>
          <w:rFonts w:ascii="Arial" w:hAnsi="Arial" w:cs="Arial"/>
          <w:bCs/>
          <w:color w:val="C00000"/>
          <w:sz w:val="22"/>
          <w:szCs w:val="22"/>
        </w:rPr>
      </w:pPr>
      <w:r w:rsidRPr="007F7D7B">
        <w:rPr>
          <w:rFonts w:ascii="Arial" w:hAnsi="Arial" w:cs="Arial"/>
          <w:sz w:val="22"/>
          <w:szCs w:val="22"/>
        </w:rPr>
        <w:t xml:space="preserve">The core recipients of the initiatives presented by the Health First UK campaign are patients and service users across the NHS and social care settings. Being listened to is deeply intertwined with dignity, emotional wellbeing, service satisfaction and trust in services </w:t>
      </w:r>
      <w:r w:rsidRPr="007F7D7B">
        <w:rPr>
          <w:rFonts w:ascii="Arial" w:hAnsi="Arial" w:cs="Arial"/>
          <w:sz w:val="22"/>
          <w:szCs w:val="22"/>
        </w:rPr>
        <w:t>(The</w:t>
      </w:r>
      <w:r w:rsidRPr="007F7D7B">
        <w:rPr>
          <w:rFonts w:ascii="Arial" w:hAnsi="Arial" w:cs="Arial"/>
          <w:sz w:val="22"/>
          <w:szCs w:val="22"/>
        </w:rPr>
        <w:t xml:space="preserve"> Health Foundation, 2016).</w:t>
      </w:r>
    </w:p>
    <w:p w14:paraId="381A6608" w14:textId="77777777" w:rsidR="00592039" w:rsidRPr="007F7D7B" w:rsidRDefault="00592039" w:rsidP="001E59F6">
      <w:pPr>
        <w:rPr>
          <w:rFonts w:ascii="Arial" w:hAnsi="Arial" w:cs="Arial"/>
          <w:sz w:val="22"/>
          <w:szCs w:val="22"/>
        </w:rPr>
      </w:pPr>
    </w:p>
    <w:p w14:paraId="56AEC229" w14:textId="4078A980" w:rsidR="009403FD" w:rsidRPr="007F7D7B" w:rsidRDefault="00592039" w:rsidP="001E59F6">
      <w:pPr>
        <w:rPr>
          <w:rFonts w:ascii="Arial" w:hAnsi="Arial" w:cs="Arial"/>
          <w:color w:val="000000" w:themeColor="text1"/>
          <w:sz w:val="22"/>
          <w:szCs w:val="22"/>
        </w:rPr>
      </w:pPr>
      <w:r w:rsidRPr="007F7D7B">
        <w:rPr>
          <w:rFonts w:ascii="Arial" w:hAnsi="Arial" w:cs="Arial"/>
          <w:sz w:val="22"/>
          <w:szCs w:val="22"/>
        </w:rPr>
        <w:t>Health First UK is designed to be cost- effective and</w:t>
      </w:r>
      <w:r w:rsidRPr="007F7D7B">
        <w:rPr>
          <w:rFonts w:ascii="Arial" w:hAnsi="Arial" w:cs="Arial"/>
          <w:color w:val="C00000"/>
          <w:sz w:val="22"/>
          <w:szCs w:val="22"/>
        </w:rPr>
        <w:t xml:space="preserve"> </w:t>
      </w:r>
      <w:r w:rsidRPr="007F7D7B">
        <w:rPr>
          <w:rFonts w:ascii="Arial" w:hAnsi="Arial" w:cs="Arial"/>
          <w:color w:val="000000" w:themeColor="text1"/>
          <w:sz w:val="22"/>
          <w:szCs w:val="22"/>
        </w:rPr>
        <w:t xml:space="preserve">sustainable. The campaign uses existing infrastructures within NHS Trusts, Integrated Care Systems (ICSs) and Local Authorities. </w:t>
      </w:r>
      <w:r w:rsidR="009860F4" w:rsidRPr="007F7D7B">
        <w:rPr>
          <w:rFonts w:ascii="Arial" w:hAnsi="Arial" w:cs="Arial"/>
          <w:color w:val="000000" w:themeColor="text1"/>
          <w:sz w:val="22"/>
          <w:szCs w:val="22"/>
        </w:rPr>
        <w:t xml:space="preserve">The strategic placement of visual posters in clinical and care settings will serve as constant emphasises on the importance of listening. The introduction of short reflective exercises and listening pledges into staff induction, supervision, and team meetings. Rather than serving a punitive function, service user perspectives are leveraged as a catalyst for systematic enhancement and professional development. </w:t>
      </w:r>
    </w:p>
    <w:p w14:paraId="7FB6A810" w14:textId="77777777" w:rsidR="009860F4" w:rsidRPr="007F7D7B" w:rsidRDefault="009860F4" w:rsidP="001E59F6">
      <w:pPr>
        <w:rPr>
          <w:rFonts w:ascii="Arial" w:hAnsi="Arial" w:cs="Arial"/>
          <w:color w:val="000000" w:themeColor="text1"/>
        </w:rPr>
      </w:pPr>
    </w:p>
    <w:p w14:paraId="3EA68AF6" w14:textId="5E26A005" w:rsidR="00C67D45" w:rsidRPr="007F34B9" w:rsidRDefault="00C67D45" w:rsidP="007F34B9">
      <w:pPr>
        <w:pStyle w:val="Heading1"/>
        <w:rPr>
          <w:rFonts w:ascii="Arial" w:hAnsi="Arial" w:cs="Arial"/>
          <w:b/>
          <w:bCs/>
          <w:sz w:val="24"/>
          <w:szCs w:val="24"/>
        </w:rPr>
      </w:pPr>
      <w:bookmarkStart w:id="4" w:name="_Toc217006102"/>
      <w:r w:rsidRPr="007F34B9">
        <w:rPr>
          <w:rFonts w:ascii="Arial" w:hAnsi="Arial" w:cs="Arial"/>
          <w:b/>
          <w:bCs/>
          <w:sz w:val="24"/>
          <w:szCs w:val="24"/>
        </w:rPr>
        <w:t>The Statutory Context</w:t>
      </w:r>
      <w:bookmarkEnd w:id="4"/>
      <w:r w:rsidRPr="007F34B9">
        <w:rPr>
          <w:rFonts w:ascii="Arial" w:hAnsi="Arial" w:cs="Arial"/>
          <w:b/>
          <w:bCs/>
          <w:sz w:val="24"/>
          <w:szCs w:val="24"/>
        </w:rPr>
        <w:t xml:space="preserve"> </w:t>
      </w:r>
    </w:p>
    <w:p w14:paraId="466D4FD1" w14:textId="59721592" w:rsidR="004E51C8" w:rsidRPr="007F7D7B" w:rsidRDefault="009860F4"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The campaign is reinforced by legal fand strong ethical foundations. It aligns with the Health and Social Care Act 2012, which emphasises </w:t>
      </w:r>
      <w:r w:rsidR="003A2367" w:rsidRPr="007F7D7B">
        <w:rPr>
          <w:rFonts w:ascii="Arial" w:hAnsi="Arial" w:cs="Arial"/>
          <w:color w:val="000000" w:themeColor="text1"/>
          <w:sz w:val="22"/>
          <w:szCs w:val="22"/>
        </w:rPr>
        <w:t>quality and patient experience</w:t>
      </w:r>
      <w:r w:rsidR="00410687" w:rsidRPr="007F7D7B">
        <w:rPr>
          <w:rFonts w:ascii="Arial" w:hAnsi="Arial" w:cs="Arial"/>
          <w:color w:val="000000" w:themeColor="text1"/>
          <w:sz w:val="22"/>
          <w:szCs w:val="22"/>
        </w:rPr>
        <w:t xml:space="preserve"> (Department of Health, 2025)</w:t>
      </w:r>
      <w:r w:rsidR="003A2367" w:rsidRPr="007F7D7B">
        <w:rPr>
          <w:rFonts w:ascii="Arial" w:hAnsi="Arial" w:cs="Arial"/>
          <w:color w:val="000000" w:themeColor="text1"/>
          <w:sz w:val="22"/>
          <w:szCs w:val="22"/>
        </w:rPr>
        <w:t>, and the Care Act 2014, which places person-centred care and wellbeing at the centre of social care practice</w:t>
      </w:r>
      <w:r w:rsidR="00845E51" w:rsidRPr="007F7D7B">
        <w:rPr>
          <w:rFonts w:ascii="Arial" w:hAnsi="Arial" w:cs="Arial"/>
          <w:color w:val="000000" w:themeColor="text1"/>
          <w:sz w:val="22"/>
          <w:szCs w:val="22"/>
        </w:rPr>
        <w:t xml:space="preserve">. </w:t>
      </w:r>
      <w:r w:rsidR="00882352" w:rsidRPr="007F7D7B">
        <w:rPr>
          <w:rFonts w:ascii="Arial" w:hAnsi="Arial" w:cs="Arial"/>
          <w:color w:val="000000" w:themeColor="text1"/>
          <w:sz w:val="22"/>
          <w:szCs w:val="22"/>
        </w:rPr>
        <w:t xml:space="preserve">As stated by the Social Care Institute for Excellence, 2011 </w:t>
      </w:r>
      <w:r w:rsidR="003A2367" w:rsidRPr="007F7D7B">
        <w:rPr>
          <w:rFonts w:ascii="Arial" w:hAnsi="Arial" w:cs="Arial"/>
          <w:color w:val="000000" w:themeColor="text1"/>
          <w:sz w:val="22"/>
          <w:szCs w:val="22"/>
        </w:rPr>
        <w:t xml:space="preserve">The Equality </w:t>
      </w:r>
      <w:r w:rsidR="00882352" w:rsidRPr="007F7D7B">
        <w:rPr>
          <w:rFonts w:ascii="Arial" w:hAnsi="Arial" w:cs="Arial"/>
          <w:color w:val="000000" w:themeColor="text1"/>
          <w:sz w:val="22"/>
          <w:szCs w:val="22"/>
        </w:rPr>
        <w:t>A</w:t>
      </w:r>
      <w:r w:rsidR="003A2367" w:rsidRPr="007F7D7B">
        <w:rPr>
          <w:rFonts w:ascii="Arial" w:hAnsi="Arial" w:cs="Arial"/>
          <w:color w:val="000000" w:themeColor="text1"/>
          <w:sz w:val="22"/>
          <w:szCs w:val="22"/>
        </w:rPr>
        <w:t>ct 2010 reinforces the need for accessible and inclusive communication, meanwhile the Mental Capacity Act 2005 highlights the duty professionals must involve individuals in decisions regarding their lives. Health First UK commitment to responsiveness and dignified care mirrors the regulatory expectations set by the CQC’s Fundamental Standards</w:t>
      </w:r>
      <w:r w:rsidR="004E51C8" w:rsidRPr="007F7D7B">
        <w:rPr>
          <w:rFonts w:ascii="Arial" w:hAnsi="Arial" w:cs="Arial"/>
          <w:color w:val="000000" w:themeColor="text1"/>
          <w:sz w:val="22"/>
          <w:szCs w:val="22"/>
        </w:rPr>
        <w:t>.</w:t>
      </w:r>
      <w:r w:rsidR="007F16D8" w:rsidRPr="007F7D7B">
        <w:rPr>
          <w:rFonts w:ascii="Arial" w:hAnsi="Arial" w:cs="Arial"/>
          <w:color w:val="000000" w:themeColor="text1"/>
          <w:sz w:val="22"/>
          <w:szCs w:val="22"/>
        </w:rPr>
        <w:t xml:space="preserve"> </w:t>
      </w:r>
      <w:r w:rsidR="00C67D45" w:rsidRPr="007F7D7B">
        <w:rPr>
          <w:rFonts w:ascii="Arial" w:hAnsi="Arial" w:cs="Arial"/>
          <w:color w:val="000000" w:themeColor="text1"/>
          <w:sz w:val="22"/>
          <w:szCs w:val="22"/>
        </w:rPr>
        <w:t>Furthermore,</w:t>
      </w:r>
      <w:r w:rsidR="007F16D8" w:rsidRPr="007F7D7B">
        <w:rPr>
          <w:rFonts w:ascii="Arial" w:hAnsi="Arial" w:cs="Arial"/>
          <w:color w:val="000000" w:themeColor="text1"/>
          <w:sz w:val="22"/>
          <w:szCs w:val="22"/>
        </w:rPr>
        <w:t xml:space="preserve"> the Royal college of Nursing emphasis the argument that listening and compassionate communication are mandatory and not optional behaviour.  </w:t>
      </w:r>
    </w:p>
    <w:p w14:paraId="733FF4FE" w14:textId="77777777" w:rsidR="00C67D45" w:rsidRPr="007F7D7B" w:rsidRDefault="00C67D45" w:rsidP="001E59F6">
      <w:pPr>
        <w:rPr>
          <w:rFonts w:ascii="Arial" w:hAnsi="Arial" w:cs="Arial"/>
          <w:b/>
          <w:bCs/>
          <w:color w:val="000000" w:themeColor="text1"/>
        </w:rPr>
      </w:pPr>
    </w:p>
    <w:p w14:paraId="7BA90153" w14:textId="312312CC" w:rsidR="00C67D45" w:rsidRPr="007F34B9" w:rsidRDefault="00C67D45" w:rsidP="007F34B9">
      <w:pPr>
        <w:pStyle w:val="Heading1"/>
        <w:rPr>
          <w:rFonts w:ascii="Arial" w:hAnsi="Arial" w:cs="Arial"/>
          <w:b/>
          <w:bCs/>
          <w:sz w:val="24"/>
          <w:szCs w:val="24"/>
        </w:rPr>
      </w:pPr>
      <w:bookmarkStart w:id="5" w:name="_Toc217006103"/>
      <w:r w:rsidRPr="007F34B9">
        <w:rPr>
          <w:rFonts w:ascii="Arial" w:hAnsi="Arial" w:cs="Arial"/>
          <w:b/>
          <w:bCs/>
          <w:sz w:val="24"/>
          <w:szCs w:val="24"/>
        </w:rPr>
        <w:t xml:space="preserve">Technology </w:t>
      </w:r>
      <w:r w:rsidR="00292473" w:rsidRPr="007F34B9">
        <w:rPr>
          <w:rFonts w:ascii="Arial" w:hAnsi="Arial" w:cs="Arial"/>
          <w:b/>
          <w:bCs/>
          <w:sz w:val="24"/>
          <w:szCs w:val="24"/>
        </w:rPr>
        <w:t>Integration</w:t>
      </w:r>
      <w:bookmarkEnd w:id="5"/>
    </w:p>
    <w:p w14:paraId="382FC8AF" w14:textId="31D60C77" w:rsidR="003A2367" w:rsidRPr="007F7D7B" w:rsidRDefault="004E51C8"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Technology plays a vital role in supporting the campaign without replacing human interaction. By embedding QR codes, the organisation digitally extends its resource base, offering flexible pathways to e-learning and policy documentation. This is complemented by a </w:t>
      </w:r>
      <w:r w:rsidR="007D5BCC" w:rsidRPr="007F7D7B">
        <w:rPr>
          <w:rFonts w:ascii="Arial" w:hAnsi="Arial" w:cs="Arial"/>
          <w:color w:val="000000" w:themeColor="text1"/>
          <w:sz w:val="22"/>
          <w:szCs w:val="22"/>
        </w:rPr>
        <w:t xml:space="preserve">digital storytelling that leverages service user narratives to cultivate a deeper professional understanding of the phenomenological impact of communication, whilst </w:t>
      </w:r>
      <w:r w:rsidR="00432347" w:rsidRPr="007F7D7B">
        <w:rPr>
          <w:rFonts w:ascii="Arial" w:hAnsi="Arial" w:cs="Arial"/>
          <w:color w:val="000000" w:themeColor="text1"/>
          <w:sz w:val="22"/>
          <w:szCs w:val="22"/>
        </w:rPr>
        <w:t>also bridging</w:t>
      </w:r>
      <w:r w:rsidR="007D5BCC" w:rsidRPr="007F7D7B">
        <w:rPr>
          <w:rFonts w:ascii="Arial" w:hAnsi="Arial" w:cs="Arial"/>
          <w:color w:val="000000" w:themeColor="text1"/>
          <w:sz w:val="22"/>
          <w:szCs w:val="22"/>
        </w:rPr>
        <w:t xml:space="preserve"> the gap between clinical practice and the voices of services users.</w:t>
      </w:r>
      <w:r w:rsidR="006241E3" w:rsidRPr="007F7D7B">
        <w:rPr>
          <w:rFonts w:ascii="Arial" w:hAnsi="Arial" w:cs="Arial"/>
          <w:color w:val="000000" w:themeColor="text1"/>
          <w:sz w:val="22"/>
          <w:szCs w:val="22"/>
        </w:rPr>
        <w:t xml:space="preserve"> The campaign follows the National institute for Health and Care Excellence, 2012 to ensure that unlawful discrimination is </w:t>
      </w:r>
      <w:r w:rsidR="007F16D8" w:rsidRPr="007F7D7B">
        <w:rPr>
          <w:rFonts w:ascii="Arial" w:hAnsi="Arial" w:cs="Arial"/>
          <w:color w:val="000000" w:themeColor="text1"/>
          <w:sz w:val="22"/>
          <w:szCs w:val="22"/>
        </w:rPr>
        <w:t>eliminated,</w:t>
      </w:r>
      <w:r w:rsidR="006241E3" w:rsidRPr="007F7D7B">
        <w:rPr>
          <w:rFonts w:ascii="Arial" w:hAnsi="Arial" w:cs="Arial"/>
          <w:color w:val="000000" w:themeColor="text1"/>
          <w:sz w:val="22"/>
          <w:szCs w:val="22"/>
        </w:rPr>
        <w:t xml:space="preserve"> and that equality of opportunity is present for all. </w:t>
      </w:r>
      <w:r w:rsidR="007D5BCC" w:rsidRPr="007F7D7B">
        <w:rPr>
          <w:rFonts w:ascii="Arial" w:hAnsi="Arial" w:cs="Arial"/>
          <w:color w:val="000000" w:themeColor="text1"/>
          <w:sz w:val="22"/>
          <w:szCs w:val="22"/>
        </w:rPr>
        <w:t xml:space="preserve"> Anonymous digital feedback tools provide service users with a safe way to express concerns ensuring adherence with the Data Protection Act 2018 and UK GDPR (ICO, 2023). </w:t>
      </w:r>
    </w:p>
    <w:p w14:paraId="33C831BD" w14:textId="77777777" w:rsidR="00C67D45" w:rsidRPr="007F7D7B" w:rsidRDefault="00C67D45" w:rsidP="001E59F6">
      <w:pPr>
        <w:rPr>
          <w:rFonts w:ascii="Arial" w:hAnsi="Arial" w:cs="Arial"/>
          <w:b/>
          <w:bCs/>
          <w:color w:val="000000" w:themeColor="text1"/>
        </w:rPr>
      </w:pPr>
    </w:p>
    <w:p w14:paraId="70BDAF7B" w14:textId="7755DB3A" w:rsidR="00432347" w:rsidRPr="007F34B9" w:rsidRDefault="00C67D45" w:rsidP="007F34B9">
      <w:pPr>
        <w:pStyle w:val="Heading1"/>
        <w:rPr>
          <w:rFonts w:ascii="Arial" w:hAnsi="Arial" w:cs="Arial"/>
          <w:b/>
          <w:bCs/>
          <w:sz w:val="24"/>
          <w:szCs w:val="24"/>
        </w:rPr>
      </w:pPr>
      <w:bookmarkStart w:id="6" w:name="_Toc217006104"/>
      <w:r w:rsidRPr="007F34B9">
        <w:rPr>
          <w:rFonts w:ascii="Arial" w:hAnsi="Arial" w:cs="Arial"/>
          <w:b/>
          <w:bCs/>
          <w:sz w:val="24"/>
          <w:szCs w:val="24"/>
        </w:rPr>
        <w:t>Implementation</w:t>
      </w:r>
      <w:bookmarkEnd w:id="6"/>
      <w:r w:rsidRPr="007F34B9">
        <w:rPr>
          <w:rFonts w:ascii="Arial" w:hAnsi="Arial" w:cs="Arial"/>
          <w:b/>
          <w:bCs/>
          <w:sz w:val="24"/>
          <w:szCs w:val="24"/>
        </w:rPr>
        <w:t xml:space="preserve"> </w:t>
      </w:r>
    </w:p>
    <w:p w14:paraId="3D1B3526" w14:textId="1161C08F" w:rsidR="00432347" w:rsidRPr="007F7D7B" w:rsidRDefault="00432347"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Effective dissemination strategies are operationalised through a digital strategy. By embedding campaign resources </w:t>
      </w:r>
      <w:r w:rsidR="00001128" w:rsidRPr="007F7D7B">
        <w:rPr>
          <w:rFonts w:ascii="Arial" w:hAnsi="Arial" w:cs="Arial"/>
          <w:color w:val="000000" w:themeColor="text1"/>
          <w:sz w:val="22"/>
          <w:szCs w:val="22"/>
        </w:rPr>
        <w:t xml:space="preserve">within statutory frameworks such as the NHS, Local Authorities and professional development tools, Health First UK ensures sustained engagement which is reinforced by coordinated social media output. </w:t>
      </w:r>
      <w:r w:rsidR="00BC74A5" w:rsidRPr="007F7D7B">
        <w:rPr>
          <w:rFonts w:ascii="Arial" w:hAnsi="Arial" w:cs="Arial"/>
          <w:color w:val="000000" w:themeColor="text1"/>
          <w:sz w:val="22"/>
          <w:szCs w:val="22"/>
        </w:rPr>
        <w:t xml:space="preserve">Digital displays in care and hospital settings reinforce key information, while collaboration with patient advocacy organisations ensure the campaign reaches diverse communities. </w:t>
      </w:r>
      <w:r w:rsidR="00001128" w:rsidRPr="007F7D7B">
        <w:rPr>
          <w:rFonts w:ascii="Arial" w:hAnsi="Arial" w:cs="Arial"/>
          <w:color w:val="000000" w:themeColor="text1"/>
          <w:sz w:val="22"/>
          <w:szCs w:val="22"/>
        </w:rPr>
        <w:t xml:space="preserve">The campaign also uses educational platforms to ensure that Health First UK’s messages resonate both clinical and public domains. </w:t>
      </w:r>
    </w:p>
    <w:p w14:paraId="7DD28807" w14:textId="77777777" w:rsidR="00636501" w:rsidRPr="007F7D7B" w:rsidRDefault="00636501" w:rsidP="001E59F6">
      <w:pPr>
        <w:rPr>
          <w:rFonts w:ascii="Arial" w:hAnsi="Arial" w:cs="Arial"/>
          <w:color w:val="000000" w:themeColor="text1"/>
        </w:rPr>
      </w:pPr>
    </w:p>
    <w:p w14:paraId="660F9052" w14:textId="77777777" w:rsidR="007F34B9" w:rsidRDefault="007F34B9" w:rsidP="001E59F6">
      <w:pPr>
        <w:rPr>
          <w:rFonts w:ascii="Arial" w:hAnsi="Arial" w:cs="Arial"/>
          <w:b/>
          <w:bCs/>
          <w:color w:val="000000" w:themeColor="text1"/>
        </w:rPr>
      </w:pPr>
    </w:p>
    <w:p w14:paraId="47207059" w14:textId="0423A221" w:rsidR="00636501" w:rsidRPr="007F34B9" w:rsidRDefault="00636501" w:rsidP="007F34B9">
      <w:pPr>
        <w:pStyle w:val="Heading1"/>
        <w:rPr>
          <w:rFonts w:ascii="Arial" w:hAnsi="Arial" w:cs="Arial"/>
          <w:b/>
          <w:bCs/>
          <w:sz w:val="24"/>
          <w:szCs w:val="24"/>
        </w:rPr>
      </w:pPr>
      <w:bookmarkStart w:id="7" w:name="_Toc217006105"/>
      <w:r w:rsidRPr="007F34B9">
        <w:rPr>
          <w:rFonts w:ascii="Arial" w:hAnsi="Arial" w:cs="Arial"/>
          <w:b/>
          <w:bCs/>
          <w:sz w:val="24"/>
          <w:szCs w:val="24"/>
        </w:rPr>
        <w:lastRenderedPageBreak/>
        <w:t>Timeline</w:t>
      </w:r>
      <w:bookmarkEnd w:id="7"/>
      <w:r w:rsidRPr="007F34B9">
        <w:rPr>
          <w:rFonts w:ascii="Arial" w:hAnsi="Arial" w:cs="Arial"/>
          <w:b/>
          <w:bCs/>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636501" w:rsidRPr="007F7D7B" w14:paraId="2606003B" w14:textId="77777777" w:rsidTr="00636501">
        <w:trPr>
          <w:trHeight w:val="177"/>
        </w:trPr>
        <w:tc>
          <w:tcPr>
            <w:tcW w:w="3005" w:type="dxa"/>
          </w:tcPr>
          <w:p w14:paraId="75166CD5" w14:textId="780FC3FF" w:rsidR="00636501" w:rsidRPr="007F7D7B" w:rsidRDefault="00636501" w:rsidP="001E59F6">
            <w:pPr>
              <w:rPr>
                <w:rFonts w:ascii="Arial" w:hAnsi="Arial" w:cs="Arial"/>
                <w:b/>
                <w:bCs/>
                <w:color w:val="000000" w:themeColor="text1"/>
                <w:sz w:val="22"/>
                <w:szCs w:val="22"/>
              </w:rPr>
            </w:pPr>
            <w:r w:rsidRPr="007F7D7B">
              <w:rPr>
                <w:rFonts w:ascii="Arial" w:hAnsi="Arial" w:cs="Arial"/>
                <w:b/>
                <w:bCs/>
                <w:color w:val="000000" w:themeColor="text1"/>
                <w:sz w:val="22"/>
                <w:szCs w:val="22"/>
              </w:rPr>
              <w:t>Stages</w:t>
            </w:r>
          </w:p>
        </w:tc>
        <w:tc>
          <w:tcPr>
            <w:tcW w:w="3005" w:type="dxa"/>
          </w:tcPr>
          <w:p w14:paraId="785A1C6A" w14:textId="2DEEA6F1" w:rsidR="00636501" w:rsidRPr="007F7D7B" w:rsidRDefault="00636501" w:rsidP="001E59F6">
            <w:pPr>
              <w:rPr>
                <w:rFonts w:ascii="Arial" w:hAnsi="Arial" w:cs="Arial"/>
                <w:b/>
                <w:bCs/>
                <w:color w:val="000000" w:themeColor="text1"/>
                <w:sz w:val="22"/>
                <w:szCs w:val="22"/>
              </w:rPr>
            </w:pPr>
            <w:r w:rsidRPr="007F7D7B">
              <w:rPr>
                <w:rFonts w:ascii="Arial" w:hAnsi="Arial" w:cs="Arial"/>
                <w:b/>
                <w:bCs/>
                <w:color w:val="000000" w:themeColor="text1"/>
                <w:sz w:val="22"/>
                <w:szCs w:val="22"/>
              </w:rPr>
              <w:t xml:space="preserve">Activity </w:t>
            </w:r>
          </w:p>
        </w:tc>
        <w:tc>
          <w:tcPr>
            <w:tcW w:w="3006" w:type="dxa"/>
          </w:tcPr>
          <w:p w14:paraId="34010412" w14:textId="05163A21" w:rsidR="00636501" w:rsidRPr="007F7D7B" w:rsidRDefault="00636501" w:rsidP="001E59F6">
            <w:pPr>
              <w:rPr>
                <w:rFonts w:ascii="Arial" w:hAnsi="Arial" w:cs="Arial"/>
                <w:b/>
                <w:bCs/>
                <w:color w:val="000000" w:themeColor="text1"/>
                <w:sz w:val="22"/>
                <w:szCs w:val="22"/>
              </w:rPr>
            </w:pPr>
            <w:r w:rsidRPr="007F7D7B">
              <w:rPr>
                <w:rFonts w:ascii="Arial" w:hAnsi="Arial" w:cs="Arial"/>
                <w:b/>
                <w:bCs/>
                <w:color w:val="000000" w:themeColor="text1"/>
                <w:sz w:val="22"/>
                <w:szCs w:val="22"/>
              </w:rPr>
              <w:t xml:space="preserve">Time Frame </w:t>
            </w:r>
          </w:p>
        </w:tc>
      </w:tr>
      <w:tr w:rsidR="00636501" w:rsidRPr="007F7D7B" w14:paraId="5CBFF626" w14:textId="77777777" w:rsidTr="00636501">
        <w:tc>
          <w:tcPr>
            <w:tcW w:w="3005" w:type="dxa"/>
          </w:tcPr>
          <w:p w14:paraId="4F439B2B" w14:textId="72BE1569"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Stage 1 </w:t>
            </w:r>
          </w:p>
        </w:tc>
        <w:tc>
          <w:tcPr>
            <w:tcW w:w="3005" w:type="dxa"/>
          </w:tcPr>
          <w:p w14:paraId="6FA4A240" w14:textId="26D556A0"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Engage with both service users and frontline processionals in the design process</w:t>
            </w:r>
          </w:p>
        </w:tc>
        <w:tc>
          <w:tcPr>
            <w:tcW w:w="3006" w:type="dxa"/>
          </w:tcPr>
          <w:p w14:paraId="19F16517" w14:textId="41D70C8A"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1 to 2 Months </w:t>
            </w:r>
          </w:p>
        </w:tc>
      </w:tr>
      <w:tr w:rsidR="00636501" w:rsidRPr="007F7D7B" w14:paraId="18220DD6" w14:textId="77777777" w:rsidTr="00636501">
        <w:tc>
          <w:tcPr>
            <w:tcW w:w="3005" w:type="dxa"/>
          </w:tcPr>
          <w:p w14:paraId="4B5304FE" w14:textId="0A571C06"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Stage 2</w:t>
            </w:r>
          </w:p>
        </w:tc>
        <w:tc>
          <w:tcPr>
            <w:tcW w:w="3005" w:type="dxa"/>
          </w:tcPr>
          <w:p w14:paraId="4AF36169" w14:textId="17113D5E" w:rsidR="00636501" w:rsidRPr="007F7D7B" w:rsidRDefault="00636501" w:rsidP="001E59F6">
            <w:pPr>
              <w:rPr>
                <w:rFonts w:ascii="Arial" w:hAnsi="Arial" w:cs="Arial"/>
                <w:b/>
                <w:bCs/>
                <w:color w:val="000000" w:themeColor="text1"/>
                <w:sz w:val="22"/>
                <w:szCs w:val="22"/>
              </w:rPr>
            </w:pPr>
            <w:r w:rsidRPr="007F7D7B">
              <w:rPr>
                <w:rFonts w:ascii="Arial" w:hAnsi="Arial" w:cs="Arial"/>
                <w:color w:val="000000" w:themeColor="text1"/>
                <w:sz w:val="22"/>
                <w:szCs w:val="22"/>
              </w:rPr>
              <w:t xml:space="preserve">Campaign material development </w:t>
            </w:r>
            <w:r w:rsidRPr="007F7D7B">
              <w:rPr>
                <w:rFonts w:ascii="Arial" w:hAnsi="Arial" w:cs="Arial"/>
                <w:b/>
                <w:bCs/>
                <w:color w:val="000000" w:themeColor="text1"/>
                <w:sz w:val="22"/>
                <w:szCs w:val="22"/>
              </w:rPr>
              <w:t xml:space="preserve"> </w:t>
            </w:r>
          </w:p>
        </w:tc>
        <w:tc>
          <w:tcPr>
            <w:tcW w:w="3006" w:type="dxa"/>
          </w:tcPr>
          <w:p w14:paraId="75ECCA84" w14:textId="687769C3"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3 to 4 Months </w:t>
            </w:r>
          </w:p>
        </w:tc>
      </w:tr>
      <w:tr w:rsidR="00636501" w:rsidRPr="007F7D7B" w14:paraId="65FD2013" w14:textId="77777777" w:rsidTr="00636501">
        <w:tc>
          <w:tcPr>
            <w:tcW w:w="3005" w:type="dxa"/>
          </w:tcPr>
          <w:p w14:paraId="6D798329" w14:textId="3E82FC2F"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Stage 3 </w:t>
            </w:r>
          </w:p>
        </w:tc>
        <w:tc>
          <w:tcPr>
            <w:tcW w:w="3005" w:type="dxa"/>
          </w:tcPr>
          <w:p w14:paraId="69A9B37A" w14:textId="0D633A92"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Initial Rollout </w:t>
            </w:r>
          </w:p>
        </w:tc>
        <w:tc>
          <w:tcPr>
            <w:tcW w:w="3006" w:type="dxa"/>
          </w:tcPr>
          <w:p w14:paraId="2E574BA1" w14:textId="6D52B23D"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5 to 6 Months </w:t>
            </w:r>
          </w:p>
        </w:tc>
      </w:tr>
      <w:tr w:rsidR="00636501" w:rsidRPr="007F7D7B" w14:paraId="40E564ED" w14:textId="77777777" w:rsidTr="00636501">
        <w:tc>
          <w:tcPr>
            <w:tcW w:w="3005" w:type="dxa"/>
          </w:tcPr>
          <w:p w14:paraId="3AC468C5" w14:textId="149F3DEE"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Stage 4</w:t>
            </w:r>
          </w:p>
        </w:tc>
        <w:tc>
          <w:tcPr>
            <w:tcW w:w="3005" w:type="dxa"/>
          </w:tcPr>
          <w:p w14:paraId="1BF42EAD" w14:textId="79922B0A"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Evaluation and Adjustments</w:t>
            </w:r>
          </w:p>
        </w:tc>
        <w:tc>
          <w:tcPr>
            <w:tcW w:w="3006" w:type="dxa"/>
          </w:tcPr>
          <w:p w14:paraId="01AF65EA" w14:textId="779F035A"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7 to 8 Months </w:t>
            </w:r>
          </w:p>
        </w:tc>
      </w:tr>
      <w:tr w:rsidR="00636501" w:rsidRPr="007F7D7B" w14:paraId="01052CD2" w14:textId="77777777" w:rsidTr="00636501">
        <w:tc>
          <w:tcPr>
            <w:tcW w:w="3005" w:type="dxa"/>
          </w:tcPr>
          <w:p w14:paraId="3B5DA44D" w14:textId="3F33BC04"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Stage 6 </w:t>
            </w:r>
          </w:p>
        </w:tc>
        <w:tc>
          <w:tcPr>
            <w:tcW w:w="3005" w:type="dxa"/>
          </w:tcPr>
          <w:p w14:paraId="12750467" w14:textId="4EDF7E8A"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National Rollout</w:t>
            </w:r>
          </w:p>
        </w:tc>
        <w:tc>
          <w:tcPr>
            <w:tcW w:w="3006" w:type="dxa"/>
          </w:tcPr>
          <w:p w14:paraId="2E36A282" w14:textId="6C1C49DA" w:rsidR="00636501" w:rsidRPr="007F7D7B" w:rsidRDefault="00636501" w:rsidP="001E59F6">
            <w:pPr>
              <w:rPr>
                <w:rFonts w:ascii="Arial" w:hAnsi="Arial" w:cs="Arial"/>
                <w:color w:val="000000" w:themeColor="text1"/>
                <w:sz w:val="22"/>
                <w:szCs w:val="22"/>
              </w:rPr>
            </w:pPr>
            <w:r w:rsidRPr="007F7D7B">
              <w:rPr>
                <w:rFonts w:ascii="Arial" w:hAnsi="Arial" w:cs="Arial"/>
                <w:color w:val="000000" w:themeColor="text1"/>
                <w:sz w:val="22"/>
                <w:szCs w:val="22"/>
              </w:rPr>
              <w:t xml:space="preserve">9+ Months </w:t>
            </w:r>
          </w:p>
        </w:tc>
      </w:tr>
    </w:tbl>
    <w:p w14:paraId="6F13C6CA" w14:textId="77777777" w:rsidR="00636501" w:rsidRPr="007F7D7B" w:rsidRDefault="00636501" w:rsidP="001E59F6">
      <w:pPr>
        <w:rPr>
          <w:rFonts w:ascii="Arial" w:hAnsi="Arial" w:cs="Arial"/>
          <w:b/>
          <w:bCs/>
          <w:color w:val="000000" w:themeColor="text1"/>
        </w:rPr>
      </w:pPr>
    </w:p>
    <w:p w14:paraId="6F7D56DC" w14:textId="77777777" w:rsidR="00636501" w:rsidRPr="007F7D7B" w:rsidRDefault="00636501" w:rsidP="001E59F6">
      <w:pPr>
        <w:rPr>
          <w:rFonts w:ascii="Arial" w:hAnsi="Arial" w:cs="Arial"/>
          <w:b/>
          <w:bCs/>
          <w:color w:val="000000" w:themeColor="text1"/>
        </w:rPr>
      </w:pPr>
    </w:p>
    <w:p w14:paraId="166352EB" w14:textId="64BE317C" w:rsidR="00C67D45" w:rsidRPr="007F34B9" w:rsidRDefault="00636501" w:rsidP="007F34B9">
      <w:pPr>
        <w:pStyle w:val="Heading1"/>
        <w:rPr>
          <w:rFonts w:ascii="Arial" w:hAnsi="Arial" w:cs="Arial"/>
          <w:b/>
          <w:bCs/>
          <w:sz w:val="24"/>
          <w:szCs w:val="24"/>
        </w:rPr>
      </w:pPr>
      <w:bookmarkStart w:id="8" w:name="_Toc217006106"/>
      <w:r w:rsidRPr="007F34B9">
        <w:rPr>
          <w:rFonts w:ascii="Arial" w:hAnsi="Arial" w:cs="Arial"/>
          <w:b/>
          <w:bCs/>
          <w:sz w:val="24"/>
          <w:szCs w:val="24"/>
        </w:rPr>
        <w:t>Conclusion</w:t>
      </w:r>
      <w:bookmarkEnd w:id="8"/>
      <w:r w:rsidRPr="007F34B9">
        <w:rPr>
          <w:rFonts w:ascii="Arial" w:hAnsi="Arial" w:cs="Arial"/>
          <w:b/>
          <w:bCs/>
          <w:sz w:val="24"/>
          <w:szCs w:val="24"/>
        </w:rPr>
        <w:t xml:space="preserve"> </w:t>
      </w:r>
    </w:p>
    <w:p w14:paraId="7D1F6319" w14:textId="62D28B52" w:rsidR="001D6894" w:rsidRPr="007F7D7B" w:rsidRDefault="00FE5AD7" w:rsidP="00927CE3">
      <w:pPr>
        <w:rPr>
          <w:rFonts w:ascii="Arial" w:hAnsi="Arial" w:cs="Arial"/>
          <w:color w:val="000000" w:themeColor="text1"/>
          <w:sz w:val="22"/>
          <w:szCs w:val="22"/>
        </w:rPr>
      </w:pPr>
      <w:r w:rsidRPr="007F7D7B">
        <w:rPr>
          <w:rFonts w:ascii="Arial" w:hAnsi="Arial" w:cs="Arial"/>
          <w:color w:val="000000" w:themeColor="text1"/>
          <w:sz w:val="22"/>
          <w:szCs w:val="22"/>
        </w:rPr>
        <w:t>Ultimately</w:t>
      </w:r>
      <w:r w:rsidR="001D6894" w:rsidRPr="007F7D7B">
        <w:rPr>
          <w:rFonts w:ascii="Arial" w:hAnsi="Arial" w:cs="Arial"/>
          <w:color w:val="000000" w:themeColor="text1"/>
          <w:sz w:val="22"/>
          <w:szCs w:val="22"/>
        </w:rPr>
        <w:t xml:space="preserve">, Health First UK </w:t>
      </w:r>
      <w:r w:rsidRPr="007F7D7B">
        <w:rPr>
          <w:rFonts w:ascii="Arial" w:hAnsi="Arial" w:cs="Arial"/>
          <w:color w:val="000000" w:themeColor="text1"/>
          <w:sz w:val="22"/>
          <w:szCs w:val="22"/>
        </w:rPr>
        <w:t xml:space="preserve">presents a sustainable ethically- grounded framework, feasible and impactful solution for addressing systemic communication deficits within the UK’s health and social care system. By implementing compassionate inquiry and active listening into the core of clinical practice, the initiative maximizes outcomes for stakeholders. </w:t>
      </w:r>
      <w:r w:rsidR="00927CE3" w:rsidRPr="007F7D7B">
        <w:rPr>
          <w:rFonts w:ascii="Arial" w:hAnsi="Arial" w:cs="Arial"/>
          <w:color w:val="000000" w:themeColor="text1"/>
          <w:sz w:val="22"/>
          <w:szCs w:val="22"/>
        </w:rPr>
        <w:t>Health First UK campaign reaffirms that active listening shouldn’t be viewed a</w:t>
      </w:r>
      <w:r w:rsidR="00E36267" w:rsidRPr="007F7D7B">
        <w:rPr>
          <w:rFonts w:ascii="Arial" w:hAnsi="Arial" w:cs="Arial"/>
          <w:color w:val="000000" w:themeColor="text1"/>
          <w:sz w:val="22"/>
          <w:szCs w:val="22"/>
        </w:rPr>
        <w:t>s a soft</w:t>
      </w:r>
      <w:r w:rsidR="00927CE3" w:rsidRPr="007F7D7B">
        <w:rPr>
          <w:rFonts w:ascii="Arial" w:hAnsi="Arial" w:cs="Arial"/>
          <w:color w:val="000000" w:themeColor="text1"/>
          <w:sz w:val="22"/>
          <w:szCs w:val="22"/>
        </w:rPr>
        <w:t xml:space="preserve"> skill but in fact as a critical clinical instrument that directly informs diagnostic accuracy and patient outcomes. Contributing to a culture of responsiveness and safety. Integrating of these principles enables the campaign to satisfy regulatory obligations whilst elevating standards of care for service users and ensuring that the dignity of patients remains the primary focus of professional practice. </w:t>
      </w:r>
    </w:p>
    <w:p w14:paraId="2FF89899" w14:textId="77777777" w:rsidR="00384930" w:rsidRPr="00C67D45" w:rsidRDefault="00384930" w:rsidP="001E59F6">
      <w:pPr>
        <w:rPr>
          <w:sz w:val="28"/>
          <w:szCs w:val="28"/>
        </w:rPr>
      </w:pPr>
    </w:p>
    <w:p w14:paraId="5154DB93" w14:textId="77777777" w:rsidR="00BC74A5" w:rsidRDefault="00BC74A5" w:rsidP="001E59F6">
      <w:pPr>
        <w:rPr>
          <w:sz w:val="36"/>
          <w:szCs w:val="36"/>
        </w:rPr>
      </w:pPr>
    </w:p>
    <w:p w14:paraId="19556661" w14:textId="77777777" w:rsidR="009403FD" w:rsidRPr="001E59F6" w:rsidRDefault="009403FD" w:rsidP="001E59F6">
      <w:pPr>
        <w:rPr>
          <w:sz w:val="36"/>
          <w:szCs w:val="36"/>
        </w:rPr>
      </w:pPr>
    </w:p>
    <w:p w14:paraId="42D96ABF" w14:textId="77777777" w:rsidR="001E59F6" w:rsidRPr="001E59F6" w:rsidRDefault="001E59F6">
      <w:pPr>
        <w:rPr>
          <w:b/>
          <w:bCs/>
          <w:sz w:val="36"/>
          <w:szCs w:val="36"/>
        </w:rPr>
      </w:pPr>
      <w:r w:rsidRPr="001E59F6">
        <w:rPr>
          <w:b/>
          <w:bCs/>
          <w:sz w:val="36"/>
          <w:szCs w:val="36"/>
        </w:rPr>
        <w:br w:type="page"/>
      </w:r>
    </w:p>
    <w:p w14:paraId="7D0AFA5D" w14:textId="26AA7B41" w:rsidR="001E59F6" w:rsidRPr="007F34B9" w:rsidRDefault="001E59F6" w:rsidP="007F34B9">
      <w:pPr>
        <w:pStyle w:val="Heading1"/>
        <w:rPr>
          <w:rFonts w:ascii="Arial" w:hAnsi="Arial" w:cs="Arial"/>
          <w:b/>
          <w:bCs/>
          <w:sz w:val="24"/>
          <w:szCs w:val="24"/>
        </w:rPr>
      </w:pPr>
      <w:bookmarkStart w:id="9" w:name="_Toc217006107"/>
      <w:r w:rsidRPr="007F34B9">
        <w:rPr>
          <w:rFonts w:ascii="Arial" w:hAnsi="Arial" w:cs="Arial"/>
          <w:b/>
          <w:bCs/>
          <w:sz w:val="24"/>
          <w:szCs w:val="24"/>
        </w:rPr>
        <w:lastRenderedPageBreak/>
        <w:t>References</w:t>
      </w:r>
      <w:bookmarkEnd w:id="9"/>
    </w:p>
    <w:p w14:paraId="0C7B0698" w14:textId="1DB7F79D" w:rsidR="00845E51" w:rsidRPr="007F7D7B" w:rsidRDefault="00845E51">
      <w:pPr>
        <w:rPr>
          <w:rFonts w:ascii="Arial" w:hAnsi="Arial" w:cs="Arial"/>
        </w:rPr>
      </w:pPr>
      <w:r w:rsidRPr="007F7D7B">
        <w:rPr>
          <w:rFonts w:ascii="Arial" w:hAnsi="Arial" w:cs="Arial"/>
          <w:i/>
          <w:iCs/>
        </w:rPr>
        <w:t>Care Act 2014</w:t>
      </w:r>
      <w:r w:rsidRPr="007F7D7B">
        <w:rPr>
          <w:rFonts w:ascii="Arial" w:hAnsi="Arial" w:cs="Arial"/>
        </w:rPr>
        <w:t xml:space="preserve">, c. 23. Available at: </w:t>
      </w:r>
      <w:hyperlink r:id="rId10" w:history="1">
        <w:r w:rsidRPr="007F7D7B">
          <w:rPr>
            <w:rStyle w:val="Hyperlink"/>
            <w:rFonts w:ascii="Arial" w:hAnsi="Arial" w:cs="Arial"/>
          </w:rPr>
          <w:t>https://www.legislation.gov.uk/ukpga/2014/23/section/1</w:t>
        </w:r>
      </w:hyperlink>
      <w:r w:rsidRPr="007F7D7B">
        <w:rPr>
          <w:rFonts w:ascii="Arial" w:hAnsi="Arial" w:cs="Arial"/>
        </w:rPr>
        <w:t xml:space="preserve"> (Accessed: 11 December 2025</w:t>
      </w:r>
      <w:r w:rsidR="00DD06B6" w:rsidRPr="007F7D7B">
        <w:rPr>
          <w:rFonts w:ascii="Arial" w:hAnsi="Arial" w:cs="Arial"/>
        </w:rPr>
        <w:t>)</w:t>
      </w:r>
    </w:p>
    <w:p w14:paraId="55A820C6" w14:textId="77777777" w:rsidR="00845E51" w:rsidRPr="007F7D7B" w:rsidRDefault="00845E51">
      <w:pPr>
        <w:rPr>
          <w:rFonts w:ascii="Arial" w:hAnsi="Arial" w:cs="Arial"/>
        </w:rPr>
      </w:pPr>
    </w:p>
    <w:p w14:paraId="1243488D" w14:textId="46325C6E" w:rsidR="009F1E77" w:rsidRPr="007F7D7B" w:rsidRDefault="0085517E">
      <w:pPr>
        <w:rPr>
          <w:rFonts w:ascii="Arial" w:hAnsi="Arial" w:cs="Arial"/>
        </w:rPr>
      </w:pPr>
      <w:r w:rsidRPr="007F7D7B">
        <w:rPr>
          <w:rFonts w:ascii="Arial" w:hAnsi="Arial" w:cs="Arial"/>
        </w:rPr>
        <w:t xml:space="preserve">Care Quality Commission (CQC) (2023) </w:t>
      </w:r>
      <w:r w:rsidRPr="007F7D7B">
        <w:rPr>
          <w:rFonts w:ascii="Arial" w:hAnsi="Arial" w:cs="Arial"/>
          <w:i/>
          <w:iCs/>
        </w:rPr>
        <w:t>State of Care 2022/23.</w:t>
      </w:r>
      <w:r w:rsidRPr="007F7D7B">
        <w:rPr>
          <w:rFonts w:ascii="Arial" w:hAnsi="Arial" w:cs="Arial"/>
        </w:rPr>
        <w:t xml:space="preserve"> London: CQC. Available at: </w:t>
      </w:r>
      <w:r w:rsidR="009A3317" w:rsidRPr="007F7D7B">
        <w:rPr>
          <w:rFonts w:ascii="Arial" w:hAnsi="Arial" w:cs="Arial"/>
        </w:rPr>
        <w:t xml:space="preserve"> </w:t>
      </w:r>
      <w:hyperlink r:id="rId11" w:history="1">
        <w:r w:rsidR="00F11787" w:rsidRPr="007F7D7B">
          <w:rPr>
            <w:rStyle w:val="Hyperlink"/>
            <w:rFonts w:ascii="Arial" w:hAnsi="Arial" w:cs="Arial"/>
          </w:rPr>
          <w:t>https://www.cqc.org.uk/publications/major-report/state-care/2022-2023/inequalities</w:t>
        </w:r>
      </w:hyperlink>
      <w:r w:rsidR="00F11787" w:rsidRPr="007F7D7B">
        <w:rPr>
          <w:rFonts w:ascii="Arial" w:hAnsi="Arial" w:cs="Arial"/>
        </w:rPr>
        <w:t xml:space="preserve"> </w:t>
      </w:r>
      <w:r w:rsidR="00432347" w:rsidRPr="007F7D7B">
        <w:rPr>
          <w:rFonts w:ascii="Arial" w:hAnsi="Arial" w:cs="Arial"/>
        </w:rPr>
        <w:t>(</w:t>
      </w:r>
      <w:r w:rsidR="00F11787" w:rsidRPr="007F7D7B">
        <w:rPr>
          <w:rFonts w:ascii="Arial" w:hAnsi="Arial" w:cs="Arial"/>
        </w:rPr>
        <w:t>Accessed: 9 December 2025</w:t>
      </w:r>
      <w:r w:rsidR="00432347" w:rsidRPr="007F7D7B">
        <w:rPr>
          <w:rFonts w:ascii="Arial" w:hAnsi="Arial" w:cs="Arial"/>
        </w:rPr>
        <w:t>)</w:t>
      </w:r>
    </w:p>
    <w:p w14:paraId="175E503C" w14:textId="77777777" w:rsidR="00432347" w:rsidRPr="007F7D7B" w:rsidRDefault="00432347">
      <w:pPr>
        <w:rPr>
          <w:rFonts w:ascii="Arial" w:hAnsi="Arial" w:cs="Arial"/>
        </w:rPr>
      </w:pPr>
    </w:p>
    <w:p w14:paraId="563896A2" w14:textId="52AB3C29" w:rsidR="00432347" w:rsidRPr="007F7D7B" w:rsidRDefault="00C1222D">
      <w:pPr>
        <w:rPr>
          <w:rFonts w:ascii="Arial" w:hAnsi="Arial" w:cs="Arial"/>
        </w:rPr>
      </w:pPr>
      <w:r w:rsidRPr="007F7D7B">
        <w:rPr>
          <w:rFonts w:ascii="Arial" w:hAnsi="Arial" w:cs="Arial"/>
        </w:rPr>
        <w:t>Department of Health (2025)</w:t>
      </w:r>
      <w:r w:rsidRPr="007F7D7B">
        <w:rPr>
          <w:rFonts w:ascii="Arial" w:hAnsi="Arial" w:cs="Arial"/>
          <w:i/>
          <w:iCs/>
        </w:rPr>
        <w:t xml:space="preserve"> </w:t>
      </w:r>
      <w:r w:rsidR="00432347" w:rsidRPr="007F7D7B">
        <w:rPr>
          <w:rFonts w:ascii="Arial" w:hAnsi="Arial" w:cs="Arial"/>
          <w:i/>
          <w:iCs/>
        </w:rPr>
        <w:t>Health and Social Care Act 2012</w:t>
      </w:r>
      <w:r w:rsidRPr="007F7D7B">
        <w:rPr>
          <w:rFonts w:ascii="Arial" w:hAnsi="Arial" w:cs="Arial"/>
          <w:i/>
          <w:iCs/>
        </w:rPr>
        <w:t xml:space="preserve">- Explanatory notes c .7-9. </w:t>
      </w:r>
      <w:r w:rsidRPr="007F7D7B">
        <w:rPr>
          <w:rFonts w:ascii="Arial" w:hAnsi="Arial" w:cs="Arial"/>
        </w:rPr>
        <w:t xml:space="preserve">Legislations.gov.uk. Available at: </w:t>
      </w:r>
      <w:hyperlink r:id="rId12" w:history="1">
        <w:r w:rsidRPr="007F7D7B">
          <w:rPr>
            <w:rStyle w:val="Hyperlink"/>
            <w:rFonts w:ascii="Arial" w:hAnsi="Arial" w:cs="Arial"/>
          </w:rPr>
          <w:t>https://www.legislation.gov.uk/ukpga/2012/7/notes</w:t>
        </w:r>
      </w:hyperlink>
      <w:r w:rsidRPr="007F7D7B">
        <w:rPr>
          <w:rFonts w:ascii="Arial" w:hAnsi="Arial" w:cs="Arial"/>
        </w:rPr>
        <w:t xml:space="preserve"> (Accessed: 11 December 2025)</w:t>
      </w:r>
    </w:p>
    <w:p w14:paraId="52EECDD2" w14:textId="77777777" w:rsidR="00432347" w:rsidRPr="007F7D7B" w:rsidRDefault="00432347">
      <w:pPr>
        <w:rPr>
          <w:rFonts w:ascii="Arial" w:hAnsi="Arial" w:cs="Arial"/>
        </w:rPr>
      </w:pPr>
    </w:p>
    <w:p w14:paraId="6D20F7CB" w14:textId="622A4F53" w:rsidR="00432347" w:rsidRPr="007F7D7B" w:rsidRDefault="00432347">
      <w:pPr>
        <w:rPr>
          <w:rFonts w:ascii="Arial" w:hAnsi="Arial" w:cs="Arial"/>
        </w:rPr>
      </w:pPr>
      <w:r w:rsidRPr="007F7D7B">
        <w:rPr>
          <w:rFonts w:ascii="Arial" w:hAnsi="Arial" w:cs="Arial"/>
        </w:rPr>
        <w:t xml:space="preserve">Information Commissioner’s Office (ICO) (2023) </w:t>
      </w:r>
      <w:r w:rsidRPr="007F7D7B">
        <w:rPr>
          <w:rFonts w:ascii="Arial" w:hAnsi="Arial" w:cs="Arial"/>
          <w:i/>
          <w:iCs/>
        </w:rPr>
        <w:t xml:space="preserve">Data Sharing. </w:t>
      </w:r>
      <w:r w:rsidRPr="007F7D7B">
        <w:rPr>
          <w:rFonts w:ascii="Arial" w:hAnsi="Arial" w:cs="Arial"/>
        </w:rPr>
        <w:t xml:space="preserve">Available at: </w:t>
      </w:r>
      <w:hyperlink r:id="rId13" w:history="1">
        <w:r w:rsidRPr="007F7D7B">
          <w:rPr>
            <w:rStyle w:val="Hyperlink"/>
            <w:rFonts w:ascii="Arial" w:hAnsi="Arial" w:cs="Arial"/>
          </w:rPr>
          <w:t>https://ico.org.uk/for-organisations/uk-gdpr-guidance-and-resources/data-sharing/</w:t>
        </w:r>
      </w:hyperlink>
      <w:r w:rsidRPr="007F7D7B">
        <w:rPr>
          <w:rFonts w:ascii="Arial" w:hAnsi="Arial" w:cs="Arial"/>
        </w:rPr>
        <w:t xml:space="preserve"> (Accessed: 11 December 2025)</w:t>
      </w:r>
    </w:p>
    <w:p w14:paraId="64A3CEC0" w14:textId="77777777" w:rsidR="00882352" w:rsidRPr="007F7D7B" w:rsidRDefault="00882352">
      <w:pPr>
        <w:rPr>
          <w:rFonts w:ascii="Arial" w:hAnsi="Arial" w:cs="Arial"/>
        </w:rPr>
      </w:pPr>
    </w:p>
    <w:p w14:paraId="51CD5722" w14:textId="12AD4EE2" w:rsidR="00882352" w:rsidRPr="007F7D7B" w:rsidRDefault="00882352">
      <w:pPr>
        <w:rPr>
          <w:rFonts w:ascii="Arial" w:hAnsi="Arial" w:cs="Arial"/>
        </w:rPr>
      </w:pPr>
      <w:r w:rsidRPr="007F7D7B">
        <w:rPr>
          <w:rFonts w:ascii="Arial" w:hAnsi="Arial" w:cs="Arial"/>
        </w:rPr>
        <w:t xml:space="preserve">Mental Capacity Act 2005, s.1. </w:t>
      </w:r>
      <w:r w:rsidR="00DD06B6" w:rsidRPr="007F7D7B">
        <w:rPr>
          <w:rFonts w:ascii="Arial" w:hAnsi="Arial" w:cs="Arial"/>
        </w:rPr>
        <w:t xml:space="preserve">Available at: </w:t>
      </w:r>
      <w:hyperlink r:id="rId14" w:history="1">
        <w:r w:rsidR="00DD06B6" w:rsidRPr="007F7D7B">
          <w:rPr>
            <w:rStyle w:val="Hyperlink"/>
            <w:rFonts w:ascii="Arial" w:hAnsi="Arial" w:cs="Arial"/>
          </w:rPr>
          <w:t>https://www.legislation.gov.uk/ukpga/2005/9/section/1</w:t>
        </w:r>
      </w:hyperlink>
      <w:r w:rsidR="00DD06B6" w:rsidRPr="007F7D7B">
        <w:rPr>
          <w:rFonts w:ascii="Arial" w:hAnsi="Arial" w:cs="Arial"/>
        </w:rPr>
        <w:t xml:space="preserve"> (Accessed: 11 December 2025)</w:t>
      </w:r>
      <w:r w:rsidRPr="007F7D7B">
        <w:rPr>
          <w:rFonts w:ascii="Arial" w:hAnsi="Arial" w:cs="Arial"/>
        </w:rPr>
        <w:t xml:space="preserve"> </w:t>
      </w:r>
    </w:p>
    <w:p w14:paraId="35D0AE18" w14:textId="77777777" w:rsidR="006241E3" w:rsidRPr="007F7D7B" w:rsidRDefault="006241E3">
      <w:pPr>
        <w:rPr>
          <w:rFonts w:ascii="Arial" w:hAnsi="Arial" w:cs="Arial"/>
        </w:rPr>
      </w:pPr>
    </w:p>
    <w:p w14:paraId="017C2879" w14:textId="018F6264" w:rsidR="006241E3" w:rsidRPr="007F7D7B" w:rsidRDefault="006241E3">
      <w:pPr>
        <w:rPr>
          <w:rFonts w:ascii="Arial" w:hAnsi="Arial" w:cs="Arial"/>
          <w:i/>
          <w:iCs/>
        </w:rPr>
      </w:pPr>
      <w:r w:rsidRPr="007F7D7B">
        <w:rPr>
          <w:rFonts w:ascii="Arial" w:hAnsi="Arial" w:cs="Arial"/>
        </w:rPr>
        <w:t xml:space="preserve">National Institute for Health and Care Excellence (NICE) (2012) </w:t>
      </w:r>
      <w:r w:rsidRPr="007F7D7B">
        <w:rPr>
          <w:rFonts w:ascii="Arial" w:hAnsi="Arial" w:cs="Arial"/>
          <w:i/>
          <w:iCs/>
        </w:rPr>
        <w:t xml:space="preserve">Patient experience in adult NHS services: improving the experiences of care for people using adult NHS services. London: NICE. Available at: </w:t>
      </w:r>
      <w:hyperlink r:id="rId15" w:history="1">
        <w:r w:rsidRPr="007F7D7B">
          <w:rPr>
            <w:rStyle w:val="Hyperlink"/>
            <w:rFonts w:ascii="Arial" w:hAnsi="Arial" w:cs="Arial"/>
            <w:i/>
            <w:iCs/>
          </w:rPr>
          <w:t>https://www.nice.org.uk/guidance/cg138</w:t>
        </w:r>
      </w:hyperlink>
      <w:r w:rsidRPr="007F7D7B">
        <w:rPr>
          <w:rFonts w:ascii="Arial" w:hAnsi="Arial" w:cs="Arial"/>
          <w:i/>
          <w:iCs/>
        </w:rPr>
        <w:t xml:space="preserve"> (Accessed: 11</w:t>
      </w:r>
      <w:r w:rsidRPr="007F7D7B">
        <w:rPr>
          <w:rFonts w:ascii="Arial" w:hAnsi="Arial" w:cs="Arial"/>
          <w:i/>
          <w:iCs/>
          <w:vertAlign w:val="superscript"/>
        </w:rPr>
        <w:t xml:space="preserve"> </w:t>
      </w:r>
      <w:r w:rsidRPr="007F7D7B">
        <w:rPr>
          <w:rFonts w:ascii="Arial" w:hAnsi="Arial" w:cs="Arial"/>
          <w:i/>
          <w:iCs/>
        </w:rPr>
        <w:t>December 2025)</w:t>
      </w:r>
    </w:p>
    <w:p w14:paraId="3B26D756" w14:textId="77777777" w:rsidR="009F1E77" w:rsidRPr="007F7D7B" w:rsidRDefault="009F1E77">
      <w:pPr>
        <w:rPr>
          <w:rFonts w:ascii="Arial" w:hAnsi="Arial" w:cs="Arial"/>
        </w:rPr>
      </w:pPr>
    </w:p>
    <w:p w14:paraId="75473D02" w14:textId="38C962B6" w:rsidR="001E59F6" w:rsidRPr="007F7D7B" w:rsidRDefault="00CC45BA">
      <w:pPr>
        <w:rPr>
          <w:rFonts w:ascii="Arial" w:hAnsi="Arial" w:cs="Arial"/>
        </w:rPr>
      </w:pPr>
      <w:r w:rsidRPr="007F7D7B">
        <w:rPr>
          <w:rFonts w:ascii="Arial" w:hAnsi="Arial" w:cs="Arial"/>
        </w:rPr>
        <w:t>NHS England (2023</w:t>
      </w:r>
      <w:r w:rsidR="0085517E" w:rsidRPr="007F7D7B">
        <w:rPr>
          <w:rFonts w:ascii="Arial" w:hAnsi="Arial" w:cs="Arial"/>
        </w:rPr>
        <w:t>a</w:t>
      </w:r>
      <w:r w:rsidRPr="007F7D7B">
        <w:rPr>
          <w:rFonts w:ascii="Arial" w:hAnsi="Arial" w:cs="Arial"/>
        </w:rPr>
        <w:t xml:space="preserve">) </w:t>
      </w:r>
      <w:r w:rsidRPr="007F7D7B">
        <w:rPr>
          <w:rFonts w:ascii="Arial" w:hAnsi="Arial" w:cs="Arial"/>
          <w:i/>
          <w:iCs/>
        </w:rPr>
        <w:t>The NHS Long Term Workforce Plan.</w:t>
      </w:r>
      <w:r w:rsidRPr="007F7D7B">
        <w:rPr>
          <w:rFonts w:ascii="Arial" w:hAnsi="Arial" w:cs="Arial"/>
        </w:rPr>
        <w:t xml:space="preserve"> London: NHS England. Available at: </w:t>
      </w:r>
      <w:hyperlink r:id="rId16" w:history="1">
        <w:r w:rsidRPr="007F7D7B">
          <w:rPr>
            <w:rStyle w:val="Hyperlink"/>
            <w:rFonts w:ascii="Arial" w:hAnsi="Arial" w:cs="Arial"/>
          </w:rPr>
          <w:t>https://www.england.nhs.uk/long-read/nhs-long-term-workforce-plan-2/</w:t>
        </w:r>
      </w:hyperlink>
      <w:r w:rsidRPr="007F7D7B">
        <w:rPr>
          <w:rFonts w:ascii="Arial" w:hAnsi="Arial" w:cs="Arial"/>
        </w:rPr>
        <w:t xml:space="preserve">  </w:t>
      </w:r>
      <w:r w:rsidR="00882352" w:rsidRPr="007F7D7B">
        <w:rPr>
          <w:rFonts w:ascii="Arial" w:hAnsi="Arial" w:cs="Arial"/>
        </w:rPr>
        <w:t>(</w:t>
      </w:r>
      <w:r w:rsidRPr="007F7D7B">
        <w:rPr>
          <w:rFonts w:ascii="Arial" w:hAnsi="Arial" w:cs="Arial"/>
        </w:rPr>
        <w:t>Accessed: 10 December 2025</w:t>
      </w:r>
      <w:r w:rsidR="00882352" w:rsidRPr="007F7D7B">
        <w:rPr>
          <w:rFonts w:ascii="Arial" w:hAnsi="Arial" w:cs="Arial"/>
        </w:rPr>
        <w:t>)</w:t>
      </w:r>
    </w:p>
    <w:p w14:paraId="53B40514" w14:textId="77777777" w:rsidR="0085517E" w:rsidRPr="007F7D7B" w:rsidRDefault="0085517E">
      <w:pPr>
        <w:rPr>
          <w:rFonts w:ascii="Arial" w:hAnsi="Arial" w:cs="Arial"/>
        </w:rPr>
      </w:pPr>
    </w:p>
    <w:p w14:paraId="252B7E52" w14:textId="61CF7502" w:rsidR="0085517E" w:rsidRPr="007F7D7B" w:rsidRDefault="0085517E">
      <w:pPr>
        <w:rPr>
          <w:rFonts w:ascii="Arial" w:hAnsi="Arial" w:cs="Arial"/>
        </w:rPr>
      </w:pPr>
      <w:r w:rsidRPr="007F7D7B">
        <w:rPr>
          <w:rFonts w:ascii="Arial" w:hAnsi="Arial" w:cs="Arial"/>
        </w:rPr>
        <w:t xml:space="preserve">NHS England (2023b) </w:t>
      </w:r>
      <w:r w:rsidRPr="007F7D7B">
        <w:rPr>
          <w:rFonts w:ascii="Arial" w:hAnsi="Arial" w:cs="Arial"/>
          <w:i/>
          <w:iCs/>
        </w:rPr>
        <w:t xml:space="preserve">Good communication with patients waiting for care. </w:t>
      </w:r>
      <w:r w:rsidRPr="007F7D7B">
        <w:rPr>
          <w:rFonts w:ascii="Arial" w:hAnsi="Arial" w:cs="Arial"/>
        </w:rPr>
        <w:t xml:space="preserve">London: NHS England. Available at: </w:t>
      </w:r>
      <w:hyperlink r:id="rId17" w:history="1">
        <w:r w:rsidRPr="007F7D7B">
          <w:rPr>
            <w:rStyle w:val="Hyperlink"/>
            <w:rFonts w:ascii="Arial" w:hAnsi="Arial" w:cs="Arial"/>
          </w:rPr>
          <w:t>https://www.england.nhs.uk/long-read/good-communication-with-patients-waiting-for-care/</w:t>
        </w:r>
      </w:hyperlink>
      <w:r w:rsidRPr="007F7D7B">
        <w:rPr>
          <w:rFonts w:ascii="Arial" w:hAnsi="Arial" w:cs="Arial"/>
        </w:rPr>
        <w:t xml:space="preserve"> </w:t>
      </w:r>
      <w:r w:rsidR="007F16D8" w:rsidRPr="007F7D7B">
        <w:rPr>
          <w:rFonts w:ascii="Arial" w:hAnsi="Arial" w:cs="Arial"/>
        </w:rPr>
        <w:t>(</w:t>
      </w:r>
      <w:r w:rsidRPr="007F7D7B">
        <w:rPr>
          <w:rFonts w:ascii="Arial" w:hAnsi="Arial" w:cs="Arial"/>
        </w:rPr>
        <w:t>Accessed: 10 December 2025</w:t>
      </w:r>
      <w:r w:rsidR="007F16D8" w:rsidRPr="007F7D7B">
        <w:rPr>
          <w:rFonts w:ascii="Arial" w:hAnsi="Arial" w:cs="Arial"/>
        </w:rPr>
        <w:t>)</w:t>
      </w:r>
    </w:p>
    <w:p w14:paraId="1FC17561" w14:textId="77777777" w:rsidR="009B6A31" w:rsidRPr="007F7D7B" w:rsidRDefault="009B6A31">
      <w:pPr>
        <w:rPr>
          <w:rFonts w:ascii="Arial" w:hAnsi="Arial" w:cs="Arial"/>
        </w:rPr>
      </w:pPr>
    </w:p>
    <w:p w14:paraId="0D6E7951" w14:textId="63332748" w:rsidR="009B6A31" w:rsidRPr="007F7D7B" w:rsidRDefault="009B6A31">
      <w:pPr>
        <w:rPr>
          <w:rFonts w:ascii="Arial" w:hAnsi="Arial" w:cs="Arial"/>
        </w:rPr>
      </w:pPr>
      <w:r w:rsidRPr="007F7D7B">
        <w:rPr>
          <w:rFonts w:ascii="Arial" w:hAnsi="Arial" w:cs="Arial"/>
        </w:rPr>
        <w:t xml:space="preserve">Royal College of Nursing (2011) </w:t>
      </w:r>
      <w:r w:rsidRPr="007F7D7B">
        <w:rPr>
          <w:rFonts w:ascii="Arial" w:hAnsi="Arial" w:cs="Arial"/>
          <w:i/>
          <w:iCs/>
        </w:rPr>
        <w:t xml:space="preserve">Principles of nursing practice. </w:t>
      </w:r>
      <w:r w:rsidRPr="007F7D7B">
        <w:rPr>
          <w:rFonts w:ascii="Arial" w:hAnsi="Arial" w:cs="Arial"/>
        </w:rPr>
        <w:t xml:space="preserve">London: The Royal College of London. Available at: </w:t>
      </w:r>
      <w:hyperlink r:id="rId18" w:history="1">
        <w:r w:rsidRPr="007F7D7B">
          <w:rPr>
            <w:rStyle w:val="Hyperlink"/>
            <w:rFonts w:ascii="Arial" w:hAnsi="Arial" w:cs="Arial"/>
          </w:rPr>
          <w:t>https://www.rcn.org.uk/-/media/Royal-College-Of-Nursing/Documents/Publications/2011/August/PUB-004141.pdf</w:t>
        </w:r>
      </w:hyperlink>
      <w:r w:rsidRPr="007F7D7B">
        <w:rPr>
          <w:rFonts w:ascii="Arial" w:hAnsi="Arial" w:cs="Arial"/>
        </w:rPr>
        <w:t xml:space="preserve"> (Accessed: 10 December 2025)</w:t>
      </w:r>
    </w:p>
    <w:p w14:paraId="64D78AF0" w14:textId="77777777" w:rsidR="0020334D" w:rsidRPr="007F7D7B" w:rsidRDefault="0020334D">
      <w:pPr>
        <w:rPr>
          <w:rFonts w:ascii="Arial" w:hAnsi="Arial" w:cs="Arial"/>
        </w:rPr>
      </w:pPr>
    </w:p>
    <w:p w14:paraId="4E02073F" w14:textId="5483F194" w:rsidR="00882352" w:rsidRPr="007F7D7B" w:rsidRDefault="00882352">
      <w:pPr>
        <w:rPr>
          <w:rFonts w:ascii="Arial" w:hAnsi="Arial" w:cs="Arial"/>
        </w:rPr>
      </w:pPr>
      <w:r w:rsidRPr="007F7D7B">
        <w:rPr>
          <w:rFonts w:ascii="Arial" w:hAnsi="Arial" w:cs="Arial"/>
        </w:rPr>
        <w:t xml:space="preserve">Social Care Institute for Excellence (2011). </w:t>
      </w:r>
      <w:r w:rsidRPr="007F7D7B">
        <w:rPr>
          <w:rFonts w:ascii="Arial" w:hAnsi="Arial" w:cs="Arial"/>
          <w:i/>
          <w:iCs/>
        </w:rPr>
        <w:t xml:space="preserve">Personalisation at the Equality Act 2010. </w:t>
      </w:r>
      <w:r w:rsidRPr="007F7D7B">
        <w:rPr>
          <w:rFonts w:ascii="Arial" w:hAnsi="Arial" w:cs="Arial"/>
        </w:rPr>
        <w:t xml:space="preserve">SCIE. Available at:  </w:t>
      </w:r>
      <w:hyperlink r:id="rId19" w:history="1">
        <w:r w:rsidRPr="007F7D7B">
          <w:rPr>
            <w:rStyle w:val="Hyperlink"/>
            <w:rFonts w:ascii="Arial" w:hAnsi="Arial" w:cs="Arial"/>
          </w:rPr>
          <w:t>https://www.scie.org.uk/providing-care/personalised-and-person-centred-care/personalisation-and-the-equality-act-2010/</w:t>
        </w:r>
      </w:hyperlink>
      <w:r w:rsidRPr="007F7D7B">
        <w:rPr>
          <w:rFonts w:ascii="Arial" w:hAnsi="Arial" w:cs="Arial"/>
        </w:rPr>
        <w:t xml:space="preserve"> (Accessed: 10 December 2025)</w:t>
      </w:r>
    </w:p>
    <w:p w14:paraId="2BD1AD91" w14:textId="5B760700" w:rsidR="00E53DCE" w:rsidRPr="007F7D7B" w:rsidRDefault="00E53DCE" w:rsidP="001E59F6">
      <w:pPr>
        <w:rPr>
          <w:rFonts w:ascii="Arial" w:hAnsi="Arial" w:cs="Arial"/>
        </w:rPr>
      </w:pPr>
    </w:p>
    <w:p w14:paraId="72D79379" w14:textId="44F381B1" w:rsidR="00BA5427" w:rsidRPr="007F7D7B" w:rsidRDefault="00BA5427" w:rsidP="001E59F6">
      <w:pPr>
        <w:rPr>
          <w:rFonts w:ascii="Arial" w:hAnsi="Arial" w:cs="Arial"/>
        </w:rPr>
      </w:pPr>
      <w:r w:rsidRPr="007F7D7B">
        <w:rPr>
          <w:rFonts w:ascii="Arial" w:hAnsi="Arial" w:cs="Arial"/>
        </w:rPr>
        <w:t xml:space="preserve">The Health Foundation </w:t>
      </w:r>
      <w:r w:rsidR="002C501B" w:rsidRPr="007F7D7B">
        <w:rPr>
          <w:rFonts w:ascii="Arial" w:hAnsi="Arial" w:cs="Arial"/>
        </w:rPr>
        <w:t xml:space="preserve">(2016) </w:t>
      </w:r>
      <w:r w:rsidR="002C501B" w:rsidRPr="007F7D7B">
        <w:rPr>
          <w:rFonts w:ascii="Arial" w:hAnsi="Arial" w:cs="Arial"/>
          <w:i/>
          <w:iCs/>
        </w:rPr>
        <w:t xml:space="preserve">Person- centred care made simple. </w:t>
      </w:r>
      <w:r w:rsidR="002C501B" w:rsidRPr="007F7D7B">
        <w:rPr>
          <w:rFonts w:ascii="Arial" w:hAnsi="Arial" w:cs="Arial"/>
        </w:rPr>
        <w:t>[online] The Health Foundation, p.11.</w:t>
      </w:r>
      <w:r w:rsidR="002C501B" w:rsidRPr="007F7D7B">
        <w:rPr>
          <w:rFonts w:ascii="Arial" w:hAnsi="Arial" w:cs="Arial"/>
          <w:i/>
          <w:iCs/>
        </w:rPr>
        <w:t xml:space="preserve"> </w:t>
      </w:r>
      <w:r w:rsidR="002C501B" w:rsidRPr="007F7D7B">
        <w:rPr>
          <w:rFonts w:ascii="Arial" w:hAnsi="Arial" w:cs="Arial"/>
        </w:rPr>
        <w:t xml:space="preserve">Available at: </w:t>
      </w:r>
      <w:hyperlink r:id="rId20" w:history="1">
        <w:r w:rsidR="002C501B" w:rsidRPr="007F7D7B">
          <w:rPr>
            <w:rStyle w:val="Hyperlink"/>
            <w:rFonts w:ascii="Arial" w:hAnsi="Arial" w:cs="Arial"/>
          </w:rPr>
          <w:t>https://www.health.org.uk/sites/default/files/PersonCentredCareMadeSimple.pdf</w:t>
        </w:r>
      </w:hyperlink>
      <w:r w:rsidR="002C501B" w:rsidRPr="007F7D7B">
        <w:rPr>
          <w:rFonts w:ascii="Arial" w:hAnsi="Arial" w:cs="Arial"/>
        </w:rPr>
        <w:t xml:space="preserve"> </w:t>
      </w:r>
      <w:r w:rsidR="007F16D8" w:rsidRPr="007F7D7B">
        <w:rPr>
          <w:rFonts w:ascii="Arial" w:hAnsi="Arial" w:cs="Arial"/>
        </w:rPr>
        <w:t>(</w:t>
      </w:r>
      <w:r w:rsidR="002C501B" w:rsidRPr="007F7D7B">
        <w:rPr>
          <w:rFonts w:ascii="Arial" w:hAnsi="Arial" w:cs="Arial"/>
        </w:rPr>
        <w:t>Accessed: 11 December 2025</w:t>
      </w:r>
      <w:r w:rsidR="007F16D8" w:rsidRPr="007F7D7B">
        <w:rPr>
          <w:rFonts w:ascii="Arial" w:hAnsi="Arial" w:cs="Arial"/>
        </w:rPr>
        <w:t>)</w:t>
      </w:r>
    </w:p>
    <w:p w14:paraId="73E1E86F" w14:textId="77777777" w:rsidR="002C501B" w:rsidRPr="007F7D7B" w:rsidRDefault="002C501B" w:rsidP="001E59F6">
      <w:pPr>
        <w:rPr>
          <w:rFonts w:ascii="Arial" w:hAnsi="Arial" w:cs="Arial"/>
        </w:rPr>
      </w:pPr>
    </w:p>
    <w:p w14:paraId="1894FC94" w14:textId="52DE13D4" w:rsidR="001E59F6" w:rsidRPr="007F7D7B" w:rsidRDefault="00E53DCE" w:rsidP="001E59F6">
      <w:pPr>
        <w:rPr>
          <w:rFonts w:ascii="Arial" w:hAnsi="Arial" w:cs="Arial"/>
        </w:rPr>
      </w:pPr>
      <w:r w:rsidRPr="007F7D7B">
        <w:rPr>
          <w:rFonts w:ascii="Arial" w:hAnsi="Arial" w:cs="Arial"/>
        </w:rPr>
        <w:lastRenderedPageBreak/>
        <w:t xml:space="preserve">West, M., </w:t>
      </w:r>
      <w:proofErr w:type="spellStart"/>
      <w:r w:rsidRPr="007F7D7B">
        <w:rPr>
          <w:rFonts w:ascii="Arial" w:hAnsi="Arial" w:cs="Arial"/>
        </w:rPr>
        <w:t>Coia</w:t>
      </w:r>
      <w:proofErr w:type="spellEnd"/>
      <w:r w:rsidRPr="007F7D7B">
        <w:rPr>
          <w:rFonts w:ascii="Arial" w:hAnsi="Arial" w:cs="Arial"/>
        </w:rPr>
        <w:t xml:space="preserve">, D. and Taylor, C. (2020) </w:t>
      </w:r>
      <w:r w:rsidRPr="007F7D7B">
        <w:rPr>
          <w:rFonts w:ascii="Arial" w:hAnsi="Arial" w:cs="Arial"/>
          <w:i/>
          <w:iCs/>
        </w:rPr>
        <w:t xml:space="preserve">Caring for Doctors, Caring for Patients. </w:t>
      </w:r>
      <w:r w:rsidR="00C80CFF" w:rsidRPr="007F7D7B">
        <w:rPr>
          <w:rFonts w:ascii="Arial" w:hAnsi="Arial" w:cs="Arial"/>
        </w:rPr>
        <w:t xml:space="preserve">[online] General Medical Council. </w:t>
      </w:r>
      <w:r w:rsidRPr="007F7D7B">
        <w:rPr>
          <w:rFonts w:ascii="Arial" w:hAnsi="Arial" w:cs="Arial"/>
        </w:rPr>
        <w:t>London: General Medical Council. Available a</w:t>
      </w:r>
      <w:r w:rsidR="00C80CFF" w:rsidRPr="007F7D7B">
        <w:rPr>
          <w:rFonts w:ascii="Arial" w:hAnsi="Arial" w:cs="Arial"/>
        </w:rPr>
        <w:t xml:space="preserve">t: </w:t>
      </w:r>
      <w:hyperlink r:id="rId21" w:history="1">
        <w:r w:rsidR="00C80CFF" w:rsidRPr="007F7D7B">
          <w:rPr>
            <w:rStyle w:val="Hyperlink"/>
            <w:rFonts w:ascii="Arial" w:hAnsi="Arial" w:cs="Arial"/>
          </w:rPr>
          <w:t>https://www.gmc-uk.org/cdn/documents/caring-for-doctors-caring-for-patients_pdf-80706341.pdf</w:t>
        </w:r>
      </w:hyperlink>
      <w:r w:rsidR="00C80CFF" w:rsidRPr="007F7D7B">
        <w:rPr>
          <w:rFonts w:ascii="Arial" w:hAnsi="Arial" w:cs="Arial"/>
        </w:rPr>
        <w:t xml:space="preserve"> </w:t>
      </w:r>
      <w:r w:rsidR="007F16D8" w:rsidRPr="007F7D7B">
        <w:rPr>
          <w:rFonts w:ascii="Arial" w:hAnsi="Arial" w:cs="Arial"/>
        </w:rPr>
        <w:t>(</w:t>
      </w:r>
      <w:r w:rsidR="00C80CFF" w:rsidRPr="007F7D7B">
        <w:rPr>
          <w:rFonts w:ascii="Arial" w:hAnsi="Arial" w:cs="Arial"/>
        </w:rPr>
        <w:t>Accessed: 10 December 2025</w:t>
      </w:r>
      <w:r w:rsidR="007F16D8" w:rsidRPr="007F7D7B">
        <w:rPr>
          <w:rFonts w:ascii="Arial" w:hAnsi="Arial" w:cs="Arial"/>
        </w:rPr>
        <w:t>)</w:t>
      </w:r>
    </w:p>
    <w:p w14:paraId="4F3401F4" w14:textId="77777777" w:rsidR="00384930" w:rsidRPr="007F7D7B" w:rsidRDefault="00384930" w:rsidP="001E59F6">
      <w:pPr>
        <w:rPr>
          <w:rFonts w:ascii="Arial" w:hAnsi="Arial" w:cs="Arial"/>
        </w:rPr>
      </w:pPr>
    </w:p>
    <w:p w14:paraId="255ACB9E" w14:textId="77777777" w:rsidR="00384930" w:rsidRPr="007F7D7B" w:rsidRDefault="00384930" w:rsidP="001E59F6">
      <w:pPr>
        <w:rPr>
          <w:rFonts w:ascii="Arial" w:hAnsi="Arial" w:cs="Arial"/>
          <w:i/>
          <w:iCs/>
        </w:rPr>
      </w:pPr>
    </w:p>
    <w:sectPr w:rsidR="00384930" w:rsidRPr="007F7D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24536" w14:textId="77777777" w:rsidR="00D16960" w:rsidRDefault="00D16960" w:rsidP="008B1425">
      <w:r>
        <w:separator/>
      </w:r>
    </w:p>
  </w:endnote>
  <w:endnote w:type="continuationSeparator" w:id="0">
    <w:p w14:paraId="06848502" w14:textId="77777777" w:rsidR="00D16960" w:rsidRDefault="00D16960" w:rsidP="008B1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5C84C" w14:textId="77777777" w:rsidR="00D16960" w:rsidRDefault="00D16960" w:rsidP="008B1425">
      <w:r>
        <w:separator/>
      </w:r>
    </w:p>
  </w:footnote>
  <w:footnote w:type="continuationSeparator" w:id="0">
    <w:p w14:paraId="36D1B193" w14:textId="77777777" w:rsidR="00D16960" w:rsidRDefault="00D16960" w:rsidP="008B14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43172"/>
    <w:multiLevelType w:val="hybridMultilevel"/>
    <w:tmpl w:val="30360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558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9F6"/>
    <w:rsid w:val="00001128"/>
    <w:rsid w:val="000D0EB2"/>
    <w:rsid w:val="000E360A"/>
    <w:rsid w:val="0015638F"/>
    <w:rsid w:val="001D6894"/>
    <w:rsid w:val="001E59F6"/>
    <w:rsid w:val="001F1F85"/>
    <w:rsid w:val="0020334D"/>
    <w:rsid w:val="00292473"/>
    <w:rsid w:val="002C501B"/>
    <w:rsid w:val="00384930"/>
    <w:rsid w:val="003A2367"/>
    <w:rsid w:val="003B211E"/>
    <w:rsid w:val="00410687"/>
    <w:rsid w:val="00432347"/>
    <w:rsid w:val="00454D0A"/>
    <w:rsid w:val="00492BF3"/>
    <w:rsid w:val="004E51C8"/>
    <w:rsid w:val="00592039"/>
    <w:rsid w:val="006241E3"/>
    <w:rsid w:val="00636501"/>
    <w:rsid w:val="006A6B54"/>
    <w:rsid w:val="00715EB0"/>
    <w:rsid w:val="007D5BCC"/>
    <w:rsid w:val="007E3858"/>
    <w:rsid w:val="007F16D8"/>
    <w:rsid w:val="007F34B9"/>
    <w:rsid w:val="007F7D7B"/>
    <w:rsid w:val="0083333D"/>
    <w:rsid w:val="00845E51"/>
    <w:rsid w:val="0085517E"/>
    <w:rsid w:val="00882352"/>
    <w:rsid w:val="008B1425"/>
    <w:rsid w:val="00927CE3"/>
    <w:rsid w:val="009403FD"/>
    <w:rsid w:val="009860F4"/>
    <w:rsid w:val="009A1D28"/>
    <w:rsid w:val="009A3317"/>
    <w:rsid w:val="009B6A31"/>
    <w:rsid w:val="009F1E77"/>
    <w:rsid w:val="00A70040"/>
    <w:rsid w:val="00AE15C5"/>
    <w:rsid w:val="00B97798"/>
    <w:rsid w:val="00BA5427"/>
    <w:rsid w:val="00BC74A5"/>
    <w:rsid w:val="00C0782A"/>
    <w:rsid w:val="00C1222D"/>
    <w:rsid w:val="00C67D45"/>
    <w:rsid w:val="00C80CFF"/>
    <w:rsid w:val="00CC45BA"/>
    <w:rsid w:val="00D03CF9"/>
    <w:rsid w:val="00D16960"/>
    <w:rsid w:val="00D22896"/>
    <w:rsid w:val="00D42E7B"/>
    <w:rsid w:val="00DD06B6"/>
    <w:rsid w:val="00E36267"/>
    <w:rsid w:val="00E53DCE"/>
    <w:rsid w:val="00F11787"/>
    <w:rsid w:val="00F413A0"/>
    <w:rsid w:val="00FE5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73DB4"/>
  <w15:chartTrackingRefBased/>
  <w15:docId w15:val="{EB06945C-0DB9-FE47-B384-6BB9CB494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4B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5BA"/>
    <w:rPr>
      <w:color w:val="0563C1" w:themeColor="hyperlink"/>
      <w:u w:val="single"/>
    </w:rPr>
  </w:style>
  <w:style w:type="character" w:styleId="UnresolvedMention">
    <w:name w:val="Unresolved Mention"/>
    <w:basedOn w:val="DefaultParagraphFont"/>
    <w:uiPriority w:val="99"/>
    <w:semiHidden/>
    <w:unhideWhenUsed/>
    <w:rsid w:val="00CC45BA"/>
    <w:rPr>
      <w:color w:val="605E5C"/>
      <w:shd w:val="clear" w:color="auto" w:fill="E1DFDD"/>
    </w:rPr>
  </w:style>
  <w:style w:type="character" w:customStyle="1" w:styleId="apple-converted-space">
    <w:name w:val="apple-converted-space"/>
    <w:basedOn w:val="DefaultParagraphFont"/>
    <w:rsid w:val="00C80CFF"/>
  </w:style>
  <w:style w:type="paragraph" w:styleId="ListParagraph">
    <w:name w:val="List Paragraph"/>
    <w:basedOn w:val="Normal"/>
    <w:uiPriority w:val="34"/>
    <w:qFormat/>
    <w:rsid w:val="00927CE3"/>
    <w:pPr>
      <w:ind w:left="720"/>
      <w:contextualSpacing/>
    </w:pPr>
  </w:style>
  <w:style w:type="table" w:styleId="TableGrid">
    <w:name w:val="Table Grid"/>
    <w:basedOn w:val="TableNormal"/>
    <w:uiPriority w:val="39"/>
    <w:rsid w:val="006365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1425"/>
    <w:pPr>
      <w:tabs>
        <w:tab w:val="center" w:pos="4513"/>
        <w:tab w:val="right" w:pos="9026"/>
      </w:tabs>
    </w:pPr>
  </w:style>
  <w:style w:type="character" w:customStyle="1" w:styleId="HeaderChar">
    <w:name w:val="Header Char"/>
    <w:basedOn w:val="DefaultParagraphFont"/>
    <w:link w:val="Header"/>
    <w:uiPriority w:val="99"/>
    <w:rsid w:val="008B1425"/>
  </w:style>
  <w:style w:type="paragraph" w:styleId="Footer">
    <w:name w:val="footer"/>
    <w:basedOn w:val="Normal"/>
    <w:link w:val="FooterChar"/>
    <w:uiPriority w:val="99"/>
    <w:unhideWhenUsed/>
    <w:rsid w:val="008B1425"/>
    <w:pPr>
      <w:tabs>
        <w:tab w:val="center" w:pos="4513"/>
        <w:tab w:val="right" w:pos="9026"/>
      </w:tabs>
    </w:pPr>
  </w:style>
  <w:style w:type="character" w:customStyle="1" w:styleId="FooterChar">
    <w:name w:val="Footer Char"/>
    <w:basedOn w:val="DefaultParagraphFont"/>
    <w:link w:val="Footer"/>
    <w:uiPriority w:val="99"/>
    <w:rsid w:val="008B1425"/>
  </w:style>
  <w:style w:type="character" w:customStyle="1" w:styleId="Heading1Char">
    <w:name w:val="Heading 1 Char"/>
    <w:basedOn w:val="DefaultParagraphFont"/>
    <w:link w:val="Heading1"/>
    <w:uiPriority w:val="9"/>
    <w:rsid w:val="007F34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779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97798"/>
    <w:pPr>
      <w:spacing w:before="120"/>
    </w:pPr>
    <w:rPr>
      <w:rFonts w:cstheme="minorHAnsi"/>
      <w:b/>
      <w:bCs/>
      <w:i/>
      <w:iCs/>
    </w:rPr>
  </w:style>
  <w:style w:type="paragraph" w:styleId="TOC2">
    <w:name w:val="toc 2"/>
    <w:basedOn w:val="Normal"/>
    <w:next w:val="Normal"/>
    <w:autoRedefine/>
    <w:uiPriority w:val="39"/>
    <w:semiHidden/>
    <w:unhideWhenUsed/>
    <w:rsid w:val="00B9779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97798"/>
    <w:pPr>
      <w:ind w:left="480"/>
    </w:pPr>
    <w:rPr>
      <w:rFonts w:cstheme="minorHAnsi"/>
      <w:sz w:val="20"/>
      <w:szCs w:val="20"/>
    </w:rPr>
  </w:style>
  <w:style w:type="paragraph" w:styleId="TOC4">
    <w:name w:val="toc 4"/>
    <w:basedOn w:val="Normal"/>
    <w:next w:val="Normal"/>
    <w:autoRedefine/>
    <w:uiPriority w:val="39"/>
    <w:semiHidden/>
    <w:unhideWhenUsed/>
    <w:rsid w:val="00B97798"/>
    <w:pPr>
      <w:ind w:left="720"/>
    </w:pPr>
    <w:rPr>
      <w:rFonts w:cstheme="minorHAnsi"/>
      <w:sz w:val="20"/>
      <w:szCs w:val="20"/>
    </w:rPr>
  </w:style>
  <w:style w:type="paragraph" w:styleId="TOC5">
    <w:name w:val="toc 5"/>
    <w:basedOn w:val="Normal"/>
    <w:next w:val="Normal"/>
    <w:autoRedefine/>
    <w:uiPriority w:val="39"/>
    <w:semiHidden/>
    <w:unhideWhenUsed/>
    <w:rsid w:val="00B97798"/>
    <w:pPr>
      <w:ind w:left="960"/>
    </w:pPr>
    <w:rPr>
      <w:rFonts w:cstheme="minorHAnsi"/>
      <w:sz w:val="20"/>
      <w:szCs w:val="20"/>
    </w:rPr>
  </w:style>
  <w:style w:type="paragraph" w:styleId="TOC6">
    <w:name w:val="toc 6"/>
    <w:basedOn w:val="Normal"/>
    <w:next w:val="Normal"/>
    <w:autoRedefine/>
    <w:uiPriority w:val="39"/>
    <w:semiHidden/>
    <w:unhideWhenUsed/>
    <w:rsid w:val="00B97798"/>
    <w:pPr>
      <w:ind w:left="1200"/>
    </w:pPr>
    <w:rPr>
      <w:rFonts w:cstheme="minorHAnsi"/>
      <w:sz w:val="20"/>
      <w:szCs w:val="20"/>
    </w:rPr>
  </w:style>
  <w:style w:type="paragraph" w:styleId="TOC7">
    <w:name w:val="toc 7"/>
    <w:basedOn w:val="Normal"/>
    <w:next w:val="Normal"/>
    <w:autoRedefine/>
    <w:uiPriority w:val="39"/>
    <w:semiHidden/>
    <w:unhideWhenUsed/>
    <w:rsid w:val="00B97798"/>
    <w:pPr>
      <w:ind w:left="1440"/>
    </w:pPr>
    <w:rPr>
      <w:rFonts w:cstheme="minorHAnsi"/>
      <w:sz w:val="20"/>
      <w:szCs w:val="20"/>
    </w:rPr>
  </w:style>
  <w:style w:type="paragraph" w:styleId="TOC8">
    <w:name w:val="toc 8"/>
    <w:basedOn w:val="Normal"/>
    <w:next w:val="Normal"/>
    <w:autoRedefine/>
    <w:uiPriority w:val="39"/>
    <w:semiHidden/>
    <w:unhideWhenUsed/>
    <w:rsid w:val="00B97798"/>
    <w:pPr>
      <w:ind w:left="1680"/>
    </w:pPr>
    <w:rPr>
      <w:rFonts w:cstheme="minorHAnsi"/>
      <w:sz w:val="20"/>
      <w:szCs w:val="20"/>
    </w:rPr>
  </w:style>
  <w:style w:type="paragraph" w:styleId="TOC9">
    <w:name w:val="toc 9"/>
    <w:basedOn w:val="Normal"/>
    <w:next w:val="Normal"/>
    <w:autoRedefine/>
    <w:uiPriority w:val="39"/>
    <w:semiHidden/>
    <w:unhideWhenUsed/>
    <w:rsid w:val="00B9779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co.org.uk/for-organisations/uk-gdpr-guidance-and-resources/data-sharing/" TargetMode="External"/><Relationship Id="rId18" Type="http://schemas.openxmlformats.org/officeDocument/2006/relationships/hyperlink" Target="https://www.rcn.org.uk/-/media/Royal-College-Of-Nursing/Documents/Publications/2011/August/PUB-004141.pdf" TargetMode="External"/><Relationship Id="rId3" Type="http://schemas.openxmlformats.org/officeDocument/2006/relationships/styles" Target="styles.xml"/><Relationship Id="rId21" Type="http://schemas.openxmlformats.org/officeDocument/2006/relationships/hyperlink" Target="https://www.gmc-uk.org/cdn/documents/caring-for-doctors-caring-for-patients_pdf-80706341.pdf" TargetMode="External"/><Relationship Id="rId7" Type="http://schemas.openxmlformats.org/officeDocument/2006/relationships/endnotes" Target="endnotes.xml"/><Relationship Id="rId12" Type="http://schemas.openxmlformats.org/officeDocument/2006/relationships/hyperlink" Target="https://www.legislation.gov.uk/ukpga/2012/7/notes" TargetMode="External"/><Relationship Id="rId17" Type="http://schemas.openxmlformats.org/officeDocument/2006/relationships/hyperlink" Target="https://www.england.nhs.uk/long-read/good-communication-with-patients-waiting-for-care/" TargetMode="External"/><Relationship Id="rId2" Type="http://schemas.openxmlformats.org/officeDocument/2006/relationships/numbering" Target="numbering.xml"/><Relationship Id="rId16" Type="http://schemas.openxmlformats.org/officeDocument/2006/relationships/hyperlink" Target="https://www.england.nhs.uk/long-read/nhs-long-term-workforce-plan-2/" TargetMode="External"/><Relationship Id="rId20" Type="http://schemas.openxmlformats.org/officeDocument/2006/relationships/hyperlink" Target="https://www.health.org.uk/sites/default/files/PersonCentredCareMadeSimp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major-report/state-care/2022-2023/inequalities" TargetMode="External"/><Relationship Id="rId5" Type="http://schemas.openxmlformats.org/officeDocument/2006/relationships/webSettings" Target="webSettings.xml"/><Relationship Id="rId15" Type="http://schemas.openxmlformats.org/officeDocument/2006/relationships/hyperlink" Target="https://www.nice.org.uk/guidance/cg138" TargetMode="External"/><Relationship Id="rId23" Type="http://schemas.openxmlformats.org/officeDocument/2006/relationships/theme" Target="theme/theme1.xml"/><Relationship Id="rId10" Type="http://schemas.openxmlformats.org/officeDocument/2006/relationships/hyperlink" Target="https://www.legislation.gov.uk/ukpga/2014/23/section/1" TargetMode="External"/><Relationship Id="rId19" Type="http://schemas.openxmlformats.org/officeDocument/2006/relationships/hyperlink" Target="https://www.scie.org.uk/providing-care/personalised-and-person-centred-care/personalisation-and-the-equality-act-201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egislation.gov.uk/ukpga/2005/9/section/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4CD15-B92D-0041-A6D7-B83902940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nelda gomes</dc:creator>
  <cp:keywords/>
  <dc:description/>
  <cp:lastModifiedBy>nelda gomes</cp:lastModifiedBy>
  <cp:revision>2</cp:revision>
  <dcterms:created xsi:type="dcterms:W3CDTF">2025-12-19T03:10:00Z</dcterms:created>
  <dcterms:modified xsi:type="dcterms:W3CDTF">2025-12-19T03:10:00Z</dcterms:modified>
</cp:coreProperties>
</file>