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019F7" w14:textId="200D117C" w:rsidR="002830BC" w:rsidRPr="00610621" w:rsidRDefault="002830BC" w:rsidP="00610621">
      <w:pPr>
        <w:spacing w:line="360" w:lineRule="auto"/>
        <w:jc w:val="center"/>
        <w:rPr>
          <w:rFonts w:eastAsia="Times New Roman"/>
          <w:b/>
          <w:lang w:val="en-GB"/>
        </w:rPr>
      </w:pPr>
    </w:p>
    <w:p w14:paraId="6C210466" w14:textId="77777777" w:rsidR="005A6487" w:rsidRPr="00610621" w:rsidRDefault="005A6487" w:rsidP="00610621">
      <w:pPr>
        <w:spacing w:line="360" w:lineRule="auto"/>
        <w:rPr>
          <w:lang w:val="en-GB"/>
        </w:rPr>
      </w:pPr>
    </w:p>
    <w:p w14:paraId="692D3D7B" w14:textId="77777777" w:rsidR="005A6487" w:rsidRPr="00610621" w:rsidRDefault="005A6487" w:rsidP="00610621">
      <w:pPr>
        <w:spacing w:line="360" w:lineRule="auto"/>
        <w:rPr>
          <w:lang w:val="en-GB"/>
        </w:rPr>
      </w:pPr>
    </w:p>
    <w:p w14:paraId="1D9B4FB7" w14:textId="77777777" w:rsidR="005A6487" w:rsidRPr="00610621" w:rsidRDefault="005A6487" w:rsidP="00610621">
      <w:pPr>
        <w:spacing w:line="360" w:lineRule="auto"/>
        <w:rPr>
          <w:lang w:val="en-GB"/>
        </w:rPr>
      </w:pPr>
    </w:p>
    <w:p w14:paraId="6A4DF1E6" w14:textId="77777777" w:rsidR="005A6487" w:rsidRPr="00610621" w:rsidRDefault="005A6487" w:rsidP="00610621">
      <w:pPr>
        <w:spacing w:line="360" w:lineRule="auto"/>
        <w:rPr>
          <w:lang w:val="en-GB"/>
        </w:rPr>
      </w:pPr>
    </w:p>
    <w:p w14:paraId="1C79EAC1" w14:textId="77777777" w:rsidR="00490AD8" w:rsidRPr="00EA27C2" w:rsidRDefault="00490AD8" w:rsidP="00610621">
      <w:pPr>
        <w:spacing w:line="360" w:lineRule="auto"/>
        <w:jc w:val="center"/>
        <w:rPr>
          <w:b/>
          <w:sz w:val="32"/>
          <w:szCs w:val="32"/>
          <w:lang w:val="en-GB"/>
        </w:rPr>
      </w:pPr>
    </w:p>
    <w:p w14:paraId="1AC42A9E" w14:textId="77777777" w:rsidR="00490AD8" w:rsidRPr="00EA27C2" w:rsidRDefault="00490AD8" w:rsidP="00610621">
      <w:pPr>
        <w:spacing w:line="360" w:lineRule="auto"/>
        <w:jc w:val="center"/>
        <w:rPr>
          <w:b/>
          <w:sz w:val="32"/>
          <w:szCs w:val="32"/>
          <w:lang w:val="en-GB"/>
        </w:rPr>
      </w:pPr>
    </w:p>
    <w:p w14:paraId="0A224342" w14:textId="77777777" w:rsidR="00490AD8" w:rsidRPr="00EA27C2" w:rsidRDefault="00490AD8" w:rsidP="00610621">
      <w:pPr>
        <w:spacing w:line="360" w:lineRule="auto"/>
        <w:jc w:val="center"/>
        <w:rPr>
          <w:b/>
          <w:sz w:val="32"/>
          <w:szCs w:val="32"/>
          <w:lang w:val="en-GB"/>
        </w:rPr>
      </w:pPr>
    </w:p>
    <w:p w14:paraId="4B45FD44" w14:textId="72A39F46" w:rsidR="005A6487" w:rsidRPr="00EA27C2" w:rsidRDefault="00137F87" w:rsidP="00610621">
      <w:pPr>
        <w:spacing w:line="360" w:lineRule="auto"/>
        <w:jc w:val="center"/>
        <w:rPr>
          <w:b/>
          <w:sz w:val="32"/>
          <w:szCs w:val="32"/>
          <w:lang w:val="en-GB"/>
        </w:rPr>
      </w:pPr>
      <w:r w:rsidRPr="00EA27C2">
        <w:rPr>
          <w:b/>
          <w:sz w:val="32"/>
          <w:szCs w:val="32"/>
          <w:lang w:val="en-GB"/>
        </w:rPr>
        <w:t>Student Name:</w:t>
      </w:r>
      <w:r w:rsidR="00D25B3A" w:rsidRPr="00EA27C2">
        <w:rPr>
          <w:b/>
          <w:sz w:val="32"/>
          <w:szCs w:val="32"/>
          <w:lang w:val="en-GB"/>
        </w:rPr>
        <w:t xml:space="preserve"> </w:t>
      </w:r>
      <w:r w:rsidR="00D25B3A" w:rsidRPr="00EA27C2">
        <w:rPr>
          <w:sz w:val="32"/>
          <w:szCs w:val="32"/>
          <w:lang w:val="en-GB"/>
        </w:rPr>
        <w:t>Stac</w:t>
      </w:r>
      <w:r w:rsidR="00B63805" w:rsidRPr="00EA27C2">
        <w:rPr>
          <w:sz w:val="32"/>
          <w:szCs w:val="32"/>
          <w:lang w:val="en-GB"/>
        </w:rPr>
        <w:t>y-Ann</w:t>
      </w:r>
      <w:r w:rsidR="00D25B3A" w:rsidRPr="00EA27C2">
        <w:rPr>
          <w:sz w:val="32"/>
          <w:szCs w:val="32"/>
          <w:lang w:val="en-GB"/>
        </w:rPr>
        <w:t xml:space="preserve"> Watson</w:t>
      </w:r>
    </w:p>
    <w:p w14:paraId="3C598F1D" w14:textId="13651FA0" w:rsidR="005A6487" w:rsidRPr="00EA27C2" w:rsidRDefault="00137F87" w:rsidP="00610621">
      <w:pPr>
        <w:spacing w:line="360" w:lineRule="auto"/>
        <w:jc w:val="center"/>
        <w:rPr>
          <w:b/>
          <w:sz w:val="32"/>
          <w:szCs w:val="32"/>
          <w:lang w:val="en-GB"/>
        </w:rPr>
      </w:pPr>
      <w:r w:rsidRPr="00EA27C2">
        <w:rPr>
          <w:b/>
          <w:sz w:val="32"/>
          <w:szCs w:val="32"/>
          <w:lang w:val="en-GB"/>
        </w:rPr>
        <w:t>Student ID Number</w:t>
      </w:r>
      <w:r w:rsidR="00430E62" w:rsidRPr="00EA27C2">
        <w:rPr>
          <w:b/>
          <w:sz w:val="32"/>
          <w:szCs w:val="32"/>
          <w:lang w:val="en-GB"/>
        </w:rPr>
        <w:t>: 2238279</w:t>
      </w:r>
    </w:p>
    <w:p w14:paraId="52D41E2E" w14:textId="77911D62" w:rsidR="005A6487" w:rsidRPr="00EA27C2" w:rsidRDefault="00137F87" w:rsidP="00610621">
      <w:pPr>
        <w:spacing w:line="360" w:lineRule="auto"/>
        <w:jc w:val="center"/>
        <w:rPr>
          <w:b/>
          <w:bCs/>
          <w:sz w:val="32"/>
          <w:szCs w:val="32"/>
          <w:lang w:val="en-GB"/>
        </w:rPr>
      </w:pPr>
      <w:r w:rsidRPr="00EA27C2">
        <w:rPr>
          <w:b/>
          <w:sz w:val="32"/>
          <w:szCs w:val="32"/>
          <w:lang w:val="en-GB"/>
        </w:rPr>
        <w:t>Module</w:t>
      </w:r>
      <w:r w:rsidR="001525AF" w:rsidRPr="00EA27C2">
        <w:rPr>
          <w:b/>
          <w:sz w:val="32"/>
          <w:szCs w:val="32"/>
          <w:lang w:val="en-GB"/>
        </w:rPr>
        <w:t xml:space="preserve"> Name: </w:t>
      </w:r>
      <w:r w:rsidRPr="00EA27C2">
        <w:rPr>
          <w:bCs/>
          <w:sz w:val="32"/>
          <w:szCs w:val="32"/>
          <w:lang w:val="en-GB"/>
        </w:rPr>
        <w:t>Psychological Classifications and Provisions</w:t>
      </w:r>
    </w:p>
    <w:p w14:paraId="4306E302" w14:textId="6055DC00" w:rsidR="005A6487" w:rsidRPr="00EA27C2" w:rsidRDefault="00137F87" w:rsidP="00610621">
      <w:pPr>
        <w:spacing w:line="360" w:lineRule="auto"/>
        <w:jc w:val="center"/>
        <w:rPr>
          <w:b/>
          <w:sz w:val="32"/>
          <w:szCs w:val="32"/>
          <w:lang w:val="en-GB"/>
        </w:rPr>
      </w:pPr>
      <w:r w:rsidRPr="00EA27C2">
        <w:rPr>
          <w:b/>
          <w:sz w:val="32"/>
          <w:szCs w:val="32"/>
          <w:lang w:val="en-GB"/>
        </w:rPr>
        <w:t xml:space="preserve">Module code: </w:t>
      </w:r>
      <w:r w:rsidRPr="00EA27C2">
        <w:rPr>
          <w:sz w:val="32"/>
          <w:szCs w:val="32"/>
          <w:lang w:val="en-GB"/>
        </w:rPr>
        <w:t>BMHP6029</w:t>
      </w:r>
    </w:p>
    <w:p w14:paraId="64009FF1" w14:textId="6CDD5AC2" w:rsidR="005A6487" w:rsidRPr="00EA27C2" w:rsidRDefault="00137F87" w:rsidP="00610621">
      <w:pPr>
        <w:spacing w:line="360" w:lineRule="auto"/>
        <w:jc w:val="center"/>
        <w:rPr>
          <w:b/>
          <w:sz w:val="32"/>
          <w:szCs w:val="32"/>
          <w:lang w:val="en-GB"/>
        </w:rPr>
      </w:pPr>
      <w:r w:rsidRPr="00EA27C2">
        <w:rPr>
          <w:b/>
          <w:sz w:val="32"/>
          <w:szCs w:val="32"/>
          <w:lang w:val="en-GB"/>
        </w:rPr>
        <w:t>Lecturer</w:t>
      </w:r>
      <w:r w:rsidR="0054397C" w:rsidRPr="00EA27C2">
        <w:rPr>
          <w:b/>
          <w:sz w:val="32"/>
          <w:szCs w:val="32"/>
          <w:lang w:val="en-GB"/>
        </w:rPr>
        <w:t xml:space="preserve"> Name:</w:t>
      </w:r>
      <w:r w:rsidR="00430E62" w:rsidRPr="00EA27C2">
        <w:rPr>
          <w:b/>
          <w:sz w:val="32"/>
          <w:szCs w:val="32"/>
          <w:lang w:val="en-GB"/>
        </w:rPr>
        <w:t xml:space="preserve"> Neale</w:t>
      </w:r>
      <w:r w:rsidR="00E00E4F" w:rsidRPr="00EA27C2">
        <w:rPr>
          <w:b/>
          <w:sz w:val="32"/>
          <w:szCs w:val="32"/>
          <w:lang w:val="en-GB"/>
        </w:rPr>
        <w:t xml:space="preserve"> H</w:t>
      </w:r>
      <w:r w:rsidR="00892DC2" w:rsidRPr="00EA27C2">
        <w:rPr>
          <w:b/>
          <w:sz w:val="32"/>
          <w:szCs w:val="32"/>
          <w:lang w:val="en-GB"/>
        </w:rPr>
        <w:t>add</w:t>
      </w:r>
      <w:r w:rsidR="00D31D3C" w:rsidRPr="00EA27C2">
        <w:rPr>
          <w:b/>
          <w:sz w:val="32"/>
          <w:szCs w:val="32"/>
          <w:lang w:val="en-GB"/>
        </w:rPr>
        <w:t>on</w:t>
      </w:r>
    </w:p>
    <w:p w14:paraId="0704C57C" w14:textId="77777777" w:rsidR="005A6487" w:rsidRPr="00EA27C2" w:rsidRDefault="00137F87" w:rsidP="00610621">
      <w:pPr>
        <w:spacing w:line="360" w:lineRule="auto"/>
        <w:jc w:val="center"/>
        <w:rPr>
          <w:bCs/>
          <w:sz w:val="32"/>
          <w:szCs w:val="32"/>
          <w:lang w:val="en-GB"/>
        </w:rPr>
      </w:pPr>
      <w:r w:rsidRPr="00EA27C2">
        <w:rPr>
          <w:b/>
          <w:sz w:val="32"/>
          <w:szCs w:val="32"/>
          <w:lang w:val="en-GB"/>
        </w:rPr>
        <w:t xml:space="preserve">Assignment Title: </w:t>
      </w:r>
      <w:r w:rsidRPr="00EA27C2">
        <w:rPr>
          <w:bCs/>
          <w:sz w:val="32"/>
          <w:szCs w:val="32"/>
          <w:lang w:val="en-GB"/>
        </w:rPr>
        <w:t>Component 2: Written Assignment (Report)</w:t>
      </w:r>
    </w:p>
    <w:p w14:paraId="33059AC5" w14:textId="50263980" w:rsidR="005A6487" w:rsidRPr="00F02D6E" w:rsidRDefault="005F572A" w:rsidP="00610621">
      <w:pPr>
        <w:spacing w:line="360" w:lineRule="auto"/>
        <w:rPr>
          <w:bCs/>
          <w:lang w:val="en-GB"/>
        </w:rPr>
      </w:pPr>
      <w:r w:rsidRPr="00610621">
        <w:rPr>
          <w:bCs/>
          <w:lang w:val="en-GB"/>
        </w:rPr>
        <w:br w:type="page"/>
      </w:r>
    </w:p>
    <w:p w14:paraId="790F44F7" w14:textId="77777777" w:rsidR="002830BC" w:rsidRPr="00610621" w:rsidRDefault="00137F87" w:rsidP="00610621">
      <w:pPr>
        <w:pStyle w:val="Heading1"/>
        <w:rPr>
          <w:sz w:val="22"/>
          <w:szCs w:val="22"/>
          <w:lang w:val="en-GB"/>
        </w:rPr>
      </w:pPr>
      <w:bookmarkStart w:id="0" w:name="_Toc212638633"/>
      <w:r w:rsidRPr="00610621">
        <w:rPr>
          <w:sz w:val="22"/>
          <w:szCs w:val="22"/>
          <w:lang w:val="en-GB"/>
        </w:rPr>
        <w:lastRenderedPageBreak/>
        <w:t>Introduction</w:t>
      </w:r>
      <w:bookmarkEnd w:id="0"/>
    </w:p>
    <w:p w14:paraId="59D5A9EC" w14:textId="77777777" w:rsidR="002830BC" w:rsidRPr="00610621" w:rsidRDefault="00137F87" w:rsidP="00610621">
      <w:pPr>
        <w:spacing w:line="360" w:lineRule="auto"/>
        <w:jc w:val="both"/>
        <w:rPr>
          <w:rFonts w:eastAsia="Times New Roman"/>
          <w:lang w:val="en-GB"/>
        </w:rPr>
      </w:pPr>
      <w:r w:rsidRPr="00610621">
        <w:rPr>
          <w:rFonts w:eastAsia="Times New Roman"/>
          <w:lang w:val="en-GB"/>
        </w:rPr>
        <w:t xml:space="preserve">The term </w:t>
      </w:r>
      <w:r w:rsidRPr="00610621">
        <w:rPr>
          <w:rFonts w:eastAsia="Times New Roman"/>
          <w:bCs/>
          <w:i/>
          <w:lang w:val="en-GB"/>
        </w:rPr>
        <w:t>“Impulse Control Disorder”</w:t>
      </w:r>
      <w:r w:rsidRPr="00610621">
        <w:rPr>
          <w:rFonts w:eastAsia="Times New Roman"/>
          <w:bCs/>
          <w:lang w:val="en-GB"/>
        </w:rPr>
        <w:t xml:space="preserve"> (ICD) can be defined as a set of psychiatric disorders associated with the inability to suppress harmful impulses or urges, resulting in repetitive behaviours that are contrary to social conventions or bring about an unpleasant experience. Being a part of ICD-11 Chapter 6, intermittent explosive disorder, </w:t>
      </w:r>
      <w:r w:rsidRPr="00610621">
        <w:rPr>
          <w:rFonts w:eastAsia="Times New Roman"/>
          <w:bCs/>
          <w:i/>
          <w:lang w:val="en-GB"/>
        </w:rPr>
        <w:t>kleptomania, pyromania and compulsive sexual behaviour</w:t>
      </w:r>
      <w:r w:rsidRPr="00610621">
        <w:rPr>
          <w:rFonts w:eastAsia="Times New Roman"/>
          <w:bCs/>
          <w:lang w:val="en-GB"/>
        </w:rPr>
        <w:t xml:space="preserve"> disorder are among the items that fall under this</w:t>
      </w:r>
      <w:r w:rsidRPr="00610621">
        <w:rPr>
          <w:rFonts w:eastAsia="Times New Roman"/>
          <w:lang w:val="en-GB"/>
        </w:rPr>
        <w:t xml:space="preserve"> disorder. Impulse Control Disorder is an essential study because of its high psychological, social, and legal impacts, which can be experienced in personal relationships and security in the community. This report will critically analyse the classification, diagnosis, treatment and rehabilitation of Impulse Control Disorder, the current debates in this field and an indication of how to enhance the knowledge and clinical practice.</w:t>
      </w:r>
    </w:p>
    <w:p w14:paraId="74E495AD" w14:textId="77777777" w:rsidR="002830BC" w:rsidRPr="00610621" w:rsidRDefault="00137F87" w:rsidP="00610621">
      <w:pPr>
        <w:pStyle w:val="Heading1"/>
        <w:rPr>
          <w:sz w:val="22"/>
          <w:szCs w:val="22"/>
          <w:lang w:val="en-GB"/>
        </w:rPr>
      </w:pPr>
      <w:bookmarkStart w:id="1" w:name="_Toc212638634"/>
      <w:r w:rsidRPr="00610621">
        <w:rPr>
          <w:sz w:val="22"/>
          <w:szCs w:val="22"/>
          <w:lang w:val="en-GB"/>
        </w:rPr>
        <w:t>Classification and Diagnosis</w:t>
      </w:r>
      <w:bookmarkEnd w:id="1"/>
    </w:p>
    <w:p w14:paraId="004F10FA" w14:textId="77777777" w:rsidR="002830BC" w:rsidRPr="00610621" w:rsidRDefault="00137F87" w:rsidP="00610621">
      <w:pPr>
        <w:pStyle w:val="Heading2"/>
        <w:rPr>
          <w:sz w:val="22"/>
          <w:szCs w:val="22"/>
          <w:lang w:val="en-GB"/>
        </w:rPr>
      </w:pPr>
      <w:bookmarkStart w:id="2" w:name="_Toc212638635"/>
      <w:r w:rsidRPr="00610621">
        <w:rPr>
          <w:sz w:val="22"/>
          <w:szCs w:val="22"/>
          <w:lang w:val="en-GB"/>
        </w:rPr>
        <w:t>ICD-11 classification</w:t>
      </w:r>
      <w:bookmarkEnd w:id="2"/>
    </w:p>
    <w:p w14:paraId="744AF57F" w14:textId="77777777" w:rsidR="002830BC" w:rsidRPr="00610621" w:rsidRDefault="00E03CB1" w:rsidP="00610621">
      <w:pPr>
        <w:spacing w:line="360" w:lineRule="auto"/>
        <w:jc w:val="both"/>
        <w:rPr>
          <w:rFonts w:eastAsia="Times New Roman"/>
          <w:lang w:val="en-GB"/>
        </w:rPr>
      </w:pPr>
      <w:r w:rsidRPr="00610621">
        <w:rPr>
          <w:rFonts w:eastAsia="Times New Roman"/>
          <w:highlight w:val="white"/>
          <w:lang w:val="en-GB"/>
        </w:rPr>
        <w:t xml:space="preserve">In Chapter 6 of ICD-11, </w:t>
      </w:r>
      <w:r w:rsidRPr="00610621">
        <w:rPr>
          <w:rFonts w:eastAsia="Times New Roman"/>
          <w:i/>
          <w:highlight w:val="white"/>
          <w:lang w:val="en-GB"/>
        </w:rPr>
        <w:t>Impulse Control D</w:t>
      </w:r>
      <w:r w:rsidR="00137F87" w:rsidRPr="00610621">
        <w:rPr>
          <w:rFonts w:eastAsia="Times New Roman"/>
          <w:i/>
          <w:highlight w:val="white"/>
          <w:lang w:val="en-GB"/>
        </w:rPr>
        <w:t>isorders</w:t>
      </w:r>
      <w:r w:rsidR="00137F87" w:rsidRPr="00610621">
        <w:rPr>
          <w:rFonts w:eastAsia="Times New Roman"/>
          <w:highlight w:val="white"/>
          <w:lang w:val="en-GB"/>
        </w:rPr>
        <w:t xml:space="preserve"> are presented as a discrete category that covers </w:t>
      </w:r>
      <w:r w:rsidR="00137F87" w:rsidRPr="00610621">
        <w:rPr>
          <w:rFonts w:eastAsia="Times New Roman"/>
          <w:i/>
          <w:highlight w:val="white"/>
          <w:lang w:val="en-GB"/>
        </w:rPr>
        <w:t>pyromania</w:t>
      </w:r>
      <w:r w:rsidR="00137F87" w:rsidRPr="00610621">
        <w:rPr>
          <w:rFonts w:eastAsia="Times New Roman"/>
          <w:highlight w:val="white"/>
          <w:lang w:val="en-GB"/>
        </w:rPr>
        <w:t xml:space="preserve"> (6C70), </w:t>
      </w:r>
      <w:r w:rsidR="00137F87" w:rsidRPr="00610621">
        <w:rPr>
          <w:rFonts w:eastAsia="Times New Roman"/>
          <w:i/>
          <w:highlight w:val="white"/>
          <w:lang w:val="en-GB"/>
        </w:rPr>
        <w:t>kleptomania</w:t>
      </w:r>
      <w:r w:rsidR="00137F87" w:rsidRPr="00610621">
        <w:rPr>
          <w:rFonts w:eastAsia="Times New Roman"/>
          <w:highlight w:val="white"/>
          <w:lang w:val="en-GB"/>
        </w:rPr>
        <w:t xml:space="preserve"> (6C71), </w:t>
      </w:r>
      <w:r w:rsidR="00137F87" w:rsidRPr="00610621">
        <w:rPr>
          <w:rFonts w:eastAsia="Times New Roman"/>
          <w:i/>
          <w:highlight w:val="white"/>
          <w:lang w:val="en-GB"/>
        </w:rPr>
        <w:t>compulsive sexual behaviour disorder</w:t>
      </w:r>
      <w:r w:rsidR="00137F87" w:rsidRPr="00610621">
        <w:rPr>
          <w:rFonts w:eastAsia="Times New Roman"/>
          <w:highlight w:val="white"/>
          <w:lang w:val="en-GB"/>
        </w:rPr>
        <w:t xml:space="preserve"> (6C72) and </w:t>
      </w:r>
      <w:r w:rsidR="00137F87" w:rsidRPr="00610621">
        <w:rPr>
          <w:rFonts w:eastAsia="Times New Roman"/>
          <w:i/>
          <w:highlight w:val="white"/>
          <w:lang w:val="en-GB"/>
        </w:rPr>
        <w:t>intermittent explosive disorder</w:t>
      </w:r>
      <w:r w:rsidR="00137F87" w:rsidRPr="00610621">
        <w:rPr>
          <w:rFonts w:eastAsia="Times New Roman"/>
          <w:highlight w:val="white"/>
          <w:lang w:val="en-GB"/>
        </w:rPr>
        <w:t xml:space="preserve"> (6C73), and other specified/unspecified codes are applicable when the presentations are unusual. Such a taxonomy focuses on specific diagnostic boundaries and places symptoms of the failure to resist destructive impulses in the framework of the mental, behavioural or neurodevelopmental disorders (</w:t>
      </w:r>
      <w:r w:rsidR="00137F87" w:rsidRPr="00610621">
        <w:rPr>
          <w:rFonts w:eastAsia="Times New Roman"/>
          <w:color w:val="222222"/>
          <w:highlight w:val="white"/>
          <w:lang w:val="en-GB"/>
        </w:rPr>
        <w:t>Benson and Oakland, 2021</w:t>
      </w:r>
      <w:r w:rsidR="00137F87" w:rsidRPr="00610621">
        <w:rPr>
          <w:rFonts w:eastAsia="Times New Roman"/>
          <w:highlight w:val="white"/>
          <w:lang w:val="en-GB"/>
        </w:rPr>
        <w:t>).</w:t>
      </w:r>
    </w:p>
    <w:p w14:paraId="7AB90F8E" w14:textId="77777777" w:rsidR="002830BC" w:rsidRPr="00610621" w:rsidRDefault="00137F87" w:rsidP="00610621">
      <w:pPr>
        <w:pStyle w:val="Heading2"/>
        <w:rPr>
          <w:sz w:val="22"/>
          <w:szCs w:val="22"/>
          <w:lang w:val="en-GB"/>
        </w:rPr>
      </w:pPr>
      <w:bookmarkStart w:id="3" w:name="_Toc212638636"/>
      <w:r w:rsidRPr="00610621">
        <w:rPr>
          <w:sz w:val="22"/>
          <w:szCs w:val="22"/>
          <w:lang w:val="en-GB"/>
        </w:rPr>
        <w:t>Diagnostic criteria and processes</w:t>
      </w:r>
      <w:bookmarkEnd w:id="3"/>
    </w:p>
    <w:p w14:paraId="2896C3EE" w14:textId="77777777" w:rsidR="002830BC" w:rsidRPr="00610621" w:rsidRDefault="00137F87" w:rsidP="00610621">
      <w:pPr>
        <w:spacing w:line="360" w:lineRule="auto"/>
        <w:jc w:val="both"/>
        <w:rPr>
          <w:rFonts w:eastAsia="Times New Roman"/>
          <w:highlight w:val="white"/>
          <w:lang w:val="en-GB"/>
        </w:rPr>
      </w:pPr>
      <w:r w:rsidRPr="00610621">
        <w:rPr>
          <w:rFonts w:eastAsia="Times New Roman"/>
          <w:highlight w:val="white"/>
          <w:lang w:val="en-GB"/>
        </w:rPr>
        <w:t>ICD-11 diagnostic criteria are recurrent, clinically significant impulsive behaviours that cannot be better accounted for by some other mental condition, drug use, or medical condition; clinicians need to assess frequency and severity, harm to self/others and exclusionary reasons. Comorbidity (</w:t>
      </w:r>
      <w:r w:rsidRPr="00610621">
        <w:rPr>
          <w:rFonts w:eastAsia="Times New Roman"/>
          <w:i/>
          <w:highlight w:val="white"/>
          <w:lang w:val="en-GB"/>
        </w:rPr>
        <w:t>mood disorders, substance use, personality disorders</w:t>
      </w:r>
      <w:r w:rsidRPr="00610621">
        <w:rPr>
          <w:rFonts w:eastAsia="Times New Roman"/>
          <w:highlight w:val="white"/>
          <w:lang w:val="en-GB"/>
        </w:rPr>
        <w:t>) is frequent and makes it difficult to formulate cases, as well as to differentiate between them (</w:t>
      </w:r>
      <w:r w:rsidRPr="00610621">
        <w:rPr>
          <w:rFonts w:eastAsia="Times New Roman"/>
          <w:color w:val="222222"/>
          <w:highlight w:val="white"/>
          <w:lang w:val="en-GB"/>
        </w:rPr>
        <w:t xml:space="preserve">Strobl </w:t>
      </w:r>
      <w:r w:rsidRPr="00610621">
        <w:rPr>
          <w:rFonts w:eastAsia="Times New Roman"/>
          <w:i/>
          <w:color w:val="222222"/>
          <w:highlight w:val="white"/>
          <w:lang w:val="en-GB"/>
        </w:rPr>
        <w:t>et al</w:t>
      </w:r>
      <w:r w:rsidRPr="00610621">
        <w:rPr>
          <w:rFonts w:eastAsia="Times New Roman"/>
          <w:color w:val="222222"/>
          <w:highlight w:val="white"/>
          <w:lang w:val="en-GB"/>
        </w:rPr>
        <w:t>., 2019</w:t>
      </w:r>
      <w:r w:rsidRPr="00610621">
        <w:rPr>
          <w:rFonts w:eastAsia="Times New Roman"/>
          <w:highlight w:val="white"/>
          <w:lang w:val="en-GB"/>
        </w:rPr>
        <w:t>). The ICD texts have descriptive thresholds as opposed to algorithmic scoring, with clinical judgement at the centre of the assessment.</w:t>
      </w:r>
    </w:p>
    <w:p w14:paraId="3AE7595A" w14:textId="77777777" w:rsidR="002830BC" w:rsidRPr="00610621" w:rsidRDefault="00137F87" w:rsidP="00610621">
      <w:pPr>
        <w:spacing w:line="360" w:lineRule="auto"/>
        <w:jc w:val="both"/>
        <w:rPr>
          <w:rFonts w:eastAsia="Times New Roman"/>
          <w:highlight w:val="white"/>
          <w:lang w:val="en-GB"/>
        </w:rPr>
      </w:pPr>
      <w:r w:rsidRPr="00610621">
        <w:rPr>
          <w:rFonts w:eastAsia="Times New Roman"/>
          <w:noProof/>
          <w:highlight w:val="white"/>
          <w:lang w:val="en-IN"/>
        </w:rPr>
        <w:lastRenderedPageBreak/>
        <w:drawing>
          <wp:inline distT="114300" distB="114300" distL="114300" distR="114300" wp14:anchorId="605DCFF3" wp14:editId="09FF9863">
            <wp:extent cx="5907405" cy="322306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5920266" cy="3230077"/>
                    </a:xfrm>
                    <a:prstGeom prst="rect">
                      <a:avLst/>
                    </a:prstGeom>
                  </pic:spPr>
                </pic:pic>
              </a:graphicData>
            </a:graphic>
          </wp:inline>
        </w:drawing>
      </w:r>
    </w:p>
    <w:p w14:paraId="502F542C" w14:textId="13CD375A" w:rsidR="002830BC" w:rsidRPr="00610621" w:rsidRDefault="00137F87" w:rsidP="00610621">
      <w:pPr>
        <w:spacing w:line="360" w:lineRule="auto"/>
        <w:jc w:val="center"/>
        <w:rPr>
          <w:rFonts w:eastAsia="Times New Roman"/>
          <w:b/>
          <w:highlight w:val="white"/>
          <w:lang w:val="en-GB"/>
        </w:rPr>
      </w:pPr>
      <w:r w:rsidRPr="00610621">
        <w:rPr>
          <w:rFonts w:eastAsia="Times New Roman"/>
          <w:b/>
          <w:highlight w:val="white"/>
          <w:lang w:val="en-GB"/>
        </w:rPr>
        <w:t>Figure</w:t>
      </w:r>
      <w:r w:rsidR="004B0868" w:rsidRPr="00610621">
        <w:rPr>
          <w:rFonts w:eastAsia="Times New Roman"/>
          <w:b/>
          <w:highlight w:val="white"/>
          <w:lang w:val="en-GB"/>
        </w:rPr>
        <w:t xml:space="preserve"> 1: </w:t>
      </w:r>
      <w:r w:rsidRPr="00610621">
        <w:rPr>
          <w:rFonts w:eastAsia="Times New Roman"/>
          <w:b/>
          <w:highlight w:val="white"/>
          <w:lang w:val="en-GB"/>
        </w:rPr>
        <w:t>Impulse Control Disorders</w:t>
      </w:r>
      <w:r w:rsidR="004B0868" w:rsidRPr="00610621">
        <w:rPr>
          <w:rFonts w:eastAsia="Times New Roman"/>
          <w:b/>
          <w:highlight w:val="white"/>
          <w:lang w:val="en-GB"/>
        </w:rPr>
        <w:t xml:space="preserve"> (S</w:t>
      </w:r>
      <w:r w:rsidR="0065640B" w:rsidRPr="00610621">
        <w:rPr>
          <w:rFonts w:eastAsia="Times New Roman"/>
          <w:b/>
          <w:highlight w:val="white"/>
          <w:lang w:val="en-GB"/>
        </w:rPr>
        <w:t>ource: Emoneeds</w:t>
      </w:r>
      <w:r w:rsidR="00787A5B" w:rsidRPr="00610621">
        <w:rPr>
          <w:rFonts w:eastAsia="Times New Roman"/>
          <w:b/>
          <w:highlight w:val="white"/>
          <w:lang w:val="en-GB"/>
        </w:rPr>
        <w:t xml:space="preserve">. </w:t>
      </w:r>
      <w:r w:rsidR="0065640B" w:rsidRPr="00610621">
        <w:rPr>
          <w:rFonts w:eastAsia="Times New Roman"/>
          <w:b/>
          <w:highlight w:val="white"/>
          <w:lang w:val="en-GB"/>
        </w:rPr>
        <w:t>2024).</w:t>
      </w:r>
    </w:p>
    <w:p w14:paraId="42BD06D5" w14:textId="77777777" w:rsidR="002830BC" w:rsidRPr="00610621" w:rsidRDefault="00137F87" w:rsidP="00610621">
      <w:pPr>
        <w:pStyle w:val="Heading2"/>
        <w:rPr>
          <w:sz w:val="22"/>
          <w:szCs w:val="22"/>
          <w:lang w:val="en-GB"/>
        </w:rPr>
      </w:pPr>
      <w:bookmarkStart w:id="4" w:name="_Toc212638637"/>
      <w:r w:rsidRPr="00610621">
        <w:rPr>
          <w:sz w:val="22"/>
          <w:szCs w:val="22"/>
          <w:lang w:val="en-GB"/>
        </w:rPr>
        <w:t>UK application and policy context</w:t>
      </w:r>
      <w:bookmarkEnd w:id="4"/>
    </w:p>
    <w:p w14:paraId="68BBF3F7" w14:textId="77777777"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The clinicians in the UK practice with the help of the ICD-11 concepts with the local care guidance, but no national scheme has been provided by the NICE on all impulse control disorders, and instead, they have issued condition-specific guidance on the related areas such as evidence summaries on hypersexuality and pharmacotherapy without providing the similar guidance on all disorders in the group of impulse control. Tertiary assessment and multidisciplinary management, Specialist NHS clinics, such as regional impulsive/compulsive disorder services, are provided where available (</w:t>
      </w:r>
      <w:r w:rsidRPr="00610621">
        <w:rPr>
          <w:rFonts w:eastAsia="Times New Roman"/>
          <w:color w:val="222222"/>
          <w:highlight w:val="white"/>
          <w:lang w:val="en-GB"/>
        </w:rPr>
        <w:t xml:space="preserve">McKay </w:t>
      </w:r>
      <w:r w:rsidRPr="00610621">
        <w:rPr>
          <w:rFonts w:eastAsia="Times New Roman"/>
          <w:i/>
          <w:color w:val="222222"/>
          <w:highlight w:val="white"/>
          <w:lang w:val="en-GB"/>
        </w:rPr>
        <w:t>et al</w:t>
      </w:r>
      <w:r w:rsidRPr="00610621">
        <w:rPr>
          <w:rFonts w:eastAsia="Times New Roman"/>
          <w:color w:val="222222"/>
          <w:highlight w:val="white"/>
          <w:lang w:val="en-GB"/>
        </w:rPr>
        <w:t>., 2021</w:t>
      </w:r>
      <w:r w:rsidRPr="00610621">
        <w:rPr>
          <w:rFonts w:eastAsia="Times New Roman"/>
          <w:highlight w:val="white"/>
          <w:lang w:val="en-GB"/>
        </w:rPr>
        <w:t>). Wait times and service capacity are still a gateway to prompt diagnosis and access to treatment despite an increase in NHS Talking Therapies access metrics of 91% seen within 6 weeks of those recorded, which generates geographic and pathway variation.</w:t>
      </w:r>
    </w:p>
    <w:p w14:paraId="0D8B3BBA" w14:textId="77777777" w:rsidR="002830BC" w:rsidRPr="00610621" w:rsidRDefault="00137F87" w:rsidP="00610621">
      <w:pPr>
        <w:pStyle w:val="Heading2"/>
        <w:rPr>
          <w:sz w:val="22"/>
          <w:szCs w:val="22"/>
          <w:lang w:val="en-GB"/>
        </w:rPr>
      </w:pPr>
      <w:bookmarkStart w:id="5" w:name="_Toc212638638"/>
      <w:r w:rsidRPr="00610621">
        <w:rPr>
          <w:sz w:val="22"/>
          <w:szCs w:val="22"/>
          <w:lang w:val="en-GB"/>
        </w:rPr>
        <w:t>Language and diagnostic challenges</w:t>
      </w:r>
      <w:bookmarkEnd w:id="5"/>
    </w:p>
    <w:p w14:paraId="317EFEC0" w14:textId="40D60639"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 xml:space="preserve">The use of the term disorder versus less </w:t>
      </w:r>
      <w:r w:rsidR="002A248B" w:rsidRPr="00610621">
        <w:rPr>
          <w:rFonts w:eastAsia="Times New Roman"/>
          <w:highlight w:val="white"/>
          <w:lang w:val="en-GB"/>
        </w:rPr>
        <w:t>pathologizing</w:t>
      </w:r>
      <w:r w:rsidRPr="00610621">
        <w:rPr>
          <w:rFonts w:eastAsia="Times New Roman"/>
          <w:highlight w:val="white"/>
          <w:lang w:val="en-GB"/>
        </w:rPr>
        <w:t xml:space="preserve"> terms, such as condition or problem behaviour, remains the subject of debate regarding the implications of this term for stigma, insurance and legal responses, as the ICD-11 uses the term disorder due to the severity of the clinical outcomes of the conditions.</w:t>
      </w:r>
    </w:p>
    <w:p w14:paraId="6FFFDDB8" w14:textId="77777777" w:rsidR="002830BC" w:rsidRPr="00610621" w:rsidRDefault="00137F87" w:rsidP="00610621">
      <w:pPr>
        <w:pStyle w:val="Heading1"/>
        <w:rPr>
          <w:sz w:val="22"/>
          <w:szCs w:val="22"/>
          <w:lang w:val="en-GB"/>
        </w:rPr>
      </w:pPr>
      <w:bookmarkStart w:id="6" w:name="_Toc212638639"/>
      <w:r w:rsidRPr="00610621">
        <w:rPr>
          <w:sz w:val="22"/>
          <w:szCs w:val="22"/>
          <w:lang w:val="en-GB"/>
        </w:rPr>
        <w:lastRenderedPageBreak/>
        <w:t>Treatment Approaches</w:t>
      </w:r>
      <w:bookmarkEnd w:id="6"/>
    </w:p>
    <w:p w14:paraId="45E9D11B" w14:textId="77777777" w:rsidR="002830BC" w:rsidRPr="00610621" w:rsidRDefault="00137F87" w:rsidP="00610621">
      <w:pPr>
        <w:pStyle w:val="Heading2"/>
        <w:rPr>
          <w:sz w:val="22"/>
          <w:szCs w:val="22"/>
          <w:lang w:val="en-GB"/>
        </w:rPr>
      </w:pPr>
      <w:bookmarkStart w:id="7" w:name="_Toc212638640"/>
      <w:r w:rsidRPr="00610621">
        <w:rPr>
          <w:sz w:val="22"/>
          <w:szCs w:val="22"/>
        </w:rPr>
        <w:t>Pharmacological</w:t>
      </w:r>
      <w:r w:rsidRPr="00610621">
        <w:rPr>
          <w:sz w:val="22"/>
          <w:szCs w:val="22"/>
          <w:lang w:val="en-GB"/>
        </w:rPr>
        <w:t xml:space="preserve"> treatments and evidence</w:t>
      </w:r>
      <w:bookmarkEnd w:id="7"/>
    </w:p>
    <w:p w14:paraId="3607DCFD" w14:textId="77777777"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 xml:space="preserve">There is limited and heterogeneous pharmacotherapy </w:t>
      </w:r>
      <w:r w:rsidRPr="00610621">
        <w:rPr>
          <w:rFonts w:eastAsia="Times New Roman"/>
          <w:i/>
          <w:highlight w:val="white"/>
          <w:lang w:val="en-GB"/>
        </w:rPr>
        <w:t>for Impulse Control Disorders</w:t>
      </w:r>
      <w:r w:rsidRPr="00610621">
        <w:rPr>
          <w:rFonts w:eastAsia="Times New Roman"/>
          <w:highlight w:val="white"/>
          <w:lang w:val="en-GB"/>
        </w:rPr>
        <w:t xml:space="preserve"> (ICDs), with opioid antagonists (</w:t>
      </w:r>
      <w:r w:rsidRPr="00610621">
        <w:rPr>
          <w:rFonts w:eastAsia="Times New Roman"/>
          <w:i/>
          <w:highlight w:val="white"/>
          <w:lang w:val="en-GB"/>
        </w:rPr>
        <w:t>especially naltrexone</w:t>
      </w:r>
      <w:r w:rsidRPr="00610621">
        <w:rPr>
          <w:rFonts w:eastAsia="Times New Roman"/>
          <w:highlight w:val="white"/>
          <w:lang w:val="en-GB"/>
        </w:rPr>
        <w:t xml:space="preserve">) showing the best signal in kleptomania and some evidence in </w:t>
      </w:r>
      <w:r w:rsidRPr="00610621">
        <w:rPr>
          <w:rFonts w:eastAsia="Times New Roman"/>
          <w:i/>
          <w:highlight w:val="white"/>
          <w:lang w:val="en-GB"/>
        </w:rPr>
        <w:t>Compulsive Sexual Behaviour</w:t>
      </w:r>
      <w:r w:rsidRPr="00610621">
        <w:rPr>
          <w:rFonts w:eastAsia="Times New Roman"/>
          <w:highlight w:val="white"/>
          <w:lang w:val="en-GB"/>
        </w:rPr>
        <w:t xml:space="preserve">. </w:t>
      </w:r>
      <w:r w:rsidRPr="00610621">
        <w:rPr>
          <w:rFonts w:eastAsia="Times New Roman"/>
          <w:i/>
          <w:highlight w:val="white"/>
          <w:lang w:val="en-GB"/>
        </w:rPr>
        <w:t>Selective Serotonin Reuptake Inhibitors</w:t>
      </w:r>
      <w:r w:rsidRPr="00610621">
        <w:rPr>
          <w:rFonts w:eastAsia="Times New Roman"/>
          <w:highlight w:val="white"/>
          <w:lang w:val="en-GB"/>
        </w:rPr>
        <w:t xml:space="preserve"> (SSRIs) and mood stabilisers, empirically used in cases of refractoriness (Yuvaraj </w:t>
      </w:r>
      <w:r w:rsidRPr="00610621">
        <w:rPr>
          <w:rFonts w:eastAsia="Times New Roman"/>
          <w:i/>
          <w:highlight w:val="white"/>
          <w:lang w:val="en-GB"/>
        </w:rPr>
        <w:t>et al</w:t>
      </w:r>
      <w:r w:rsidRPr="00610621">
        <w:rPr>
          <w:rFonts w:eastAsia="Times New Roman"/>
          <w:highlight w:val="white"/>
          <w:lang w:val="en-GB"/>
        </w:rPr>
        <w:t>., 2021). The results of systematic reviews are characterised by small trials, uneven outcome measures, and low overall evidence quality, and therefore, many prescriptions are not even licensed but based on clusters of symptoms. Where there are iatrogenic causes, e.g. ICDs related to dopamine agonists in Parkinson's, clinical caution is needed.</w:t>
      </w:r>
    </w:p>
    <w:p w14:paraId="66B5AA21" w14:textId="77777777" w:rsidR="002830BC" w:rsidRPr="00610621" w:rsidRDefault="00137F87" w:rsidP="00610621">
      <w:pPr>
        <w:pStyle w:val="Heading2"/>
        <w:rPr>
          <w:sz w:val="22"/>
          <w:szCs w:val="22"/>
          <w:lang w:val="en-GB"/>
        </w:rPr>
      </w:pPr>
      <w:bookmarkStart w:id="8" w:name="_Toc212638641"/>
      <w:r w:rsidRPr="00610621">
        <w:rPr>
          <w:sz w:val="22"/>
          <w:szCs w:val="22"/>
          <w:lang w:val="en-GB"/>
        </w:rPr>
        <w:t>Psychological and psychosocial approaches</w:t>
      </w:r>
      <w:bookmarkEnd w:id="8"/>
    </w:p>
    <w:p w14:paraId="624C941F" w14:textId="77777777"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 xml:space="preserve">ICD is primarily treated with </w:t>
      </w:r>
      <w:r w:rsidRPr="00610621">
        <w:rPr>
          <w:rFonts w:eastAsia="Times New Roman"/>
          <w:i/>
          <w:highlight w:val="white"/>
          <w:lang w:val="en-GB"/>
        </w:rPr>
        <w:t>Cognitive Behavioural Therapy</w:t>
      </w:r>
      <w:r w:rsidRPr="00610621">
        <w:rPr>
          <w:rFonts w:eastAsia="Times New Roman"/>
          <w:highlight w:val="white"/>
          <w:lang w:val="en-GB"/>
        </w:rPr>
        <w:t xml:space="preserve"> (CBT), with impulse-control modules, relapse-prevention, motivational interviewing and to a smaller extent, with a wide range of medications. High-quality studies are still in short supply, though. In the case of </w:t>
      </w:r>
      <w:r w:rsidRPr="00610621">
        <w:rPr>
          <w:rFonts w:eastAsia="Times New Roman"/>
          <w:i/>
          <w:highlight w:val="white"/>
          <w:lang w:val="en-GB"/>
        </w:rPr>
        <w:t>Intermittent Explosive Disorder</w:t>
      </w:r>
      <w:r w:rsidRPr="00610621">
        <w:rPr>
          <w:rFonts w:eastAsia="Times New Roman"/>
          <w:highlight w:val="white"/>
          <w:lang w:val="en-GB"/>
        </w:rPr>
        <w:t xml:space="preserve"> (IED) and other issues, CBT and adjunctive pharmacotherapy are helpful in the reduction of aggressive outbursts. However, the effect sizes differ as well, and the long-term follow-ups are inadequate (</w:t>
      </w:r>
      <w:r w:rsidRPr="00610621">
        <w:rPr>
          <w:rFonts w:eastAsia="Times New Roman"/>
          <w:color w:val="222222"/>
          <w:highlight w:val="white"/>
          <w:lang w:val="en-GB"/>
        </w:rPr>
        <w:t xml:space="preserve">Eaton </w:t>
      </w:r>
      <w:r w:rsidRPr="00610621">
        <w:rPr>
          <w:rFonts w:eastAsia="Times New Roman"/>
          <w:i/>
          <w:color w:val="222222"/>
          <w:highlight w:val="white"/>
          <w:lang w:val="en-GB"/>
        </w:rPr>
        <w:t>et al</w:t>
      </w:r>
      <w:r w:rsidRPr="00610621">
        <w:rPr>
          <w:rFonts w:eastAsia="Times New Roman"/>
          <w:color w:val="222222"/>
          <w:highlight w:val="white"/>
          <w:lang w:val="en-GB"/>
        </w:rPr>
        <w:t>., 2023</w:t>
      </w:r>
      <w:r w:rsidRPr="00610621">
        <w:rPr>
          <w:rFonts w:eastAsia="Times New Roman"/>
          <w:highlight w:val="white"/>
          <w:lang w:val="en-GB"/>
        </w:rPr>
        <w:t>).</w:t>
      </w:r>
    </w:p>
    <w:p w14:paraId="2EDB44D3" w14:textId="77777777" w:rsidR="002830BC" w:rsidRPr="00610621" w:rsidRDefault="00137F87" w:rsidP="00610621">
      <w:pPr>
        <w:pStyle w:val="Heading2"/>
        <w:rPr>
          <w:sz w:val="22"/>
          <w:szCs w:val="22"/>
          <w:lang w:val="en-GB"/>
        </w:rPr>
      </w:pPr>
      <w:bookmarkStart w:id="9" w:name="_Toc212638642"/>
      <w:r w:rsidRPr="00610621">
        <w:rPr>
          <w:sz w:val="22"/>
          <w:szCs w:val="22"/>
          <w:lang w:val="en-GB"/>
        </w:rPr>
        <w:t xml:space="preserve">UK service delivery, access and </w:t>
      </w:r>
      <w:r w:rsidRPr="00610621">
        <w:rPr>
          <w:sz w:val="22"/>
          <w:szCs w:val="22"/>
        </w:rPr>
        <w:t>prescribing</w:t>
      </w:r>
      <w:r w:rsidRPr="00610621">
        <w:rPr>
          <w:sz w:val="22"/>
          <w:szCs w:val="22"/>
          <w:lang w:val="en-GB"/>
        </w:rPr>
        <w:t xml:space="preserve"> policy</w:t>
      </w:r>
      <w:bookmarkEnd w:id="9"/>
    </w:p>
    <w:p w14:paraId="2CEC2B25" w14:textId="77777777"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 xml:space="preserve">In England, common presentations are first diverted to psychological care via </w:t>
      </w:r>
      <w:r w:rsidRPr="00610621">
        <w:rPr>
          <w:rFonts w:eastAsia="Times New Roman"/>
          <w:i/>
          <w:highlight w:val="white"/>
          <w:lang w:val="en-GB"/>
        </w:rPr>
        <w:t>NHS Talking Therapies</w:t>
      </w:r>
      <w:r w:rsidRPr="00610621">
        <w:rPr>
          <w:rFonts w:eastAsia="Times New Roman"/>
          <w:highlight w:val="white"/>
          <w:lang w:val="en-GB"/>
        </w:rPr>
        <w:t xml:space="preserve"> (IAPT) or specialist tertiary clinics. IAPT statistics show that approximately 91% of referrals are seen within six weeks. In contrast, analysis of waiting times in mental-health-specific care units demonstrates long waiting times on many of these pathways and disparities in service access across geographical areas (</w:t>
      </w:r>
      <w:r w:rsidRPr="00610621">
        <w:rPr>
          <w:rFonts w:eastAsia="Times New Roman"/>
          <w:color w:val="222222"/>
          <w:highlight w:val="white"/>
          <w:lang w:val="en-GB"/>
        </w:rPr>
        <w:t xml:space="preserve">Khoury </w:t>
      </w:r>
      <w:r w:rsidRPr="00610621">
        <w:rPr>
          <w:rFonts w:eastAsia="Times New Roman"/>
          <w:i/>
          <w:color w:val="222222"/>
          <w:highlight w:val="white"/>
          <w:lang w:val="en-GB"/>
        </w:rPr>
        <w:t>et al</w:t>
      </w:r>
      <w:r w:rsidRPr="00610621">
        <w:rPr>
          <w:rFonts w:eastAsia="Times New Roman"/>
          <w:color w:val="222222"/>
          <w:highlight w:val="white"/>
          <w:lang w:val="en-GB"/>
        </w:rPr>
        <w:t>., 2022</w:t>
      </w:r>
      <w:r w:rsidRPr="00610621">
        <w:rPr>
          <w:rFonts w:eastAsia="Times New Roman"/>
          <w:highlight w:val="white"/>
          <w:lang w:val="en-GB"/>
        </w:rPr>
        <w:t>). The prescribing practice of the NHS is based on local formularies and NICE evidence summaries. As with much pharmacological use, it is off-label, e.g., fluoxetine in hyper-sexuality, the use of local policy and shared decision-making governs it. These institutional aspects limit the fair access and equal treatment channels.</w:t>
      </w:r>
    </w:p>
    <w:p w14:paraId="7B3FF1C5" w14:textId="77777777" w:rsidR="002830BC" w:rsidRPr="00610621" w:rsidRDefault="00137F87" w:rsidP="00610621">
      <w:pPr>
        <w:pStyle w:val="Heading2"/>
        <w:rPr>
          <w:sz w:val="22"/>
          <w:szCs w:val="22"/>
          <w:lang w:val="en-GB"/>
        </w:rPr>
      </w:pPr>
      <w:bookmarkStart w:id="10" w:name="_Toc212638643"/>
      <w:r w:rsidRPr="00610621">
        <w:rPr>
          <w:sz w:val="22"/>
          <w:szCs w:val="22"/>
          <w:lang w:val="en-GB"/>
        </w:rPr>
        <w:lastRenderedPageBreak/>
        <w:t>Limitations and alternatives</w:t>
      </w:r>
      <w:bookmarkEnd w:id="10"/>
    </w:p>
    <w:p w14:paraId="5F2B0FC5" w14:textId="77777777" w:rsidR="002830BC" w:rsidRPr="00610621" w:rsidRDefault="00137F87" w:rsidP="00610621">
      <w:pPr>
        <w:spacing w:line="360" w:lineRule="auto"/>
        <w:jc w:val="both"/>
        <w:rPr>
          <w:rFonts w:eastAsia="Times New Roman"/>
          <w:highlight w:val="white"/>
          <w:lang w:val="en-GB"/>
        </w:rPr>
      </w:pPr>
      <w:r w:rsidRPr="00610621">
        <w:rPr>
          <w:rFonts w:eastAsia="Times New Roman"/>
          <w:highlight w:val="white"/>
          <w:lang w:val="en-GB"/>
        </w:rPr>
        <w:t>A weak evidence base, patchy service provision, and stigma as a barrier to help-seeking are some of the limitations. New options such as digital CBT, group interventions and neuro</w:t>
      </w:r>
      <w:r w:rsidR="005F572A" w:rsidRPr="00610621">
        <w:rPr>
          <w:rFonts w:eastAsia="Times New Roman"/>
          <w:highlight w:val="white"/>
          <w:lang w:val="en-GB"/>
        </w:rPr>
        <w:t>-</w:t>
      </w:r>
      <w:r w:rsidRPr="00610621">
        <w:rPr>
          <w:rFonts w:eastAsia="Times New Roman"/>
          <w:highlight w:val="white"/>
          <w:lang w:val="en-GB"/>
        </w:rPr>
        <w:t>modulation studies have potential but need longer pragmatic studies before routine use.</w:t>
      </w:r>
    </w:p>
    <w:p w14:paraId="1208E67D" w14:textId="77777777" w:rsidR="002830BC" w:rsidRPr="00610621" w:rsidRDefault="00137F87" w:rsidP="00610621">
      <w:pPr>
        <w:pStyle w:val="Heading1"/>
        <w:rPr>
          <w:sz w:val="22"/>
          <w:szCs w:val="22"/>
          <w:lang w:val="en-GB"/>
        </w:rPr>
      </w:pPr>
      <w:bookmarkStart w:id="11" w:name="_Toc212638644"/>
      <w:r w:rsidRPr="00610621">
        <w:rPr>
          <w:sz w:val="22"/>
          <w:szCs w:val="22"/>
          <w:lang w:val="en-GB"/>
        </w:rPr>
        <w:t>Rehabilitation &amp; Long-Term Management</w:t>
      </w:r>
      <w:bookmarkEnd w:id="11"/>
    </w:p>
    <w:p w14:paraId="7A7F0ECA" w14:textId="77777777" w:rsidR="002830BC" w:rsidRPr="00610621" w:rsidRDefault="00137F87" w:rsidP="00610621">
      <w:pPr>
        <w:pStyle w:val="Heading2"/>
        <w:rPr>
          <w:sz w:val="22"/>
          <w:szCs w:val="22"/>
          <w:lang w:val="en-GB"/>
        </w:rPr>
      </w:pPr>
      <w:bookmarkStart w:id="12" w:name="_Toc212638645"/>
      <w:r w:rsidRPr="00610621">
        <w:rPr>
          <w:sz w:val="22"/>
          <w:szCs w:val="22"/>
          <w:lang w:val="en-GB"/>
        </w:rPr>
        <w:t>Rehabilitation Strategies in ICD-11</w:t>
      </w:r>
      <w:bookmarkEnd w:id="12"/>
    </w:p>
    <w:p w14:paraId="7767633A" w14:textId="74E14D56" w:rsidR="002830BC" w:rsidRPr="00610621" w:rsidRDefault="00137F87" w:rsidP="00610621">
      <w:pPr>
        <w:spacing w:line="360" w:lineRule="auto"/>
        <w:jc w:val="both"/>
        <w:rPr>
          <w:rFonts w:eastAsia="Times New Roman"/>
          <w:highlight w:val="white"/>
          <w:lang w:val="en-GB"/>
        </w:rPr>
      </w:pPr>
      <w:r w:rsidRPr="00610621">
        <w:rPr>
          <w:rFonts w:eastAsia="Times New Roman"/>
          <w:highlight w:val="white"/>
          <w:lang w:val="en-GB"/>
        </w:rPr>
        <w:t>ICD-11 will place impulse control disorder rehabilitation in the context of expansive recovery-focused, community-based care with an emphasis on restoration of functionality, prevention of relapse, and integration into society as opposed to custodial care. Clinical descriptions suggest multidisciplinary strategies that involve the use of psychotherapeutic relapse-prevention, management using medications as required, and social support to resume normal functioning (</w:t>
      </w:r>
      <w:r w:rsidRPr="00610621">
        <w:rPr>
          <w:rFonts w:eastAsia="Times New Roman"/>
          <w:color w:val="222222"/>
          <w:highlight w:val="white"/>
          <w:lang w:val="en-GB"/>
        </w:rPr>
        <w:t xml:space="preserve">Fuss </w:t>
      </w:r>
      <w:r w:rsidRPr="00610621">
        <w:rPr>
          <w:rFonts w:eastAsia="Times New Roman"/>
          <w:i/>
          <w:color w:val="222222"/>
          <w:highlight w:val="white"/>
          <w:lang w:val="en-GB"/>
        </w:rPr>
        <w:t>et al</w:t>
      </w:r>
      <w:r w:rsidRPr="00610621">
        <w:rPr>
          <w:rFonts w:eastAsia="Times New Roman"/>
          <w:color w:val="222222"/>
          <w:highlight w:val="white"/>
          <w:lang w:val="en-GB"/>
        </w:rPr>
        <w:t>., 2024</w:t>
      </w:r>
      <w:r w:rsidRPr="00610621">
        <w:rPr>
          <w:rFonts w:eastAsia="Times New Roman"/>
          <w:highlight w:val="white"/>
          <w:lang w:val="en-GB"/>
        </w:rPr>
        <w:t xml:space="preserve">). The NHS </w:t>
      </w:r>
      <w:r w:rsidRPr="00610621">
        <w:rPr>
          <w:rFonts w:eastAsia="Times New Roman"/>
          <w:i/>
          <w:highlight w:val="white"/>
          <w:lang w:val="en-GB"/>
        </w:rPr>
        <w:t>Long Term Plan and later Mental Health Implementation</w:t>
      </w:r>
      <w:r w:rsidRPr="00610621">
        <w:rPr>
          <w:rFonts w:eastAsia="Times New Roman"/>
          <w:highlight w:val="white"/>
          <w:lang w:val="en-GB"/>
        </w:rPr>
        <w:t xml:space="preserve"> guidance in England </w:t>
      </w:r>
      <w:r w:rsidR="007B6C3D" w:rsidRPr="00610621">
        <w:rPr>
          <w:rFonts w:eastAsia="Times New Roman"/>
          <w:highlight w:val="white"/>
          <w:lang w:val="en-GB"/>
        </w:rPr>
        <w:t>requires</w:t>
      </w:r>
      <w:r w:rsidRPr="00610621">
        <w:rPr>
          <w:rFonts w:eastAsia="Times New Roman"/>
          <w:highlight w:val="white"/>
          <w:lang w:val="en-GB"/>
        </w:rPr>
        <w:t xml:space="preserve"> community mental health to be expanded to offer promising access to integrated psychological therapies, medication optimisation and employment assistance to at least 3,70,000 adults per annum by 2023/24, which will provide the foundation in long-term management of complex behavioural conditions, including severe impulsivity. The recent </w:t>
      </w:r>
      <w:r w:rsidRPr="00610621">
        <w:rPr>
          <w:rFonts w:eastAsia="Times New Roman"/>
          <w:i/>
          <w:highlight w:val="white"/>
          <w:lang w:val="en-GB"/>
        </w:rPr>
        <w:t>Commissioner's Guidance</w:t>
      </w:r>
      <w:r w:rsidRPr="00610621">
        <w:rPr>
          <w:rFonts w:eastAsia="Times New Roman"/>
          <w:highlight w:val="white"/>
          <w:lang w:val="en-GB"/>
        </w:rPr>
        <w:t xml:space="preserve"> (2025) supports the idea of rehabilitation commissioning of persons with complex needs in the area to live nearby.</w:t>
      </w:r>
    </w:p>
    <w:p w14:paraId="54568E0C" w14:textId="77777777" w:rsidR="002830BC" w:rsidRPr="00610621" w:rsidRDefault="00137F87" w:rsidP="00610621">
      <w:pPr>
        <w:spacing w:line="360" w:lineRule="auto"/>
        <w:jc w:val="both"/>
        <w:rPr>
          <w:rFonts w:eastAsia="Times New Roman"/>
          <w:highlight w:val="white"/>
          <w:lang w:val="en-GB"/>
        </w:rPr>
      </w:pPr>
      <w:r w:rsidRPr="00610621">
        <w:rPr>
          <w:rFonts w:eastAsia="Times New Roman"/>
          <w:noProof/>
          <w:highlight w:val="white"/>
          <w:lang w:val="en-IN"/>
        </w:rPr>
        <w:drawing>
          <wp:inline distT="114300" distB="114300" distL="114300" distR="114300" wp14:anchorId="2D85D227" wp14:editId="01DBE0E3">
            <wp:extent cx="5943600" cy="3124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2"/>
                    <a:stretch>
                      <a:fillRect/>
                    </a:stretch>
                  </pic:blipFill>
                  <pic:spPr>
                    <a:xfrm>
                      <a:off x="0" y="0"/>
                      <a:ext cx="5943600" cy="3124200"/>
                    </a:xfrm>
                    <a:prstGeom prst="rect">
                      <a:avLst/>
                    </a:prstGeom>
                  </pic:spPr>
                </pic:pic>
              </a:graphicData>
            </a:graphic>
          </wp:inline>
        </w:drawing>
      </w:r>
    </w:p>
    <w:p w14:paraId="17944471" w14:textId="5DDFB2E7" w:rsidR="002830BC" w:rsidRPr="00610621" w:rsidRDefault="00137F87" w:rsidP="00610621">
      <w:pPr>
        <w:spacing w:line="360" w:lineRule="auto"/>
        <w:jc w:val="center"/>
        <w:rPr>
          <w:rFonts w:eastAsia="Times New Roman"/>
          <w:b/>
          <w:highlight w:val="white"/>
          <w:lang w:val="en-GB"/>
        </w:rPr>
      </w:pPr>
      <w:r w:rsidRPr="00610621">
        <w:rPr>
          <w:rFonts w:eastAsia="Times New Roman"/>
          <w:b/>
          <w:highlight w:val="white"/>
          <w:lang w:val="en-GB"/>
        </w:rPr>
        <w:lastRenderedPageBreak/>
        <w:t>Figure</w:t>
      </w:r>
      <w:r w:rsidR="00425AD7" w:rsidRPr="00610621">
        <w:rPr>
          <w:rFonts w:eastAsia="Times New Roman"/>
          <w:b/>
          <w:highlight w:val="white"/>
          <w:lang w:val="en-GB"/>
        </w:rPr>
        <w:t xml:space="preserve"> </w:t>
      </w:r>
      <w:r w:rsidR="009472A4" w:rsidRPr="00610621">
        <w:rPr>
          <w:rFonts w:eastAsia="Times New Roman"/>
          <w:b/>
          <w:highlight w:val="white"/>
          <w:lang w:val="en-GB"/>
        </w:rPr>
        <w:t>2</w:t>
      </w:r>
      <w:r w:rsidR="00425AD7" w:rsidRPr="00610621">
        <w:rPr>
          <w:rFonts w:eastAsia="Times New Roman"/>
          <w:b/>
          <w:highlight w:val="white"/>
          <w:lang w:val="en-GB"/>
        </w:rPr>
        <w:t>:</w:t>
      </w:r>
      <w:r w:rsidRPr="00610621">
        <w:rPr>
          <w:rFonts w:eastAsia="Times New Roman"/>
          <w:b/>
          <w:highlight w:val="white"/>
          <w:lang w:val="en-GB"/>
        </w:rPr>
        <w:t xml:space="preserve"> Types and Causes of Impulse Control Disorders</w:t>
      </w:r>
      <w:r w:rsidR="00996AC4" w:rsidRPr="00610621">
        <w:rPr>
          <w:rFonts w:eastAsia="Times New Roman"/>
          <w:b/>
          <w:highlight w:val="white"/>
          <w:lang w:val="en-GB"/>
        </w:rPr>
        <w:t xml:space="preserve"> (Source:</w:t>
      </w:r>
      <w:r w:rsidR="003C44EE" w:rsidRPr="00610621">
        <w:rPr>
          <w:rFonts w:eastAsia="Times New Roman"/>
          <w:b/>
          <w:highlight w:val="white"/>
          <w:lang w:val="en-GB"/>
        </w:rPr>
        <w:t xml:space="preserve"> Microgility. </w:t>
      </w:r>
    </w:p>
    <w:p w14:paraId="0F433837" w14:textId="36EC876E" w:rsidR="0061452B" w:rsidRPr="00610621" w:rsidRDefault="0061452B" w:rsidP="00610621">
      <w:pPr>
        <w:spacing w:line="360" w:lineRule="auto"/>
        <w:jc w:val="center"/>
        <w:rPr>
          <w:rFonts w:eastAsia="Times New Roman"/>
          <w:b/>
          <w:highlight w:val="white"/>
          <w:lang w:val="en-GB"/>
        </w:rPr>
      </w:pPr>
      <w:r w:rsidRPr="00610621">
        <w:rPr>
          <w:rFonts w:eastAsia="Times New Roman"/>
          <w:b/>
          <w:highlight w:val="white"/>
          <w:lang w:val="en-GB"/>
        </w:rPr>
        <w:t>(Source: Microgility</w:t>
      </w:r>
      <w:r w:rsidR="00C04B12" w:rsidRPr="00610621">
        <w:rPr>
          <w:rFonts w:eastAsia="Times New Roman"/>
          <w:b/>
          <w:highlight w:val="white"/>
          <w:lang w:val="en-GB"/>
        </w:rPr>
        <w:t xml:space="preserve">. </w:t>
      </w:r>
      <w:r w:rsidR="00015A65" w:rsidRPr="00610621">
        <w:rPr>
          <w:rFonts w:eastAsia="Times New Roman"/>
          <w:b/>
          <w:highlight w:val="white"/>
          <w:lang w:val="en-GB"/>
        </w:rPr>
        <w:t>2025).</w:t>
      </w:r>
    </w:p>
    <w:p w14:paraId="2E1273FA" w14:textId="1FCD776D" w:rsidR="002830BC" w:rsidRPr="00610621" w:rsidRDefault="002830BC" w:rsidP="00610621">
      <w:pPr>
        <w:spacing w:line="360" w:lineRule="auto"/>
        <w:rPr>
          <w:rFonts w:eastAsia="Times New Roman"/>
          <w:highlight w:val="white"/>
          <w:lang w:val="en-GB"/>
        </w:rPr>
      </w:pPr>
    </w:p>
    <w:p w14:paraId="14F7F7E5" w14:textId="77777777" w:rsidR="002830BC" w:rsidRPr="00610621" w:rsidRDefault="00137F87" w:rsidP="00610621">
      <w:pPr>
        <w:pStyle w:val="Heading2"/>
        <w:rPr>
          <w:sz w:val="22"/>
          <w:szCs w:val="22"/>
          <w:lang w:val="en-GB"/>
        </w:rPr>
      </w:pPr>
      <w:bookmarkStart w:id="13" w:name="_Toc212638646"/>
      <w:r w:rsidRPr="00610621">
        <w:rPr>
          <w:sz w:val="22"/>
          <w:szCs w:val="22"/>
          <w:lang w:val="en-GB"/>
        </w:rPr>
        <w:t>Social reintegration challenges and community-based interventions</w:t>
      </w:r>
      <w:bookmarkEnd w:id="13"/>
    </w:p>
    <w:p w14:paraId="07EDB6E7" w14:textId="77777777"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Rehabilitation aims at assisted housing, vocational programs such as Individual Placement and Support, peer support and organised community programs to lower stigma and redefine roles in society (</w:t>
      </w:r>
      <w:r w:rsidRPr="00610621">
        <w:rPr>
          <w:rFonts w:eastAsia="Times New Roman"/>
          <w:color w:val="222222"/>
          <w:highlight w:val="white"/>
          <w:lang w:val="en-GB"/>
        </w:rPr>
        <w:t>Guay, 2022</w:t>
      </w:r>
      <w:r w:rsidRPr="00610621">
        <w:rPr>
          <w:rFonts w:eastAsia="Times New Roman"/>
          <w:highlight w:val="white"/>
          <w:lang w:val="en-GB"/>
        </w:rPr>
        <w:t>). The obstacles involve geographic discrepancies in specialist services, prolonged waiting time for tertiary assessment and increasing the cost of private therapy that poses a danger of a two-tier system. Critical adjunct information, including contacts with crisis and peer networks to assist recovery and prevent suicide, is offered by charities such as Mind, Rethink Mental Illness, and Samaritans, but could be impacted by sector pressures and reorganisation, e.g. branch consolidation by Samaritans (</w:t>
      </w:r>
      <w:r w:rsidRPr="00610621">
        <w:rPr>
          <w:rFonts w:eastAsia="Times New Roman"/>
          <w:color w:val="222222"/>
          <w:highlight w:val="white"/>
          <w:lang w:val="en-GB"/>
        </w:rPr>
        <w:t xml:space="preserve">Löwe </w:t>
      </w:r>
      <w:r w:rsidRPr="00610621">
        <w:rPr>
          <w:rFonts w:eastAsia="Times New Roman"/>
          <w:i/>
          <w:color w:val="222222"/>
          <w:highlight w:val="white"/>
          <w:lang w:val="en-GB"/>
        </w:rPr>
        <w:t>et al</w:t>
      </w:r>
      <w:r w:rsidRPr="00610621">
        <w:rPr>
          <w:rFonts w:eastAsia="Times New Roman"/>
          <w:color w:val="222222"/>
          <w:highlight w:val="white"/>
          <w:lang w:val="en-GB"/>
        </w:rPr>
        <w:t>., 2022</w:t>
      </w:r>
      <w:r w:rsidRPr="00610621">
        <w:rPr>
          <w:rFonts w:eastAsia="Times New Roman"/>
          <w:highlight w:val="white"/>
          <w:lang w:val="en-GB"/>
        </w:rPr>
        <w:t xml:space="preserve">). Involuntary treatment is still under the protection of the </w:t>
      </w:r>
      <w:r w:rsidRPr="00610621">
        <w:rPr>
          <w:rFonts w:eastAsia="Times New Roman"/>
          <w:i/>
          <w:highlight w:val="white"/>
          <w:lang w:val="en-GB"/>
        </w:rPr>
        <w:t>Mental Health Act 1983</w:t>
      </w:r>
      <w:r w:rsidRPr="00610621">
        <w:rPr>
          <w:rFonts w:eastAsia="Times New Roman"/>
          <w:highlight w:val="white"/>
          <w:lang w:val="en-GB"/>
        </w:rPr>
        <w:t xml:space="preserve"> as amended, which offers legal protection and avenues of appeal to the detained patients; its prerequisites imply that most impulse-control presentations will be handled through voluntary community care unless the risk posed to self or others warrants detention.</w:t>
      </w:r>
    </w:p>
    <w:p w14:paraId="458E83ED" w14:textId="77777777" w:rsidR="002830BC" w:rsidRPr="00610621" w:rsidRDefault="00137F87" w:rsidP="00610621">
      <w:pPr>
        <w:pStyle w:val="Heading1"/>
        <w:rPr>
          <w:i/>
          <w:sz w:val="22"/>
          <w:szCs w:val="22"/>
          <w:lang w:val="en-GB"/>
        </w:rPr>
      </w:pPr>
      <w:bookmarkStart w:id="14" w:name="_Toc212638647"/>
      <w:r w:rsidRPr="00610621">
        <w:rPr>
          <w:sz w:val="22"/>
          <w:szCs w:val="22"/>
          <w:lang w:val="en-GB"/>
        </w:rPr>
        <w:t>Current Debates and Emerging Issues</w:t>
      </w:r>
      <w:bookmarkEnd w:id="14"/>
    </w:p>
    <w:p w14:paraId="0767E3EF" w14:textId="77777777" w:rsidR="002830BC" w:rsidRPr="00610621" w:rsidRDefault="00137F87" w:rsidP="00610621">
      <w:pPr>
        <w:pStyle w:val="Heading2"/>
        <w:rPr>
          <w:sz w:val="22"/>
          <w:szCs w:val="22"/>
          <w:lang w:val="en-GB"/>
        </w:rPr>
      </w:pPr>
      <w:bookmarkStart w:id="15" w:name="_Toc212638648"/>
      <w:r w:rsidRPr="00610621">
        <w:rPr>
          <w:sz w:val="22"/>
          <w:szCs w:val="22"/>
          <w:lang w:val="en-GB"/>
        </w:rPr>
        <w:t>Clinical Debates in Classification and Treatment</w:t>
      </w:r>
      <w:bookmarkEnd w:id="15"/>
    </w:p>
    <w:p w14:paraId="379FEA38" w14:textId="77777777" w:rsidR="002830BC" w:rsidRPr="00610621" w:rsidRDefault="00137F87" w:rsidP="00610621">
      <w:pPr>
        <w:spacing w:line="360" w:lineRule="auto"/>
        <w:jc w:val="both"/>
        <w:rPr>
          <w:rFonts w:eastAsia="Times New Roman"/>
          <w:b/>
          <w:i/>
          <w:lang w:val="en-GB"/>
        </w:rPr>
      </w:pPr>
      <w:r w:rsidRPr="00610621">
        <w:rPr>
          <w:rFonts w:eastAsia="Times New Roman"/>
          <w:highlight w:val="white"/>
          <w:lang w:val="en-GB"/>
        </w:rPr>
        <w:t xml:space="preserve">Researchers and practitioners still debate which behaviours, especially Compulsive Sexual Behaviour, should be considered as belonging to impulse control or behavioural addiction or otherwise. Opponents state that the introduction of </w:t>
      </w:r>
      <w:r w:rsidRPr="00610621">
        <w:rPr>
          <w:rFonts w:eastAsia="Times New Roman"/>
          <w:i/>
          <w:highlight w:val="white"/>
          <w:lang w:val="en-GB"/>
        </w:rPr>
        <w:t>Compulsive Sexual Behaviour Disorder</w:t>
      </w:r>
      <w:r w:rsidRPr="00610621">
        <w:rPr>
          <w:rFonts w:eastAsia="Times New Roman"/>
          <w:highlight w:val="white"/>
          <w:lang w:val="en-GB"/>
        </w:rPr>
        <w:t xml:space="preserve"> (CSBD) to ICD-11 provides some solutions to the gaps in nosology and introduces some questions regarding overlap with behavioural addictions and measurement heterogeneity (</w:t>
      </w:r>
      <w:r w:rsidRPr="00610621">
        <w:rPr>
          <w:rFonts w:eastAsia="Times New Roman"/>
          <w:color w:val="222222"/>
          <w:highlight w:val="white"/>
          <w:lang w:val="en-GB"/>
        </w:rPr>
        <w:t xml:space="preserve">Wyss </w:t>
      </w:r>
      <w:r w:rsidRPr="00610621">
        <w:rPr>
          <w:rFonts w:eastAsia="Times New Roman"/>
          <w:i/>
          <w:color w:val="222222"/>
          <w:highlight w:val="white"/>
          <w:lang w:val="en-GB"/>
        </w:rPr>
        <w:t>et al</w:t>
      </w:r>
      <w:r w:rsidRPr="00610621">
        <w:rPr>
          <w:rFonts w:eastAsia="Times New Roman"/>
          <w:color w:val="222222"/>
          <w:highlight w:val="white"/>
          <w:lang w:val="en-GB"/>
        </w:rPr>
        <w:t>., 2022</w:t>
      </w:r>
      <w:r w:rsidRPr="00610621">
        <w:rPr>
          <w:rFonts w:eastAsia="Times New Roman"/>
          <w:highlight w:val="white"/>
          <w:lang w:val="en-GB"/>
        </w:rPr>
        <w:t>). More recent field research demonstrates that clinicians use ICD-11 criteria, but report ambiguity in the limits of diagnosis, which exacerbates inconsistency in prevalence estimates and service referral routes.</w:t>
      </w:r>
    </w:p>
    <w:p w14:paraId="0CE92822" w14:textId="77777777" w:rsidR="002830BC" w:rsidRPr="00610621" w:rsidRDefault="00137F87" w:rsidP="00610621">
      <w:pPr>
        <w:pStyle w:val="Heading2"/>
        <w:rPr>
          <w:sz w:val="22"/>
          <w:szCs w:val="22"/>
          <w:lang w:val="en-GB"/>
        </w:rPr>
      </w:pPr>
      <w:bookmarkStart w:id="16" w:name="_Toc212638649"/>
      <w:r w:rsidRPr="00610621">
        <w:rPr>
          <w:sz w:val="22"/>
          <w:szCs w:val="22"/>
          <w:lang w:val="en-GB"/>
        </w:rPr>
        <w:t>Policy and practice implications</w:t>
      </w:r>
      <w:bookmarkEnd w:id="16"/>
    </w:p>
    <w:p w14:paraId="67B56642" w14:textId="68EEC5F9" w:rsidR="002830BC" w:rsidRPr="00610621" w:rsidRDefault="00137F87" w:rsidP="00610621">
      <w:pPr>
        <w:spacing w:line="360" w:lineRule="auto"/>
        <w:jc w:val="both"/>
        <w:rPr>
          <w:rFonts w:eastAsia="Times New Roman"/>
          <w:b/>
          <w:i/>
          <w:lang w:val="en-GB"/>
        </w:rPr>
      </w:pPr>
      <w:r w:rsidRPr="00610621">
        <w:rPr>
          <w:rFonts w:eastAsia="Times New Roman"/>
          <w:highlight w:val="white"/>
          <w:lang w:val="en-GB"/>
        </w:rPr>
        <w:t>It is increasingly becoming recognised that neuro</w:t>
      </w:r>
      <w:r w:rsidR="00E03CB1" w:rsidRPr="00610621">
        <w:rPr>
          <w:rFonts w:eastAsia="Times New Roman"/>
          <w:highlight w:val="white"/>
          <w:lang w:val="en-GB"/>
        </w:rPr>
        <w:t>-</w:t>
      </w:r>
      <w:r w:rsidRPr="00610621">
        <w:rPr>
          <w:rFonts w:eastAsia="Times New Roman"/>
          <w:highlight w:val="white"/>
          <w:lang w:val="en-GB"/>
        </w:rPr>
        <w:t xml:space="preserve">divergent manifestations, such as ADHD and autistic characteristics, do have interactions with impulsive symptomatology, and thus, it has been </w:t>
      </w:r>
      <w:r w:rsidRPr="00610621">
        <w:rPr>
          <w:rFonts w:eastAsia="Times New Roman"/>
          <w:highlight w:val="white"/>
          <w:lang w:val="en-GB"/>
        </w:rPr>
        <w:lastRenderedPageBreak/>
        <w:t>argued to integrate dimensional, trans</w:t>
      </w:r>
      <w:r w:rsidR="00E03CB1" w:rsidRPr="00610621">
        <w:rPr>
          <w:rFonts w:eastAsia="Times New Roman"/>
          <w:highlight w:val="white"/>
          <w:lang w:val="en-GB"/>
        </w:rPr>
        <w:t>-</w:t>
      </w:r>
      <w:r w:rsidRPr="00610621">
        <w:rPr>
          <w:rFonts w:eastAsia="Times New Roman"/>
          <w:highlight w:val="white"/>
          <w:lang w:val="en-GB"/>
        </w:rPr>
        <w:t>diagnostic measures into practice, instead of having categorically rigid labels (</w:t>
      </w:r>
      <w:r w:rsidRPr="00610621">
        <w:rPr>
          <w:rFonts w:eastAsia="Times New Roman"/>
          <w:color w:val="222222"/>
          <w:highlight w:val="white"/>
          <w:lang w:val="en-GB"/>
        </w:rPr>
        <w:t>Volkow and Blanco, 2023</w:t>
      </w:r>
      <w:r w:rsidRPr="00610621">
        <w:rPr>
          <w:rFonts w:eastAsia="Times New Roman"/>
          <w:highlight w:val="white"/>
          <w:lang w:val="en-GB"/>
        </w:rPr>
        <w:t xml:space="preserve">). Neurodiversity activists and certain scientists believe that the </w:t>
      </w:r>
      <w:r w:rsidR="00B94E10" w:rsidRPr="00610621">
        <w:rPr>
          <w:rFonts w:eastAsia="Times New Roman"/>
          <w:highlight w:val="white"/>
          <w:lang w:val="en-GB"/>
        </w:rPr>
        <w:t>pathologizing</w:t>
      </w:r>
      <w:r w:rsidRPr="00610621">
        <w:rPr>
          <w:rFonts w:eastAsia="Times New Roman"/>
          <w:highlight w:val="white"/>
          <w:lang w:val="en-GB"/>
        </w:rPr>
        <w:t xml:space="preserve"> of language and the existence of categories creates the possibility of misdiagnosis and inappropriate treatment, particularly when impulsiveness may be an adaptive mechanism for sensory or executive-functional variation (</w:t>
      </w:r>
      <w:r w:rsidRPr="00610621">
        <w:rPr>
          <w:rFonts w:eastAsia="Times New Roman"/>
          <w:color w:val="222222"/>
          <w:highlight w:val="white"/>
          <w:lang w:val="en-GB"/>
        </w:rPr>
        <w:t xml:space="preserve">Paulus </w:t>
      </w:r>
      <w:r w:rsidRPr="00610621">
        <w:rPr>
          <w:rFonts w:eastAsia="Times New Roman"/>
          <w:i/>
          <w:color w:val="222222"/>
          <w:highlight w:val="white"/>
          <w:lang w:val="en-GB"/>
        </w:rPr>
        <w:t>et al</w:t>
      </w:r>
      <w:r w:rsidRPr="00610621">
        <w:rPr>
          <w:rFonts w:eastAsia="Times New Roman"/>
          <w:color w:val="222222"/>
          <w:highlight w:val="white"/>
          <w:lang w:val="en-GB"/>
        </w:rPr>
        <w:t>., 2021</w:t>
      </w:r>
      <w:r w:rsidRPr="00610621">
        <w:rPr>
          <w:rFonts w:eastAsia="Times New Roman"/>
          <w:highlight w:val="white"/>
          <w:lang w:val="en-GB"/>
        </w:rPr>
        <w:t>).</w:t>
      </w:r>
    </w:p>
    <w:p w14:paraId="3520DDE0" w14:textId="77777777" w:rsidR="002830BC" w:rsidRPr="00610621" w:rsidRDefault="00137F87" w:rsidP="00610621">
      <w:pPr>
        <w:pStyle w:val="Heading2"/>
        <w:rPr>
          <w:sz w:val="22"/>
          <w:szCs w:val="22"/>
          <w:lang w:val="en-GB"/>
        </w:rPr>
      </w:pPr>
      <w:bookmarkStart w:id="17" w:name="_Toc212638650"/>
      <w:r w:rsidRPr="00610621">
        <w:rPr>
          <w:sz w:val="22"/>
          <w:szCs w:val="22"/>
          <w:lang w:val="en-GB"/>
        </w:rPr>
        <w:t>Neuro</w:t>
      </w:r>
      <w:r w:rsidR="00E03CB1" w:rsidRPr="00610621">
        <w:rPr>
          <w:sz w:val="22"/>
          <w:szCs w:val="22"/>
          <w:lang w:val="en-GB"/>
        </w:rPr>
        <w:t>-</w:t>
      </w:r>
      <w:r w:rsidRPr="00610621">
        <w:rPr>
          <w:sz w:val="22"/>
          <w:szCs w:val="22"/>
          <w:lang w:val="en-GB"/>
        </w:rPr>
        <w:t>divergence and diagnostic frameworks</w:t>
      </w:r>
      <w:bookmarkEnd w:id="17"/>
    </w:p>
    <w:p w14:paraId="48ECA36E" w14:textId="77777777" w:rsidR="002830BC" w:rsidRPr="00610621" w:rsidRDefault="00137F87" w:rsidP="00610621">
      <w:pPr>
        <w:spacing w:line="360" w:lineRule="auto"/>
        <w:jc w:val="both"/>
        <w:rPr>
          <w:rFonts w:eastAsia="Times New Roman"/>
          <w:b/>
          <w:i/>
          <w:lang w:val="en-GB"/>
        </w:rPr>
      </w:pPr>
      <w:r w:rsidRPr="00610621">
        <w:rPr>
          <w:rFonts w:eastAsia="Times New Roman"/>
          <w:highlight w:val="white"/>
          <w:lang w:val="en-GB"/>
        </w:rPr>
        <w:t xml:space="preserve">Legal and workplace policies, including the </w:t>
      </w:r>
      <w:r w:rsidRPr="00610621">
        <w:rPr>
          <w:rFonts w:eastAsia="Times New Roman"/>
          <w:i/>
          <w:highlight w:val="white"/>
          <w:lang w:val="en-GB"/>
        </w:rPr>
        <w:t>Equality Act 2010</w:t>
      </w:r>
      <w:r w:rsidRPr="00610621">
        <w:rPr>
          <w:rFonts w:eastAsia="Times New Roman"/>
          <w:highlight w:val="white"/>
          <w:lang w:val="en-GB"/>
        </w:rPr>
        <w:t>, demand the reasonable accommodation of disabling mental conditions, which strains services and employers to acknowledge impairing impulsivity as a valid basis for accommodation. Reclassification controversies, thus, have direct impacts on care access, workplace fringe benefits, and commissioning agenda (</w:t>
      </w:r>
      <w:r w:rsidRPr="00610621">
        <w:rPr>
          <w:rFonts w:eastAsia="Times New Roman"/>
          <w:color w:val="222222"/>
          <w:highlight w:val="white"/>
          <w:lang w:val="en-GB"/>
        </w:rPr>
        <w:t xml:space="preserve">Hogg </w:t>
      </w:r>
      <w:r w:rsidRPr="00610621">
        <w:rPr>
          <w:rFonts w:eastAsia="Times New Roman"/>
          <w:i/>
          <w:color w:val="222222"/>
          <w:highlight w:val="white"/>
          <w:lang w:val="en-GB"/>
        </w:rPr>
        <w:t>et al</w:t>
      </w:r>
      <w:r w:rsidRPr="00610621">
        <w:rPr>
          <w:rFonts w:eastAsia="Times New Roman"/>
          <w:color w:val="222222"/>
          <w:highlight w:val="white"/>
          <w:lang w:val="en-GB"/>
        </w:rPr>
        <w:t>., 2023</w:t>
      </w:r>
      <w:r w:rsidRPr="00610621">
        <w:rPr>
          <w:rFonts w:eastAsia="Times New Roman"/>
          <w:highlight w:val="white"/>
          <w:lang w:val="en-GB"/>
        </w:rPr>
        <w:t>). UK research has shown that inconsistent diagnostic categories and service disparities translate to unreliable local care and a debatable right to assistance.</w:t>
      </w:r>
    </w:p>
    <w:p w14:paraId="3946909F" w14:textId="77777777" w:rsidR="002830BC" w:rsidRPr="00610621" w:rsidRDefault="00137F87" w:rsidP="00610621">
      <w:pPr>
        <w:pStyle w:val="Heading1"/>
        <w:rPr>
          <w:sz w:val="22"/>
          <w:szCs w:val="22"/>
          <w:lang w:val="en-GB"/>
        </w:rPr>
      </w:pPr>
      <w:bookmarkStart w:id="18" w:name="_Toc212638651"/>
      <w:r w:rsidRPr="00610621">
        <w:rPr>
          <w:sz w:val="22"/>
          <w:szCs w:val="22"/>
          <w:lang w:val="en-GB"/>
        </w:rPr>
        <w:t>Policy &amp; Legal Framework</w:t>
      </w:r>
      <w:bookmarkEnd w:id="18"/>
    </w:p>
    <w:p w14:paraId="6326FF8C" w14:textId="77777777" w:rsidR="002830BC" w:rsidRPr="00610621" w:rsidRDefault="00137F87" w:rsidP="00610621">
      <w:pPr>
        <w:pStyle w:val="Heading2"/>
        <w:rPr>
          <w:sz w:val="22"/>
          <w:szCs w:val="22"/>
          <w:lang w:val="en-GB"/>
        </w:rPr>
      </w:pPr>
      <w:bookmarkStart w:id="19" w:name="_Toc212638652"/>
      <w:r w:rsidRPr="00610621">
        <w:rPr>
          <w:sz w:val="22"/>
          <w:szCs w:val="22"/>
          <w:lang w:val="en-GB"/>
        </w:rPr>
        <w:t>Legal protection and compulsory treatment</w:t>
      </w:r>
      <w:bookmarkEnd w:id="19"/>
    </w:p>
    <w:p w14:paraId="6A268B41" w14:textId="77777777"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 xml:space="preserve">The </w:t>
      </w:r>
      <w:r w:rsidRPr="00610621">
        <w:rPr>
          <w:rFonts w:eastAsia="Times New Roman"/>
          <w:i/>
          <w:highlight w:val="white"/>
          <w:lang w:val="en-GB"/>
        </w:rPr>
        <w:t>Mental Health Act 1983</w:t>
      </w:r>
      <w:r w:rsidRPr="00610621">
        <w:rPr>
          <w:rFonts w:eastAsia="Times New Roman"/>
          <w:highlight w:val="white"/>
          <w:lang w:val="en-GB"/>
        </w:rPr>
        <w:t xml:space="preserve"> (</w:t>
      </w:r>
      <w:r w:rsidRPr="00610621">
        <w:rPr>
          <w:rFonts w:eastAsia="Times New Roman"/>
          <w:i/>
          <w:highlight w:val="white"/>
          <w:lang w:val="en-GB"/>
        </w:rPr>
        <w:t>as amended in 2007</w:t>
      </w:r>
      <w:r w:rsidRPr="00610621">
        <w:rPr>
          <w:rFonts w:eastAsia="Times New Roman"/>
          <w:highlight w:val="white"/>
          <w:lang w:val="en-GB"/>
        </w:rPr>
        <w:t>) is the main Act under which people deemed to have a mental disorder and a risk to others are detained and subjected to compulsory treatment. The rates of detention and demographic variations are centrally monitored, and recent statistics indicate high rates of detention volumes annually, which poses equity questions (</w:t>
      </w:r>
      <w:r w:rsidRPr="00610621">
        <w:rPr>
          <w:rFonts w:eastAsia="Times New Roman"/>
          <w:color w:val="222222"/>
          <w:highlight w:val="white"/>
          <w:lang w:val="en-GB"/>
        </w:rPr>
        <w:t>Hayes and Hofmann, 2021</w:t>
      </w:r>
      <w:r w:rsidRPr="00610621">
        <w:rPr>
          <w:rFonts w:eastAsia="Times New Roman"/>
          <w:highlight w:val="white"/>
          <w:lang w:val="en-GB"/>
        </w:rPr>
        <w:t>).</w:t>
      </w:r>
    </w:p>
    <w:p w14:paraId="63B91DF1" w14:textId="77777777" w:rsidR="002830BC" w:rsidRPr="00610621" w:rsidRDefault="00137F87" w:rsidP="00610621">
      <w:pPr>
        <w:pStyle w:val="Heading2"/>
        <w:rPr>
          <w:sz w:val="22"/>
          <w:szCs w:val="22"/>
          <w:lang w:val="en-GB"/>
        </w:rPr>
      </w:pPr>
      <w:bookmarkStart w:id="20" w:name="_Toc212638653"/>
      <w:r w:rsidRPr="00610621">
        <w:rPr>
          <w:sz w:val="22"/>
          <w:szCs w:val="22"/>
          <w:lang w:val="en-GB"/>
        </w:rPr>
        <w:t>Social care rights and the Care Act</w:t>
      </w:r>
      <w:bookmarkEnd w:id="20"/>
    </w:p>
    <w:p w14:paraId="4FBEA4E1" w14:textId="77777777" w:rsidR="002830BC" w:rsidRPr="00610621" w:rsidRDefault="00137F87" w:rsidP="00610621">
      <w:pPr>
        <w:spacing w:line="360" w:lineRule="auto"/>
        <w:jc w:val="both"/>
        <w:rPr>
          <w:rFonts w:eastAsia="Times New Roman"/>
          <w:lang w:val="en-GB"/>
        </w:rPr>
      </w:pPr>
      <w:r w:rsidRPr="00610621">
        <w:rPr>
          <w:rFonts w:eastAsia="Times New Roman"/>
          <w:highlight w:val="white"/>
          <w:lang w:val="en-GB"/>
        </w:rPr>
        <w:t xml:space="preserve">The </w:t>
      </w:r>
      <w:r w:rsidRPr="00610621">
        <w:rPr>
          <w:rFonts w:eastAsia="Times New Roman"/>
          <w:i/>
          <w:highlight w:val="white"/>
          <w:lang w:val="en-GB"/>
        </w:rPr>
        <w:t>Care Act 2014</w:t>
      </w:r>
      <w:r w:rsidRPr="00610621">
        <w:rPr>
          <w:rFonts w:eastAsia="Times New Roman"/>
          <w:highlight w:val="white"/>
          <w:lang w:val="en-GB"/>
        </w:rPr>
        <w:t xml:space="preserve"> imposes statutory obligations on local authorities to assess the needs of adults, make plans for care and support, and provide advocacy and discharge planning responsibilities, which are needed by people with chronic impulse-control problems who need assisted housing, community packages or employment assistance to maintain recovery (</w:t>
      </w:r>
      <w:r w:rsidRPr="00610621">
        <w:rPr>
          <w:rFonts w:eastAsia="Times New Roman"/>
          <w:color w:val="222222"/>
          <w:highlight w:val="white"/>
          <w:lang w:val="en-GB"/>
        </w:rPr>
        <w:t xml:space="preserve">Moshe </w:t>
      </w:r>
      <w:r w:rsidRPr="00610621">
        <w:rPr>
          <w:rFonts w:eastAsia="Times New Roman"/>
          <w:i/>
          <w:color w:val="222222"/>
          <w:highlight w:val="white"/>
          <w:lang w:val="en-GB"/>
        </w:rPr>
        <w:t>et al</w:t>
      </w:r>
      <w:r w:rsidRPr="00610621">
        <w:rPr>
          <w:rFonts w:eastAsia="Times New Roman"/>
          <w:color w:val="222222"/>
          <w:highlight w:val="white"/>
          <w:lang w:val="en-GB"/>
        </w:rPr>
        <w:t>., 2021</w:t>
      </w:r>
      <w:r w:rsidRPr="00610621">
        <w:rPr>
          <w:rFonts w:eastAsia="Times New Roman"/>
          <w:highlight w:val="white"/>
          <w:lang w:val="en-GB"/>
        </w:rPr>
        <w:t>).</w:t>
      </w:r>
    </w:p>
    <w:p w14:paraId="5FC82F04" w14:textId="77777777" w:rsidR="002830BC" w:rsidRPr="00610621" w:rsidRDefault="00137F87" w:rsidP="00610621">
      <w:pPr>
        <w:pStyle w:val="Heading2"/>
        <w:rPr>
          <w:sz w:val="22"/>
          <w:szCs w:val="22"/>
          <w:lang w:val="en-GB"/>
        </w:rPr>
      </w:pPr>
      <w:bookmarkStart w:id="21" w:name="_Toc212638654"/>
      <w:r w:rsidRPr="00610621">
        <w:rPr>
          <w:sz w:val="22"/>
          <w:szCs w:val="22"/>
          <w:lang w:val="en-GB"/>
        </w:rPr>
        <w:lastRenderedPageBreak/>
        <w:t>Policy, funding and service provision</w:t>
      </w:r>
      <w:bookmarkEnd w:id="21"/>
    </w:p>
    <w:p w14:paraId="1DC0A025" w14:textId="77777777" w:rsidR="002830BC" w:rsidRPr="00610621" w:rsidRDefault="00137F87" w:rsidP="00610621">
      <w:pPr>
        <w:spacing w:line="360" w:lineRule="auto"/>
        <w:jc w:val="both"/>
        <w:rPr>
          <w:rFonts w:eastAsia="Times New Roman"/>
          <w:b/>
          <w:i/>
          <w:lang w:val="en-GB"/>
        </w:rPr>
      </w:pPr>
      <w:r w:rsidRPr="00610621">
        <w:rPr>
          <w:rFonts w:eastAsia="Gungsuh"/>
          <w:highlight w:val="white"/>
          <w:lang w:val="en-GB"/>
        </w:rPr>
        <w:t xml:space="preserve">In recent years, England Investment reporting </w:t>
      </w:r>
      <w:r w:rsidRPr="00610621">
        <w:rPr>
          <w:rFonts w:eastAsia="Gungsuh"/>
          <w:highlight w:val="white"/>
          <w:lang w:val="en-GB"/>
        </w:rPr>
        <w:t>￡</w:t>
      </w:r>
      <w:r w:rsidRPr="00610621">
        <w:rPr>
          <w:rFonts w:eastAsia="Gungsuh"/>
          <w:highlight w:val="white"/>
          <w:lang w:val="en-GB"/>
        </w:rPr>
        <w:t xml:space="preserve">11-12 billion actual spend in 2023/24-2025 despite rising national mental health investment has demonstrated higher demand has soared, leading to capacity shortages, geographic disparities in specialist commissioning and discharge delays without social care or supported housing </w:t>
      </w:r>
      <w:r w:rsidRPr="00610621">
        <w:rPr>
          <w:rFonts w:eastAsia="Times New Roman"/>
          <w:i/>
          <w:highlight w:val="white"/>
          <w:lang w:val="en-GB"/>
        </w:rPr>
        <w:t>Mental Health Investment Standard</w:t>
      </w:r>
      <w:r w:rsidRPr="00610621">
        <w:rPr>
          <w:rFonts w:eastAsia="Gungsuh"/>
          <w:highlight w:val="white"/>
          <w:lang w:val="en-GB"/>
        </w:rPr>
        <w:t xml:space="preserve"> </w:t>
      </w:r>
      <w:r w:rsidRPr="00610621">
        <w:rPr>
          <w:rFonts w:eastAsia="Gungsuh"/>
          <w:highlight w:val="white"/>
          <w:lang w:val="en-GB"/>
        </w:rPr>
        <w:t>￡</w:t>
      </w:r>
      <w:r w:rsidRPr="00610621">
        <w:rPr>
          <w:rFonts w:eastAsia="Gungsuh"/>
          <w:highlight w:val="white"/>
          <w:lang w:val="en-GB"/>
        </w:rPr>
        <w:t>11-12 billion actual spend in 2023/24-2025 but demand has increased sharply as NHS contacts hit 3.8 million in 2023-24 creating capacity shortages (</w:t>
      </w:r>
      <w:r w:rsidRPr="00610621">
        <w:rPr>
          <w:rFonts w:eastAsia="Times New Roman"/>
          <w:color w:val="222222"/>
          <w:highlight w:val="white"/>
          <w:lang w:val="en-GB"/>
        </w:rPr>
        <w:t xml:space="preserve">Ahmadi </w:t>
      </w:r>
      <w:r w:rsidRPr="00610621">
        <w:rPr>
          <w:rFonts w:eastAsia="Times New Roman"/>
          <w:i/>
          <w:color w:val="222222"/>
          <w:highlight w:val="white"/>
          <w:lang w:val="en-GB"/>
        </w:rPr>
        <w:t>et al</w:t>
      </w:r>
      <w:r w:rsidRPr="00610621">
        <w:rPr>
          <w:rFonts w:eastAsia="Times New Roman"/>
          <w:color w:val="222222"/>
          <w:highlight w:val="white"/>
          <w:lang w:val="en-GB"/>
        </w:rPr>
        <w:t>., 2023</w:t>
      </w:r>
      <w:r w:rsidRPr="00610621">
        <w:rPr>
          <w:rFonts w:eastAsia="Times New Roman"/>
          <w:highlight w:val="white"/>
          <w:lang w:val="en-GB"/>
        </w:rPr>
        <w:t>). Access to rehabilitation of impulse-control presentations is limited by these mismatches between the supply and demand of rehabilitation.</w:t>
      </w:r>
    </w:p>
    <w:p w14:paraId="01CC704E" w14:textId="77777777" w:rsidR="002830BC" w:rsidRPr="00610621" w:rsidRDefault="00137F87" w:rsidP="00610621">
      <w:pPr>
        <w:pStyle w:val="Heading2"/>
        <w:rPr>
          <w:sz w:val="22"/>
          <w:szCs w:val="22"/>
          <w:lang w:val="en-GB"/>
        </w:rPr>
      </w:pPr>
      <w:bookmarkStart w:id="22" w:name="_Toc212638655"/>
      <w:r w:rsidRPr="00610621">
        <w:rPr>
          <w:sz w:val="22"/>
          <w:szCs w:val="22"/>
          <w:lang w:val="en-GB"/>
        </w:rPr>
        <w:t>Ethical and equality concerns</w:t>
      </w:r>
      <w:bookmarkEnd w:id="22"/>
    </w:p>
    <w:p w14:paraId="1AFD110B" w14:textId="77777777" w:rsidR="002830BC" w:rsidRPr="00610621" w:rsidRDefault="00137F87" w:rsidP="00610621">
      <w:pPr>
        <w:spacing w:line="360" w:lineRule="auto"/>
        <w:jc w:val="both"/>
        <w:rPr>
          <w:rFonts w:eastAsia="Times New Roman"/>
          <w:b/>
          <w:i/>
          <w:lang w:val="en-GB"/>
        </w:rPr>
      </w:pPr>
      <w:r w:rsidRPr="00610621">
        <w:rPr>
          <w:rFonts w:eastAsia="Times New Roman"/>
          <w:highlight w:val="white"/>
          <w:lang w:val="en-GB"/>
        </w:rPr>
        <w:t>Moral dilemmas involve the liberty and duty of care balance under the MHA, unequal access due to local commissioning choices, the potential risk of pathologising language resulting in stigma or discriminatory employment policies, issues that overlap with the Equality Act safeguards and demand clearer commissioning, greater rights to community support and more uniformity in detention/use-of-force data (</w:t>
      </w:r>
      <w:r w:rsidRPr="00610621">
        <w:rPr>
          <w:rFonts w:eastAsia="Times New Roman"/>
          <w:color w:val="222222"/>
          <w:highlight w:val="white"/>
          <w:lang w:val="en-GB"/>
        </w:rPr>
        <w:t>Vella-Brodrick and Gilowska, 2022</w:t>
      </w:r>
      <w:r w:rsidRPr="00610621">
        <w:rPr>
          <w:rFonts w:eastAsia="Times New Roman"/>
          <w:highlight w:val="white"/>
          <w:lang w:val="en-GB"/>
        </w:rPr>
        <w:t>).</w:t>
      </w:r>
    </w:p>
    <w:p w14:paraId="79838905" w14:textId="77777777" w:rsidR="002830BC" w:rsidRPr="00610621" w:rsidRDefault="00137F87" w:rsidP="00610621">
      <w:pPr>
        <w:pStyle w:val="Heading1"/>
        <w:rPr>
          <w:sz w:val="22"/>
          <w:szCs w:val="22"/>
          <w:lang w:val="en-GB"/>
        </w:rPr>
      </w:pPr>
      <w:bookmarkStart w:id="23" w:name="_Toc212638656"/>
      <w:r w:rsidRPr="00610621">
        <w:rPr>
          <w:sz w:val="22"/>
          <w:szCs w:val="22"/>
          <w:lang w:val="en-GB"/>
        </w:rPr>
        <w:t>UK Data &amp; Statistical Evidence</w:t>
      </w:r>
      <w:bookmarkEnd w:id="23"/>
    </w:p>
    <w:p w14:paraId="462C743C" w14:textId="77777777" w:rsidR="002830BC" w:rsidRPr="00610621" w:rsidRDefault="00137F87" w:rsidP="00610621">
      <w:pPr>
        <w:spacing w:line="360" w:lineRule="auto"/>
        <w:jc w:val="both"/>
        <w:rPr>
          <w:rFonts w:eastAsia="Times New Roman"/>
          <w:b/>
          <w:lang w:val="en-GB"/>
        </w:rPr>
      </w:pPr>
      <w:r w:rsidRPr="00610621">
        <w:rPr>
          <w:rFonts w:eastAsia="Times New Roman"/>
          <w:highlight w:val="white"/>
          <w:lang w:val="en-GB"/>
        </w:rPr>
        <w:t>According to recent UK data, mental-health care is in demand: according to NHS Digital's Mental Health Bulletin, a total of 3.8 million contacts with secondary services in 2023-24, and NHS Talking Therapies performance, most referrals achieve 6- and 18-week targets, although there are regional variations in waits (</w:t>
      </w:r>
      <w:r w:rsidRPr="00610621">
        <w:rPr>
          <w:rFonts w:eastAsia="Times New Roman"/>
          <w:color w:val="222222"/>
          <w:highlight w:val="white"/>
          <w:lang w:val="en-GB"/>
        </w:rPr>
        <w:t xml:space="preserve">Fernandez </w:t>
      </w:r>
      <w:r w:rsidRPr="00610621">
        <w:rPr>
          <w:rFonts w:eastAsia="Times New Roman"/>
          <w:i/>
          <w:color w:val="222222"/>
          <w:highlight w:val="white"/>
          <w:lang w:val="en-GB"/>
        </w:rPr>
        <w:t>et al</w:t>
      </w:r>
      <w:r w:rsidRPr="00610621">
        <w:rPr>
          <w:rFonts w:eastAsia="Times New Roman"/>
          <w:color w:val="222222"/>
          <w:highlight w:val="white"/>
          <w:lang w:val="en-GB"/>
        </w:rPr>
        <w:t>., 2021</w:t>
      </w:r>
      <w:r w:rsidRPr="00610621">
        <w:rPr>
          <w:rFonts w:eastAsia="Times New Roman"/>
          <w:highlight w:val="white"/>
          <w:lang w:val="en-GB"/>
        </w:rPr>
        <w:t>). According to the ONS surveillance, the 2023 population-level mental-health issues and suicide rates are on the rise. Some measures estimate the prevalence of common mental disorders at 1-2% locally, and specialised studies report a wide prevalence heterogeneity with respect to impulse-control presentations abroad (</w:t>
      </w:r>
      <w:r w:rsidRPr="00610621">
        <w:rPr>
          <w:rFonts w:eastAsia="Times New Roman"/>
          <w:color w:val="222222"/>
          <w:highlight w:val="white"/>
          <w:lang w:val="en-GB"/>
        </w:rPr>
        <w:t>ONS, 2023</w:t>
      </w:r>
      <w:r w:rsidRPr="00610621">
        <w:rPr>
          <w:rFonts w:eastAsia="Times New Roman"/>
          <w:highlight w:val="white"/>
          <w:lang w:val="en-GB"/>
        </w:rPr>
        <w:t>). Combined, these sources point to an increase in service demand and geographic inequality in access in relation to many comparator countries.</w:t>
      </w:r>
    </w:p>
    <w:p w14:paraId="3273FF89" w14:textId="77777777" w:rsidR="002830BC" w:rsidRPr="00610621" w:rsidRDefault="00137F87" w:rsidP="00610621">
      <w:pPr>
        <w:pStyle w:val="Heading1"/>
        <w:rPr>
          <w:sz w:val="22"/>
          <w:szCs w:val="22"/>
          <w:lang w:val="en-GB"/>
        </w:rPr>
      </w:pPr>
      <w:bookmarkStart w:id="24" w:name="_Toc212638657"/>
      <w:r w:rsidRPr="00610621">
        <w:rPr>
          <w:sz w:val="22"/>
          <w:szCs w:val="22"/>
          <w:lang w:val="en-GB"/>
        </w:rPr>
        <w:t>Recommendations</w:t>
      </w:r>
      <w:bookmarkEnd w:id="24"/>
    </w:p>
    <w:p w14:paraId="271EE72A" w14:textId="77777777" w:rsidR="002830BC" w:rsidRPr="00610621" w:rsidRDefault="00137F87" w:rsidP="00610621">
      <w:pPr>
        <w:spacing w:line="360" w:lineRule="auto"/>
        <w:jc w:val="both"/>
        <w:rPr>
          <w:rFonts w:eastAsia="Times New Roman"/>
          <w:lang w:val="en-GB"/>
        </w:rPr>
      </w:pPr>
      <w:r w:rsidRPr="00610621">
        <w:rPr>
          <w:rFonts w:eastAsia="Times New Roman"/>
          <w:lang w:val="en-GB"/>
        </w:rPr>
        <w:t>The evidence-based recommendations and UK-applicable are as such:</w:t>
      </w:r>
    </w:p>
    <w:p w14:paraId="6796F92B" w14:textId="77777777" w:rsidR="002830BC" w:rsidRPr="00610621" w:rsidRDefault="00137F87" w:rsidP="00610621">
      <w:pPr>
        <w:numPr>
          <w:ilvl w:val="0"/>
          <w:numId w:val="1"/>
        </w:numPr>
        <w:spacing w:line="360" w:lineRule="auto"/>
        <w:jc w:val="both"/>
        <w:rPr>
          <w:rFonts w:eastAsia="Times New Roman"/>
          <w:lang w:val="en-GB"/>
        </w:rPr>
      </w:pPr>
      <w:r w:rsidRPr="00610621">
        <w:rPr>
          <w:rFonts w:eastAsia="Times New Roman"/>
          <w:lang w:val="en-GB"/>
        </w:rPr>
        <w:t>Expand community capacity and specialist routes for behavioural/impulse disorders, with local commissioning plans ring-fenced and in line with NHS Long Term Plan targets.</w:t>
      </w:r>
    </w:p>
    <w:p w14:paraId="25E1C854" w14:textId="77777777" w:rsidR="002830BC" w:rsidRPr="00610621" w:rsidRDefault="00137F87" w:rsidP="00610621">
      <w:pPr>
        <w:numPr>
          <w:ilvl w:val="0"/>
          <w:numId w:val="1"/>
        </w:numPr>
        <w:spacing w:line="360" w:lineRule="auto"/>
        <w:jc w:val="both"/>
        <w:rPr>
          <w:rFonts w:eastAsia="Times New Roman"/>
          <w:lang w:val="en-GB"/>
        </w:rPr>
      </w:pPr>
      <w:r w:rsidRPr="00610621">
        <w:rPr>
          <w:rFonts w:eastAsia="Times New Roman"/>
          <w:lang w:val="en-GB"/>
        </w:rPr>
        <w:lastRenderedPageBreak/>
        <w:t>Adopt a uniform set of ICD-11-linked assessment templates that use standardised assessment templates in NHS trusts to improve variability in diagnosis and facilitate prompt referrals (</w:t>
      </w:r>
      <w:r w:rsidRPr="00610621">
        <w:rPr>
          <w:rFonts w:eastAsia="Times New Roman"/>
          <w:color w:val="222222"/>
          <w:highlight w:val="white"/>
          <w:lang w:val="en-GB"/>
        </w:rPr>
        <w:t>Sagar, 2021</w:t>
      </w:r>
      <w:r w:rsidRPr="00610621">
        <w:rPr>
          <w:rFonts w:eastAsia="Times New Roman"/>
          <w:lang w:val="en-GB"/>
        </w:rPr>
        <w:t>).</w:t>
      </w:r>
    </w:p>
    <w:p w14:paraId="61CF12F5" w14:textId="36DA292D" w:rsidR="002830BC" w:rsidRPr="00610621" w:rsidRDefault="00137F87" w:rsidP="00610621">
      <w:pPr>
        <w:numPr>
          <w:ilvl w:val="0"/>
          <w:numId w:val="1"/>
        </w:numPr>
        <w:spacing w:line="360" w:lineRule="auto"/>
        <w:jc w:val="both"/>
        <w:rPr>
          <w:rFonts w:eastAsia="Times New Roman"/>
          <w:lang w:val="en-GB"/>
        </w:rPr>
      </w:pPr>
      <w:r w:rsidRPr="00610621">
        <w:rPr>
          <w:rFonts w:eastAsia="Times New Roman"/>
          <w:lang w:val="en-GB"/>
        </w:rPr>
        <w:t xml:space="preserve">Reduce waiting times through focused IAPT/specialist clinic investment and implement digital CBT stepped care </w:t>
      </w:r>
      <w:r w:rsidR="00A004AC" w:rsidRPr="00610621">
        <w:rPr>
          <w:rFonts w:eastAsia="Times New Roman"/>
          <w:lang w:val="en-GB"/>
        </w:rPr>
        <w:t>using</w:t>
      </w:r>
      <w:r w:rsidRPr="00610621">
        <w:rPr>
          <w:rFonts w:eastAsia="Times New Roman"/>
          <w:lang w:val="en-GB"/>
        </w:rPr>
        <w:t xml:space="preserve"> validated digital CBT.</w:t>
      </w:r>
    </w:p>
    <w:p w14:paraId="6017360A" w14:textId="77777777" w:rsidR="002830BC" w:rsidRPr="00610621" w:rsidRDefault="00137F87" w:rsidP="00610621">
      <w:pPr>
        <w:numPr>
          <w:ilvl w:val="0"/>
          <w:numId w:val="1"/>
        </w:numPr>
        <w:spacing w:line="360" w:lineRule="auto"/>
        <w:jc w:val="both"/>
        <w:rPr>
          <w:rFonts w:eastAsia="Times New Roman"/>
          <w:lang w:val="en-GB"/>
        </w:rPr>
      </w:pPr>
      <w:r w:rsidRPr="00610621">
        <w:rPr>
          <w:rFonts w:eastAsia="Times New Roman"/>
          <w:lang w:val="en-GB"/>
        </w:rPr>
        <w:t xml:space="preserve">Ensure </w:t>
      </w:r>
      <w:r w:rsidRPr="00610621">
        <w:rPr>
          <w:rFonts w:eastAsia="Times New Roman"/>
          <w:i/>
          <w:lang w:val="en-GB"/>
        </w:rPr>
        <w:t>Mental Health Act</w:t>
      </w:r>
      <w:r w:rsidRPr="00610621">
        <w:rPr>
          <w:rFonts w:eastAsia="Times New Roman"/>
          <w:lang w:val="en-GB"/>
        </w:rPr>
        <w:t xml:space="preserve"> reform ensures greater community rights and protections for individuals with impulse-control presentations (</w:t>
      </w:r>
      <w:r w:rsidRPr="00610621">
        <w:rPr>
          <w:rFonts w:eastAsia="Times New Roman"/>
          <w:color w:val="222222"/>
          <w:highlight w:val="white"/>
          <w:lang w:val="en-GB"/>
        </w:rPr>
        <w:t xml:space="preserve">Wright </w:t>
      </w:r>
      <w:r w:rsidRPr="00610621">
        <w:rPr>
          <w:rFonts w:eastAsia="Times New Roman"/>
          <w:i/>
          <w:color w:val="222222"/>
          <w:highlight w:val="white"/>
          <w:lang w:val="en-GB"/>
        </w:rPr>
        <w:t>et al</w:t>
      </w:r>
      <w:r w:rsidRPr="00610621">
        <w:rPr>
          <w:rFonts w:eastAsia="Times New Roman"/>
          <w:color w:val="222222"/>
          <w:highlight w:val="white"/>
          <w:lang w:val="en-GB"/>
        </w:rPr>
        <w:t>., 2022</w:t>
      </w:r>
      <w:r w:rsidRPr="00610621">
        <w:rPr>
          <w:rFonts w:eastAsia="Times New Roman"/>
          <w:lang w:val="en-GB"/>
        </w:rPr>
        <w:t>).</w:t>
      </w:r>
    </w:p>
    <w:p w14:paraId="75811331" w14:textId="77777777" w:rsidR="002830BC" w:rsidRPr="00610621" w:rsidRDefault="00137F87" w:rsidP="00610621">
      <w:pPr>
        <w:numPr>
          <w:ilvl w:val="0"/>
          <w:numId w:val="1"/>
        </w:numPr>
        <w:spacing w:line="360" w:lineRule="auto"/>
        <w:jc w:val="both"/>
        <w:rPr>
          <w:rFonts w:eastAsia="Times New Roman"/>
          <w:lang w:val="en-GB"/>
        </w:rPr>
      </w:pPr>
      <w:r w:rsidRPr="00610621">
        <w:rPr>
          <w:rFonts w:eastAsia="Times New Roman"/>
          <w:lang w:val="en-GB"/>
        </w:rPr>
        <w:t>Invest in longitudinal outcome research and regular data collection on impulse control disorders to inform NICE-level advice and local formularies.</w:t>
      </w:r>
    </w:p>
    <w:p w14:paraId="73CA3EC7" w14:textId="77777777" w:rsidR="002830BC" w:rsidRPr="00610621" w:rsidRDefault="00137F87" w:rsidP="00610621">
      <w:pPr>
        <w:pStyle w:val="Heading1"/>
        <w:rPr>
          <w:sz w:val="22"/>
          <w:szCs w:val="22"/>
          <w:lang w:val="en-GB"/>
        </w:rPr>
      </w:pPr>
      <w:bookmarkStart w:id="25" w:name="_Toc212638658"/>
      <w:r w:rsidRPr="00610621">
        <w:rPr>
          <w:sz w:val="22"/>
          <w:szCs w:val="22"/>
          <w:lang w:val="en-GB"/>
        </w:rPr>
        <w:t>Conclusion</w:t>
      </w:r>
      <w:bookmarkEnd w:id="25"/>
    </w:p>
    <w:p w14:paraId="30D73B6D" w14:textId="77777777" w:rsidR="002830BC" w:rsidRPr="00610621" w:rsidRDefault="00137F87" w:rsidP="00610621">
      <w:pPr>
        <w:spacing w:line="360" w:lineRule="auto"/>
        <w:jc w:val="both"/>
        <w:rPr>
          <w:rFonts w:eastAsia="Times New Roman"/>
          <w:highlight w:val="white"/>
          <w:lang w:val="en-GB"/>
        </w:rPr>
      </w:pPr>
      <w:r w:rsidRPr="00610621">
        <w:rPr>
          <w:rFonts w:eastAsia="Times New Roman"/>
          <w:highlight w:val="white"/>
          <w:lang w:val="en-GB"/>
        </w:rPr>
        <w:t xml:space="preserve">It is concluded that </w:t>
      </w:r>
      <w:r w:rsidRPr="00610621">
        <w:rPr>
          <w:rFonts w:eastAsia="Times New Roman"/>
          <w:i/>
          <w:highlight w:val="white"/>
          <w:lang w:val="en-GB"/>
        </w:rPr>
        <w:t>Impulse Control Disorder</w:t>
      </w:r>
      <w:r w:rsidRPr="00610621">
        <w:rPr>
          <w:rFonts w:eastAsia="Times New Roman"/>
          <w:highlight w:val="white"/>
          <w:lang w:val="en-GB"/>
        </w:rPr>
        <w:t xml:space="preserve"> is a clinically relevant category of conditions that presents complicated diagnostic, therapeutic, and social problems in the ICD-11 code. The report reported that ICD-11 is a valuable categorical framework that provides diagnostic limits but faces overlap with behavioural addictions and neurodivergent presentations, making it difficult to assess and refer to services. Treatment is evidenced to be more consistent with structured psychological interventions, specifically CBT and relapse-prevention, compared to pharmacotherapy, which is always heterogeneous and often off-label. Multidisciplinary, community-based support is required to provide rehabilitation and long-term management; however, variable commissioning, lengthy waits to specialist services, and health/social care gaps hamper the provision of such services in the UK. The continued discussion of terms, re-classification and relationship with neurodiversity has a direct impact on stigma, employment rights and access to reasonable adjustments. Research in the future ought to focus on large pragmatic studies, routine outcomes, and longitudinal research, and reforms in policy and long-term funding are required to standardise these pathways, increase community capacities and provide equitable and evidence-based care.</w:t>
      </w:r>
    </w:p>
    <w:p w14:paraId="4C0F8410" w14:textId="77777777" w:rsidR="002830BC" w:rsidRPr="00610621" w:rsidRDefault="00137F87" w:rsidP="00610621">
      <w:pPr>
        <w:spacing w:line="360" w:lineRule="auto"/>
        <w:jc w:val="both"/>
        <w:rPr>
          <w:rFonts w:eastAsia="Times New Roman"/>
          <w:b/>
          <w:lang w:val="en-GB"/>
        </w:rPr>
      </w:pPr>
      <w:r w:rsidRPr="00610621">
        <w:rPr>
          <w:lang w:val="en-GB"/>
        </w:rPr>
        <w:br w:type="page"/>
      </w:r>
    </w:p>
    <w:p w14:paraId="0A4A2DE3" w14:textId="77777777" w:rsidR="002830BC" w:rsidRPr="00610621" w:rsidRDefault="00137F87" w:rsidP="00610621">
      <w:pPr>
        <w:pStyle w:val="Heading1"/>
        <w:rPr>
          <w:sz w:val="22"/>
          <w:szCs w:val="22"/>
          <w:lang w:val="en-GB"/>
        </w:rPr>
      </w:pPr>
      <w:bookmarkStart w:id="26" w:name="_Toc212638659"/>
      <w:r w:rsidRPr="00610621">
        <w:rPr>
          <w:sz w:val="22"/>
          <w:szCs w:val="22"/>
          <w:lang w:val="en-GB"/>
        </w:rPr>
        <w:lastRenderedPageBreak/>
        <w:t>Reference List</w:t>
      </w:r>
      <w:bookmarkEnd w:id="26"/>
    </w:p>
    <w:p w14:paraId="5ACF094C" w14:textId="057D98DF"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Ahmadi, A., Noetel, M., Parker, P., Ryan, R.M., Ntoumanis, N., Reeve, J., Beauchamp, M., Dicke, T., Yeung, A., Ahmadi, M. and Bartholomew, K. (2023). A classification system for teachers' motivational behaviours is recommended in self-determination theory interventions. </w:t>
      </w:r>
      <w:r w:rsidRPr="00610621">
        <w:rPr>
          <w:rFonts w:eastAsia="Times New Roman"/>
          <w:i/>
          <w:color w:val="222222"/>
          <w:highlight w:val="white"/>
          <w:lang w:val="en-GB"/>
        </w:rPr>
        <w:t>Journal of Educational Psychology</w:t>
      </w:r>
      <w:r w:rsidRPr="00610621">
        <w:rPr>
          <w:rFonts w:eastAsia="Times New Roman"/>
          <w:color w:val="222222"/>
          <w:highlight w:val="white"/>
          <w:lang w:val="en-GB"/>
        </w:rPr>
        <w:t xml:space="preserve">, </w:t>
      </w:r>
      <w:r w:rsidRPr="00610621">
        <w:rPr>
          <w:rFonts w:eastAsia="Times New Roman"/>
          <w:i/>
          <w:color w:val="222222"/>
          <w:highlight w:val="white"/>
          <w:lang w:val="en-GB"/>
        </w:rPr>
        <w:t>115</w:t>
      </w:r>
      <w:r w:rsidRPr="00610621">
        <w:rPr>
          <w:rFonts w:eastAsia="Times New Roman"/>
          <w:color w:val="222222"/>
          <w:highlight w:val="white"/>
          <w:lang w:val="en-GB"/>
        </w:rPr>
        <w:t xml:space="preserve">(8), pp.11-58.  Available at: </w:t>
      </w:r>
      <w:hyperlink r:id="rId13" w:history="1">
        <w:r w:rsidR="000E71FE" w:rsidRPr="00610621">
          <w:rPr>
            <w:rStyle w:val="Hyperlink"/>
            <w:rFonts w:eastAsia="Times New Roman"/>
            <w:highlight w:val="white"/>
            <w:lang w:val="en-GB"/>
          </w:rPr>
          <w:t>https://psycnet.apa.org/record/2023-72662-001</w:t>
        </w:r>
      </w:hyperlink>
      <w:r w:rsidR="000E71FE" w:rsidRPr="00610621">
        <w:rPr>
          <w:rFonts w:eastAsia="Times New Roman"/>
          <w:color w:val="222222"/>
          <w:highlight w:val="white"/>
          <w:lang w:val="en-GB"/>
        </w:rPr>
        <w:t>. (</w:t>
      </w:r>
      <w:r w:rsidRPr="00610621">
        <w:rPr>
          <w:rFonts w:eastAsia="Times New Roman"/>
          <w:color w:val="222222"/>
          <w:highlight w:val="white"/>
          <w:lang w:val="en-GB"/>
        </w:rPr>
        <w:t>Accessed on: 29 O</w:t>
      </w:r>
      <w:r w:rsidR="00F610E0" w:rsidRPr="00610621">
        <w:rPr>
          <w:rFonts w:eastAsia="Times New Roman"/>
          <w:color w:val="222222"/>
          <w:highlight w:val="white"/>
          <w:lang w:val="en-GB"/>
        </w:rPr>
        <w:t>ctober</w:t>
      </w:r>
      <w:r w:rsidRPr="00610621">
        <w:rPr>
          <w:rFonts w:eastAsia="Times New Roman"/>
          <w:color w:val="222222"/>
          <w:highlight w:val="white"/>
          <w:lang w:val="en-GB"/>
        </w:rPr>
        <w:t xml:space="preserve"> 2025</w:t>
      </w:r>
      <w:r w:rsidR="00F610E0" w:rsidRPr="00610621">
        <w:rPr>
          <w:rFonts w:eastAsia="Times New Roman"/>
          <w:color w:val="222222"/>
          <w:highlight w:val="white"/>
          <w:lang w:val="en-GB"/>
        </w:rPr>
        <w:t>).</w:t>
      </w:r>
    </w:p>
    <w:p w14:paraId="53A48C6A" w14:textId="194B5C07"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Benson, N. and Oakland, T. (2021). International classification of functioning, disability, and health: Implications for school psychologists. </w:t>
      </w:r>
      <w:r w:rsidRPr="00610621">
        <w:rPr>
          <w:rFonts w:eastAsia="Times New Roman"/>
          <w:i/>
          <w:color w:val="222222"/>
          <w:highlight w:val="white"/>
          <w:lang w:val="en-GB"/>
        </w:rPr>
        <w:t>Canadian Journal of School Psychology</w:t>
      </w:r>
      <w:r w:rsidRPr="00610621">
        <w:rPr>
          <w:rFonts w:eastAsia="Times New Roman"/>
          <w:color w:val="222222"/>
          <w:highlight w:val="white"/>
          <w:lang w:val="en-GB"/>
        </w:rPr>
        <w:t xml:space="preserve">, </w:t>
      </w:r>
      <w:r w:rsidRPr="00610621">
        <w:rPr>
          <w:rFonts w:eastAsia="Times New Roman"/>
          <w:i/>
          <w:color w:val="222222"/>
          <w:highlight w:val="white"/>
          <w:lang w:val="en-GB"/>
        </w:rPr>
        <w:t>26</w:t>
      </w:r>
      <w:r w:rsidRPr="00610621">
        <w:rPr>
          <w:rFonts w:eastAsia="Times New Roman"/>
          <w:color w:val="222222"/>
          <w:highlight w:val="white"/>
          <w:lang w:val="en-GB"/>
        </w:rPr>
        <w:t xml:space="preserve">(1), pp.3-17.  Available at: </w:t>
      </w:r>
      <w:hyperlink r:id="rId14" w:history="1">
        <w:r w:rsidR="006066B5" w:rsidRPr="00610621">
          <w:rPr>
            <w:rStyle w:val="Hyperlink"/>
            <w:rFonts w:eastAsia="Times New Roman"/>
            <w:highlight w:val="white"/>
            <w:lang w:val="en-GB"/>
          </w:rPr>
          <w:t>https://journals.sagepub.com/doi/abs/10.1177/0829573510396982</w:t>
        </w:r>
      </w:hyperlink>
      <w:r w:rsidR="006066B5" w:rsidRPr="00610621">
        <w:rPr>
          <w:rFonts w:eastAsia="Times New Roman"/>
          <w:color w:val="222222"/>
          <w:highlight w:val="white"/>
          <w:lang w:val="en-GB"/>
        </w:rPr>
        <w:t>. (</w:t>
      </w:r>
      <w:r w:rsidRPr="00610621">
        <w:rPr>
          <w:rFonts w:eastAsia="Times New Roman"/>
          <w:color w:val="222222"/>
          <w:highlight w:val="white"/>
          <w:lang w:val="en-GB"/>
        </w:rPr>
        <w:t>Accessed on: 29 Oct</w:t>
      </w:r>
      <w:r w:rsidR="006066B5" w:rsidRPr="00610621">
        <w:rPr>
          <w:rFonts w:eastAsia="Times New Roman"/>
          <w:color w:val="222222"/>
          <w:highlight w:val="white"/>
          <w:lang w:val="en-GB"/>
        </w:rPr>
        <w:t>ober</w:t>
      </w:r>
      <w:r w:rsidRPr="00610621">
        <w:rPr>
          <w:rFonts w:eastAsia="Times New Roman"/>
          <w:color w:val="222222"/>
          <w:highlight w:val="white"/>
          <w:lang w:val="en-GB"/>
        </w:rPr>
        <w:t xml:space="preserve"> 2025</w:t>
      </w:r>
      <w:r w:rsidR="006066B5" w:rsidRPr="00610621">
        <w:rPr>
          <w:rFonts w:eastAsia="Times New Roman"/>
          <w:color w:val="222222"/>
          <w:highlight w:val="white"/>
          <w:lang w:val="en-GB"/>
        </w:rPr>
        <w:t>).</w:t>
      </w:r>
    </w:p>
    <w:p w14:paraId="6AAB963F" w14:textId="55F99B4C"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Eaton, N.R., Bringmann, L.F., Elmer, T., Fried, E.I., Forbes, M.K., Greene, A.L., Krueger, R.F., Kotov, R., McGorry, P.D., Mei, C. and Waszczuk, M.A. (2023). A review of approaches and models in psychopathology conceptualisation research. </w:t>
      </w:r>
      <w:r w:rsidRPr="00610621">
        <w:rPr>
          <w:rFonts w:eastAsia="Times New Roman"/>
          <w:i/>
          <w:color w:val="222222"/>
          <w:highlight w:val="white"/>
          <w:lang w:val="en-GB"/>
        </w:rPr>
        <w:t>Nature Reviews Psychology</w:t>
      </w:r>
      <w:r w:rsidRPr="00610621">
        <w:rPr>
          <w:rFonts w:eastAsia="Times New Roman"/>
          <w:color w:val="222222"/>
          <w:highlight w:val="white"/>
          <w:lang w:val="en-GB"/>
        </w:rPr>
        <w:t xml:space="preserve">, </w:t>
      </w:r>
      <w:r w:rsidRPr="00610621">
        <w:rPr>
          <w:rFonts w:eastAsia="Times New Roman"/>
          <w:i/>
          <w:color w:val="222222"/>
          <w:highlight w:val="white"/>
          <w:lang w:val="en-GB"/>
        </w:rPr>
        <w:t>2</w:t>
      </w:r>
      <w:r w:rsidRPr="00610621">
        <w:rPr>
          <w:rFonts w:eastAsia="Times New Roman"/>
          <w:color w:val="222222"/>
          <w:highlight w:val="white"/>
          <w:lang w:val="en-GB"/>
        </w:rPr>
        <w:t xml:space="preserve">(10), pp.622-636.  Available at: </w:t>
      </w:r>
      <w:hyperlink r:id="rId15" w:history="1">
        <w:r w:rsidR="00A5687B" w:rsidRPr="00610621">
          <w:rPr>
            <w:rStyle w:val="Hyperlink"/>
            <w:rFonts w:eastAsia="Times New Roman"/>
            <w:highlight w:val="white"/>
            <w:lang w:val="en-GB"/>
          </w:rPr>
          <w:t>https://www.nature.com/articles/s44159-023-00218-4</w:t>
        </w:r>
      </w:hyperlink>
      <w:r w:rsidR="00A5687B" w:rsidRPr="00610621">
        <w:rPr>
          <w:rFonts w:eastAsia="Times New Roman"/>
          <w:color w:val="222222"/>
          <w:highlight w:val="white"/>
          <w:lang w:val="en-GB"/>
        </w:rPr>
        <w:t>. (</w:t>
      </w:r>
      <w:r w:rsidRPr="00610621">
        <w:rPr>
          <w:rFonts w:eastAsia="Times New Roman"/>
          <w:color w:val="222222"/>
          <w:highlight w:val="white"/>
          <w:lang w:val="en-GB"/>
        </w:rPr>
        <w:t>Accessed on: 29 Oct</w:t>
      </w:r>
      <w:r w:rsidR="002722AD" w:rsidRPr="00610621">
        <w:rPr>
          <w:rFonts w:eastAsia="Times New Roman"/>
          <w:color w:val="222222"/>
          <w:highlight w:val="white"/>
          <w:lang w:val="en-GB"/>
        </w:rPr>
        <w:t>ober</w:t>
      </w:r>
      <w:r w:rsidRPr="00610621">
        <w:rPr>
          <w:rFonts w:eastAsia="Times New Roman"/>
          <w:color w:val="222222"/>
          <w:highlight w:val="white"/>
          <w:lang w:val="en-GB"/>
        </w:rPr>
        <w:t xml:space="preserve"> 2025</w:t>
      </w:r>
      <w:r w:rsidR="002722AD" w:rsidRPr="00610621">
        <w:rPr>
          <w:rFonts w:eastAsia="Times New Roman"/>
          <w:color w:val="222222"/>
          <w:highlight w:val="white"/>
          <w:lang w:val="en-GB"/>
        </w:rPr>
        <w:t>).</w:t>
      </w:r>
    </w:p>
    <w:p w14:paraId="53AFE3A0" w14:textId="44F17EF8" w:rsidR="005F572A" w:rsidRPr="00610621" w:rsidRDefault="005F572A" w:rsidP="00610621">
      <w:pPr>
        <w:spacing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Emoneeds. (2024). </w:t>
      </w:r>
      <w:r w:rsidRPr="00610621">
        <w:rPr>
          <w:rFonts w:eastAsia="Times New Roman"/>
          <w:i/>
          <w:color w:val="222222"/>
          <w:highlight w:val="white"/>
          <w:lang w:val="en-GB"/>
        </w:rPr>
        <w:t>Emoneeds - Mental Hospital In Gurgaon | Depression | Schizophrenia &amp; Bipolar Disorder Treatment In Gurgaon</w:t>
      </w:r>
      <w:r w:rsidRPr="00610621">
        <w:rPr>
          <w:rFonts w:eastAsia="Times New Roman"/>
          <w:color w:val="222222"/>
          <w:highlight w:val="white"/>
          <w:lang w:val="en-GB"/>
        </w:rPr>
        <w:t xml:space="preserve">. [online] Available at: </w:t>
      </w:r>
      <w:hyperlink r:id="rId16" w:history="1">
        <w:r w:rsidR="002722AD" w:rsidRPr="00610621">
          <w:rPr>
            <w:rStyle w:val="Hyperlink"/>
            <w:rFonts w:eastAsia="Times New Roman"/>
            <w:highlight w:val="white"/>
            <w:lang w:val="en-GB"/>
          </w:rPr>
          <w:t>https://www.emoneeds.com/impulse-control-disorder/</w:t>
        </w:r>
      </w:hyperlink>
      <w:r w:rsidRPr="00610621">
        <w:rPr>
          <w:rFonts w:eastAsia="Times New Roman"/>
          <w:color w:val="222222"/>
          <w:highlight w:val="white"/>
          <w:lang w:val="en-GB"/>
        </w:rPr>
        <w:t>.</w:t>
      </w:r>
      <w:r w:rsidR="002722AD" w:rsidRPr="00610621">
        <w:rPr>
          <w:rFonts w:eastAsia="Times New Roman"/>
          <w:color w:val="222222"/>
          <w:highlight w:val="white"/>
          <w:lang w:val="en-GB"/>
        </w:rPr>
        <w:t xml:space="preserve"> (</w:t>
      </w:r>
      <w:r w:rsidRPr="00610621">
        <w:rPr>
          <w:rFonts w:eastAsia="Times New Roman"/>
          <w:color w:val="222222"/>
          <w:highlight w:val="white"/>
          <w:lang w:val="en-GB"/>
        </w:rPr>
        <w:t xml:space="preserve">Accessed on: </w:t>
      </w:r>
      <w:r w:rsidR="00042FB5" w:rsidRPr="00610621">
        <w:rPr>
          <w:rFonts w:eastAsia="Times New Roman"/>
          <w:color w:val="222222"/>
          <w:highlight w:val="white"/>
          <w:lang w:val="en-GB"/>
        </w:rPr>
        <w:t>30</w:t>
      </w:r>
      <w:r w:rsidRPr="00610621">
        <w:rPr>
          <w:rFonts w:eastAsia="Times New Roman"/>
          <w:color w:val="222222"/>
          <w:highlight w:val="white"/>
          <w:lang w:val="en-GB"/>
        </w:rPr>
        <w:t xml:space="preserve"> Oct</w:t>
      </w:r>
      <w:r w:rsidR="002722AD" w:rsidRPr="00610621">
        <w:rPr>
          <w:rFonts w:eastAsia="Times New Roman"/>
          <w:color w:val="222222"/>
          <w:highlight w:val="white"/>
          <w:lang w:val="en-GB"/>
        </w:rPr>
        <w:t xml:space="preserve">ober </w:t>
      </w:r>
      <w:r w:rsidRPr="00610621">
        <w:rPr>
          <w:rFonts w:eastAsia="Times New Roman"/>
          <w:color w:val="222222"/>
          <w:highlight w:val="white"/>
          <w:lang w:val="en-GB"/>
        </w:rPr>
        <w:t>2025</w:t>
      </w:r>
      <w:r w:rsidR="002722AD" w:rsidRPr="00610621">
        <w:rPr>
          <w:rFonts w:eastAsia="Times New Roman"/>
          <w:color w:val="222222"/>
          <w:highlight w:val="white"/>
          <w:lang w:val="en-GB"/>
        </w:rPr>
        <w:t>).</w:t>
      </w:r>
    </w:p>
    <w:p w14:paraId="1DBC4AD1" w14:textId="74948592"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Fernandez, E., Woldgabreal, Y., Day, A., Pham, T., Gleich, B. and Aboujaoude, E. (2021). Live psychotherapy by video versus in</w:t>
      </w:r>
      <w:r w:rsidRPr="00610621">
        <w:rPr>
          <w:rFonts w:ascii="Cambria Math" w:eastAsia="Times New Roman" w:hAnsi="Cambria Math" w:cs="Cambria Math"/>
          <w:color w:val="222222"/>
          <w:highlight w:val="white"/>
          <w:lang w:val="en-GB"/>
        </w:rPr>
        <w:t>‐</w:t>
      </w:r>
      <w:r w:rsidRPr="00610621">
        <w:rPr>
          <w:rFonts w:eastAsia="Times New Roman"/>
          <w:color w:val="222222"/>
          <w:highlight w:val="white"/>
          <w:lang w:val="en-GB"/>
        </w:rPr>
        <w:t>person: A meta</w:t>
      </w:r>
      <w:r w:rsidRPr="00610621">
        <w:rPr>
          <w:rFonts w:ascii="Cambria Math" w:eastAsia="Times New Roman" w:hAnsi="Cambria Math" w:cs="Cambria Math"/>
          <w:color w:val="222222"/>
          <w:highlight w:val="white"/>
          <w:lang w:val="en-GB"/>
        </w:rPr>
        <w:t>‐</w:t>
      </w:r>
      <w:r w:rsidRPr="00610621">
        <w:rPr>
          <w:rFonts w:eastAsia="Times New Roman"/>
          <w:color w:val="222222"/>
          <w:highlight w:val="white"/>
          <w:lang w:val="en-GB"/>
        </w:rPr>
        <w:t xml:space="preserve">analysis of efficacy and its relationship to types and targets of treatment. </w:t>
      </w:r>
      <w:r w:rsidRPr="00610621">
        <w:rPr>
          <w:rFonts w:eastAsia="Times New Roman"/>
          <w:i/>
          <w:color w:val="222222"/>
          <w:highlight w:val="white"/>
          <w:lang w:val="en-GB"/>
        </w:rPr>
        <w:t>Clinical Psychology &amp; Psychotherapy</w:t>
      </w:r>
      <w:r w:rsidRPr="00610621">
        <w:rPr>
          <w:rFonts w:eastAsia="Times New Roman"/>
          <w:color w:val="222222"/>
          <w:highlight w:val="white"/>
          <w:lang w:val="en-GB"/>
        </w:rPr>
        <w:t xml:space="preserve">, </w:t>
      </w:r>
      <w:r w:rsidRPr="00610621">
        <w:rPr>
          <w:rFonts w:eastAsia="Times New Roman"/>
          <w:i/>
          <w:color w:val="222222"/>
          <w:highlight w:val="white"/>
          <w:lang w:val="en-GB"/>
        </w:rPr>
        <w:t>28</w:t>
      </w:r>
      <w:r w:rsidRPr="00610621">
        <w:rPr>
          <w:rFonts w:eastAsia="Times New Roman"/>
          <w:color w:val="222222"/>
          <w:highlight w:val="white"/>
          <w:lang w:val="en-GB"/>
        </w:rPr>
        <w:t xml:space="preserve">(6), pp.1535-1549.  Available at: </w:t>
      </w:r>
      <w:hyperlink r:id="rId17" w:history="1">
        <w:r w:rsidR="005215E0" w:rsidRPr="00610621">
          <w:rPr>
            <w:rStyle w:val="Hyperlink"/>
            <w:rFonts w:eastAsia="Times New Roman"/>
            <w:highlight w:val="white"/>
            <w:lang w:val="en-GB"/>
          </w:rPr>
          <w:t>https://onlinelibrary.wiley.com/doi/abs/10.1002/cpp.2594</w:t>
        </w:r>
      </w:hyperlink>
      <w:r w:rsidR="005215E0" w:rsidRPr="00610621">
        <w:rPr>
          <w:rFonts w:eastAsia="Times New Roman"/>
          <w:color w:val="222222"/>
          <w:highlight w:val="white"/>
          <w:lang w:val="en-GB"/>
        </w:rPr>
        <w:t>. (</w:t>
      </w:r>
      <w:r w:rsidRPr="00610621">
        <w:rPr>
          <w:rFonts w:eastAsia="Times New Roman"/>
          <w:color w:val="222222"/>
          <w:highlight w:val="white"/>
          <w:lang w:val="en-GB"/>
        </w:rPr>
        <w:t xml:space="preserve">Accessed </w:t>
      </w:r>
      <w:r w:rsidR="006821A3" w:rsidRPr="00610621">
        <w:rPr>
          <w:rFonts w:eastAsia="Times New Roman"/>
          <w:color w:val="222222"/>
          <w:highlight w:val="white"/>
          <w:lang w:val="en-GB"/>
        </w:rPr>
        <w:t>on</w:t>
      </w:r>
      <w:r w:rsidR="00DA645B" w:rsidRPr="00610621">
        <w:rPr>
          <w:rFonts w:eastAsia="Times New Roman"/>
          <w:color w:val="222222"/>
          <w:highlight w:val="white"/>
          <w:lang w:val="en-GB"/>
        </w:rPr>
        <w:t>: 30 October</w:t>
      </w:r>
      <w:r w:rsidRPr="00610621">
        <w:rPr>
          <w:rFonts w:eastAsia="Times New Roman"/>
          <w:color w:val="222222"/>
          <w:highlight w:val="white"/>
          <w:lang w:val="en-GB"/>
        </w:rPr>
        <w:t xml:space="preserve"> 2025</w:t>
      </w:r>
      <w:r w:rsidR="005215E0" w:rsidRPr="00610621">
        <w:rPr>
          <w:rFonts w:eastAsia="Times New Roman"/>
          <w:color w:val="222222"/>
          <w:highlight w:val="white"/>
          <w:lang w:val="en-GB"/>
        </w:rPr>
        <w:t>)</w:t>
      </w:r>
      <w:r w:rsidR="00042FB5" w:rsidRPr="00610621">
        <w:rPr>
          <w:rFonts w:eastAsia="Times New Roman"/>
          <w:color w:val="222222"/>
          <w:highlight w:val="white"/>
          <w:lang w:val="en-GB"/>
        </w:rPr>
        <w:t>.</w:t>
      </w:r>
    </w:p>
    <w:p w14:paraId="5B8EF7A9" w14:textId="3E8F949D"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Fuss, J., Keeley, J.W., Stein, D.J., Rebello, T.J., García, J.Á., Briken, P., Robles, R., Matsumoto, C., Abé, C., Billieux, J. and Grant, J.E. (2024). Mental health professionals' use of the ICD-11 classification of impulse control disorders and behavioural addictions: An international field study. </w:t>
      </w:r>
      <w:r w:rsidRPr="00610621">
        <w:rPr>
          <w:rFonts w:eastAsia="Times New Roman"/>
          <w:i/>
          <w:color w:val="222222"/>
          <w:highlight w:val="white"/>
          <w:lang w:val="en-GB"/>
        </w:rPr>
        <w:t>Journal of Behavioural Addictions</w:t>
      </w:r>
      <w:r w:rsidRPr="00610621">
        <w:rPr>
          <w:rFonts w:eastAsia="Times New Roman"/>
          <w:color w:val="222222"/>
          <w:highlight w:val="white"/>
          <w:lang w:val="en-GB"/>
        </w:rPr>
        <w:t xml:space="preserve">, </w:t>
      </w:r>
      <w:r w:rsidRPr="00610621">
        <w:rPr>
          <w:rFonts w:eastAsia="Times New Roman"/>
          <w:i/>
          <w:color w:val="222222"/>
          <w:highlight w:val="white"/>
          <w:lang w:val="en-GB"/>
        </w:rPr>
        <w:t>13</w:t>
      </w:r>
      <w:r w:rsidRPr="00610621">
        <w:rPr>
          <w:rFonts w:eastAsia="Times New Roman"/>
          <w:color w:val="222222"/>
          <w:highlight w:val="white"/>
          <w:lang w:val="en-GB"/>
        </w:rPr>
        <w:t xml:space="preserve">(1), pp.276-292.  Available at: </w:t>
      </w:r>
      <w:hyperlink r:id="rId18" w:history="1">
        <w:r w:rsidR="009E597A" w:rsidRPr="00610621">
          <w:rPr>
            <w:rStyle w:val="Hyperlink"/>
            <w:rFonts w:eastAsia="Times New Roman"/>
            <w:highlight w:val="white"/>
            <w:lang w:val="en-GB"/>
          </w:rPr>
          <w:t>https://akjournals.com/view/journals/2006/aop/article-10.1556-2006.2023.00083/</w:t>
        </w:r>
      </w:hyperlink>
      <w:r w:rsidR="009E597A" w:rsidRPr="00610621">
        <w:rPr>
          <w:rFonts w:eastAsia="Times New Roman"/>
          <w:color w:val="222222"/>
          <w:highlight w:val="white"/>
          <w:lang w:val="en-GB"/>
        </w:rPr>
        <w:t>.</w:t>
      </w:r>
      <w:r w:rsidR="00265579" w:rsidRPr="00610621">
        <w:rPr>
          <w:rFonts w:eastAsia="Times New Roman"/>
          <w:color w:val="222222"/>
          <w:highlight w:val="white"/>
          <w:lang w:val="en-GB"/>
        </w:rPr>
        <w:t xml:space="preserve"> (</w:t>
      </w:r>
      <w:r w:rsidRPr="00610621">
        <w:rPr>
          <w:rFonts w:eastAsia="Times New Roman"/>
          <w:color w:val="222222"/>
          <w:highlight w:val="white"/>
          <w:lang w:val="en-GB"/>
        </w:rPr>
        <w:t xml:space="preserve">Accessed on: </w:t>
      </w:r>
      <w:r w:rsidR="00736A80" w:rsidRPr="00610621">
        <w:rPr>
          <w:rFonts w:eastAsia="Times New Roman"/>
          <w:color w:val="222222"/>
          <w:highlight w:val="white"/>
          <w:lang w:val="en-GB"/>
        </w:rPr>
        <w:t>02 November</w:t>
      </w:r>
      <w:r w:rsidR="00265579" w:rsidRPr="00610621">
        <w:rPr>
          <w:rFonts w:eastAsia="Times New Roman"/>
          <w:color w:val="222222"/>
          <w:highlight w:val="white"/>
          <w:lang w:val="en-GB"/>
        </w:rPr>
        <w:t xml:space="preserve"> </w:t>
      </w:r>
      <w:r w:rsidRPr="00610621">
        <w:rPr>
          <w:rFonts w:eastAsia="Times New Roman"/>
          <w:color w:val="222222"/>
          <w:highlight w:val="white"/>
          <w:lang w:val="en-GB"/>
        </w:rPr>
        <w:t>2025</w:t>
      </w:r>
      <w:r w:rsidR="00265579" w:rsidRPr="00610621">
        <w:rPr>
          <w:rFonts w:eastAsia="Times New Roman"/>
          <w:color w:val="222222"/>
          <w:highlight w:val="white"/>
          <w:lang w:val="en-GB"/>
        </w:rPr>
        <w:t>).</w:t>
      </w:r>
    </w:p>
    <w:p w14:paraId="16BFF007" w14:textId="7E20F455"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Guay, F. (2022). Applying self-determination theory to education: Regulation types, psychological needs, and autonomy supporting behaviours. </w:t>
      </w:r>
      <w:r w:rsidRPr="00610621">
        <w:rPr>
          <w:rFonts w:eastAsia="Times New Roman"/>
          <w:i/>
          <w:color w:val="222222"/>
          <w:highlight w:val="white"/>
          <w:lang w:val="en-GB"/>
        </w:rPr>
        <w:t>Canadian Journal of School Psychology</w:t>
      </w:r>
      <w:r w:rsidRPr="00610621">
        <w:rPr>
          <w:rFonts w:eastAsia="Times New Roman"/>
          <w:color w:val="222222"/>
          <w:highlight w:val="white"/>
          <w:lang w:val="en-GB"/>
        </w:rPr>
        <w:t xml:space="preserve">, </w:t>
      </w:r>
      <w:r w:rsidRPr="00610621">
        <w:rPr>
          <w:rFonts w:eastAsia="Times New Roman"/>
          <w:i/>
          <w:color w:val="222222"/>
          <w:highlight w:val="white"/>
          <w:lang w:val="en-GB"/>
        </w:rPr>
        <w:t>37</w:t>
      </w:r>
      <w:r w:rsidRPr="00610621">
        <w:rPr>
          <w:rFonts w:eastAsia="Times New Roman"/>
          <w:color w:val="222222"/>
          <w:highlight w:val="white"/>
          <w:lang w:val="en-GB"/>
        </w:rPr>
        <w:t xml:space="preserve">(1), </w:t>
      </w:r>
      <w:r w:rsidRPr="00610621">
        <w:rPr>
          <w:rFonts w:eastAsia="Times New Roman"/>
          <w:color w:val="222222"/>
          <w:highlight w:val="white"/>
          <w:lang w:val="en-GB"/>
        </w:rPr>
        <w:lastRenderedPageBreak/>
        <w:t xml:space="preserve">pp.75-92.  Available at: </w:t>
      </w:r>
      <w:hyperlink r:id="rId19" w:history="1">
        <w:r w:rsidR="004A5DA7" w:rsidRPr="00610621">
          <w:rPr>
            <w:rStyle w:val="Hyperlink"/>
            <w:rFonts w:eastAsia="Times New Roman"/>
            <w:highlight w:val="white"/>
            <w:lang w:val="en-GB"/>
          </w:rPr>
          <w:t>https://journals.sagepub.com/doi/abs/10.1177/08295735211055355</w:t>
        </w:r>
      </w:hyperlink>
      <w:r w:rsidR="004A5DA7"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E54D78" w:rsidRPr="00610621">
        <w:rPr>
          <w:rFonts w:eastAsia="Times New Roman"/>
          <w:color w:val="222222"/>
          <w:highlight w:val="white"/>
          <w:lang w:val="en-GB"/>
        </w:rPr>
        <w:t>02 November 2025</w:t>
      </w:r>
      <w:r w:rsidR="007230D5" w:rsidRPr="00610621">
        <w:rPr>
          <w:rFonts w:eastAsia="Times New Roman"/>
          <w:color w:val="222222"/>
          <w:highlight w:val="white"/>
          <w:lang w:val="en-GB"/>
        </w:rPr>
        <w:t>).</w:t>
      </w:r>
    </w:p>
    <w:p w14:paraId="5C680A04" w14:textId="6C983D33"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Hayes, S.C. and Hofmann, S.G. (2021). “Third</w:t>
      </w:r>
      <w:r w:rsidRPr="00610621">
        <w:rPr>
          <w:rFonts w:ascii="Cambria Math" w:eastAsia="Times New Roman" w:hAnsi="Cambria Math" w:cs="Cambria Math"/>
          <w:color w:val="222222"/>
          <w:highlight w:val="white"/>
          <w:lang w:val="en-GB"/>
        </w:rPr>
        <w:t>‐</w:t>
      </w:r>
      <w:r w:rsidRPr="00610621">
        <w:rPr>
          <w:rFonts w:eastAsia="Times New Roman"/>
          <w:color w:val="222222"/>
          <w:highlight w:val="white"/>
          <w:lang w:val="en-GB"/>
        </w:rPr>
        <w:t>wave” cognitive and behavioural therapies and the emergence of a process</w:t>
      </w:r>
      <w:r w:rsidRPr="00610621">
        <w:rPr>
          <w:rFonts w:ascii="Cambria Math" w:eastAsia="Times New Roman" w:hAnsi="Cambria Math" w:cs="Cambria Math"/>
          <w:color w:val="222222"/>
          <w:highlight w:val="white"/>
          <w:lang w:val="en-GB"/>
        </w:rPr>
        <w:t>‐</w:t>
      </w:r>
      <w:r w:rsidRPr="00610621">
        <w:rPr>
          <w:rFonts w:eastAsia="Times New Roman"/>
          <w:color w:val="222222"/>
          <w:highlight w:val="white"/>
          <w:lang w:val="en-GB"/>
        </w:rPr>
        <w:t xml:space="preserve">based approach to intervention in psychiatry. </w:t>
      </w:r>
      <w:r w:rsidRPr="00610621">
        <w:rPr>
          <w:rFonts w:eastAsia="Times New Roman"/>
          <w:i/>
          <w:color w:val="222222"/>
          <w:highlight w:val="white"/>
          <w:lang w:val="en-GB"/>
        </w:rPr>
        <w:t>World psychiatry</w:t>
      </w:r>
      <w:r w:rsidRPr="00610621">
        <w:rPr>
          <w:rFonts w:eastAsia="Times New Roman"/>
          <w:color w:val="222222"/>
          <w:highlight w:val="white"/>
          <w:lang w:val="en-GB"/>
        </w:rPr>
        <w:t xml:space="preserve">, </w:t>
      </w:r>
      <w:r w:rsidRPr="00610621">
        <w:rPr>
          <w:rFonts w:eastAsia="Times New Roman"/>
          <w:i/>
          <w:color w:val="222222"/>
          <w:highlight w:val="white"/>
          <w:lang w:val="en-GB"/>
        </w:rPr>
        <w:t>20</w:t>
      </w:r>
      <w:r w:rsidRPr="00610621">
        <w:rPr>
          <w:rFonts w:eastAsia="Times New Roman"/>
          <w:color w:val="222222"/>
          <w:highlight w:val="white"/>
          <w:lang w:val="en-GB"/>
        </w:rPr>
        <w:t xml:space="preserve">(3), pp.363-375.  Available at: </w:t>
      </w:r>
      <w:hyperlink r:id="rId20" w:history="1">
        <w:r w:rsidR="00FF5FD3" w:rsidRPr="00610621">
          <w:rPr>
            <w:rStyle w:val="Hyperlink"/>
            <w:rFonts w:eastAsia="Times New Roman"/>
            <w:highlight w:val="white"/>
            <w:lang w:val="en-GB"/>
          </w:rPr>
          <w:t>https://onlinelibrary.wiley.com/doi/abs/10.1002/wps.20884</w:t>
        </w:r>
      </w:hyperlink>
      <w:r w:rsidR="00FF5FD3"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B907DF" w:rsidRPr="00610621">
        <w:rPr>
          <w:rFonts w:eastAsia="Times New Roman"/>
          <w:color w:val="222222"/>
          <w:highlight w:val="white"/>
          <w:lang w:val="en-GB"/>
        </w:rPr>
        <w:t>06 November</w:t>
      </w:r>
      <w:r w:rsidRPr="00610621">
        <w:rPr>
          <w:rFonts w:eastAsia="Times New Roman"/>
          <w:color w:val="222222"/>
          <w:highlight w:val="white"/>
          <w:lang w:val="en-GB"/>
        </w:rPr>
        <w:t xml:space="preserve"> 2025</w:t>
      </w:r>
      <w:r w:rsidR="00E15666" w:rsidRPr="00610621">
        <w:rPr>
          <w:rFonts w:eastAsia="Times New Roman"/>
          <w:color w:val="222222"/>
          <w:highlight w:val="white"/>
          <w:lang w:val="en-GB"/>
        </w:rPr>
        <w:t>).</w:t>
      </w:r>
    </w:p>
    <w:p w14:paraId="1E55349D" w14:textId="64C27C67"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Hogg, B., Gardos-Souto, I., Valiente-Gómez, A., Rosa, A.R., Fortea, L., Radua, J., Amann, B.L. and Moreno-Alcázar, A. (2023). Psychological trauma as a transdiagnostic risk factor for mental disorders: an umbrella meta-analysis. </w:t>
      </w:r>
      <w:r w:rsidRPr="00610621">
        <w:rPr>
          <w:rFonts w:eastAsia="Times New Roman"/>
          <w:i/>
          <w:color w:val="222222"/>
          <w:highlight w:val="white"/>
          <w:lang w:val="en-GB"/>
        </w:rPr>
        <w:t>European Archives of Psychiatry and Clinical Neuroscience</w:t>
      </w:r>
      <w:r w:rsidRPr="00610621">
        <w:rPr>
          <w:rFonts w:eastAsia="Times New Roman"/>
          <w:color w:val="222222"/>
          <w:highlight w:val="white"/>
          <w:lang w:val="en-GB"/>
        </w:rPr>
        <w:t xml:space="preserve">, </w:t>
      </w:r>
      <w:r w:rsidRPr="00610621">
        <w:rPr>
          <w:rFonts w:eastAsia="Times New Roman"/>
          <w:i/>
          <w:color w:val="222222"/>
          <w:highlight w:val="white"/>
          <w:lang w:val="en-GB"/>
        </w:rPr>
        <w:t>273</w:t>
      </w:r>
      <w:r w:rsidRPr="00610621">
        <w:rPr>
          <w:rFonts w:eastAsia="Times New Roman"/>
          <w:color w:val="222222"/>
          <w:highlight w:val="white"/>
          <w:lang w:val="en-GB"/>
        </w:rPr>
        <w:t xml:space="preserve">(2), pp.397-410.  Available at: </w:t>
      </w:r>
      <w:hyperlink r:id="rId21" w:history="1">
        <w:r w:rsidR="00240563" w:rsidRPr="00610621">
          <w:rPr>
            <w:rStyle w:val="Hyperlink"/>
            <w:rFonts w:eastAsia="Times New Roman"/>
            <w:highlight w:val="white"/>
            <w:lang w:val="en-GB"/>
          </w:rPr>
          <w:t>https://link.springer.com/article/10.1007/s00406-022-01495-5</w:t>
        </w:r>
      </w:hyperlink>
      <w:r w:rsidR="00240563" w:rsidRPr="00610621">
        <w:rPr>
          <w:rFonts w:eastAsia="Times New Roman"/>
          <w:color w:val="222222"/>
          <w:highlight w:val="white"/>
          <w:lang w:val="en-GB"/>
        </w:rPr>
        <w:t xml:space="preserve">. </w:t>
      </w:r>
      <w:r w:rsidR="00AE6991" w:rsidRPr="00610621">
        <w:rPr>
          <w:rFonts w:eastAsia="Times New Roman"/>
          <w:color w:val="222222"/>
          <w:highlight w:val="white"/>
          <w:lang w:val="en-GB"/>
        </w:rPr>
        <w:t>(</w:t>
      </w:r>
      <w:r w:rsidRPr="00610621">
        <w:rPr>
          <w:rFonts w:eastAsia="Times New Roman"/>
          <w:color w:val="222222"/>
          <w:highlight w:val="white"/>
          <w:lang w:val="en-GB"/>
        </w:rPr>
        <w:t xml:space="preserve">Accessed on: </w:t>
      </w:r>
      <w:r w:rsidR="00E42162" w:rsidRPr="00610621">
        <w:rPr>
          <w:rFonts w:eastAsia="Times New Roman"/>
          <w:color w:val="222222"/>
          <w:highlight w:val="white"/>
          <w:lang w:val="en-GB"/>
        </w:rPr>
        <w:t>09 November</w:t>
      </w:r>
      <w:r w:rsidR="007A7208" w:rsidRPr="00610621">
        <w:rPr>
          <w:rFonts w:eastAsia="Times New Roman"/>
          <w:color w:val="222222"/>
          <w:highlight w:val="white"/>
          <w:lang w:val="en-GB"/>
        </w:rPr>
        <w:t xml:space="preserve"> </w:t>
      </w:r>
      <w:r w:rsidRPr="00610621">
        <w:rPr>
          <w:rFonts w:eastAsia="Times New Roman"/>
          <w:color w:val="222222"/>
          <w:highlight w:val="white"/>
          <w:lang w:val="en-GB"/>
        </w:rPr>
        <w:t>2025</w:t>
      </w:r>
      <w:r w:rsidR="009C7AA8" w:rsidRPr="00610621">
        <w:rPr>
          <w:rFonts w:eastAsia="Times New Roman"/>
          <w:color w:val="222222"/>
          <w:highlight w:val="white"/>
          <w:lang w:val="en-GB"/>
        </w:rPr>
        <w:t>).</w:t>
      </w:r>
    </w:p>
    <w:p w14:paraId="45D039DC" w14:textId="22DD5015"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Khoury, J.D., Solari, E., Abla, O., Akkari, Y., Alaggio, R., Apperley, J.F., Bejar, R., Berti, E., Busque, L., Chan, J.K. and Chen, W. (2022). The 5th edition of the World Health Organisation classification of haematolymphoid tumours: myeloid and histiocytic/dendritic neoplasms. </w:t>
      </w:r>
      <w:r w:rsidRPr="00610621">
        <w:rPr>
          <w:rFonts w:eastAsia="Times New Roman"/>
          <w:i/>
          <w:color w:val="222222"/>
          <w:highlight w:val="white"/>
          <w:lang w:val="en-GB"/>
        </w:rPr>
        <w:t>Leukaemia</w:t>
      </w:r>
      <w:r w:rsidRPr="00610621">
        <w:rPr>
          <w:rFonts w:eastAsia="Times New Roman"/>
          <w:color w:val="222222"/>
          <w:highlight w:val="white"/>
          <w:lang w:val="en-GB"/>
        </w:rPr>
        <w:t xml:space="preserve">, </w:t>
      </w:r>
      <w:r w:rsidRPr="00610621">
        <w:rPr>
          <w:rFonts w:eastAsia="Times New Roman"/>
          <w:i/>
          <w:color w:val="222222"/>
          <w:highlight w:val="white"/>
          <w:lang w:val="en-GB"/>
        </w:rPr>
        <w:t>36</w:t>
      </w:r>
      <w:r w:rsidRPr="00610621">
        <w:rPr>
          <w:rFonts w:eastAsia="Times New Roman"/>
          <w:color w:val="222222"/>
          <w:highlight w:val="white"/>
          <w:lang w:val="en-GB"/>
        </w:rPr>
        <w:t xml:space="preserve">(7), pp.1703-1719.  Available at: </w:t>
      </w:r>
      <w:hyperlink r:id="rId22" w:history="1">
        <w:r w:rsidR="00F374A7" w:rsidRPr="00610621">
          <w:rPr>
            <w:rStyle w:val="Hyperlink"/>
            <w:rFonts w:eastAsia="Times New Roman"/>
            <w:highlight w:val="white"/>
            <w:lang w:val="en-GB"/>
          </w:rPr>
          <w:t>https://www.frontiersin.org/journals/psychiatry/articles/10.3389/fpsyt.2021.649399/full</w:t>
        </w:r>
      </w:hyperlink>
      <w:r w:rsidR="00F374A7"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7A7208" w:rsidRPr="00610621">
        <w:rPr>
          <w:rFonts w:eastAsia="Times New Roman"/>
          <w:color w:val="222222"/>
          <w:highlight w:val="white"/>
          <w:lang w:val="en-GB"/>
        </w:rPr>
        <w:t xml:space="preserve">09 November </w:t>
      </w:r>
      <w:r w:rsidRPr="00610621">
        <w:rPr>
          <w:rFonts w:eastAsia="Times New Roman"/>
          <w:color w:val="222222"/>
          <w:highlight w:val="white"/>
          <w:lang w:val="en-GB"/>
        </w:rPr>
        <w:t>2025</w:t>
      </w:r>
      <w:r w:rsidR="00C13A3A" w:rsidRPr="00610621">
        <w:rPr>
          <w:rFonts w:eastAsia="Times New Roman"/>
          <w:color w:val="222222"/>
          <w:highlight w:val="white"/>
          <w:lang w:val="en-GB"/>
        </w:rPr>
        <w:t>).</w:t>
      </w:r>
    </w:p>
    <w:p w14:paraId="60488A0E" w14:textId="7601B48B"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Löwe, B., Levenson, J., Depping, M., Hüsing, P., Kohlmann, S., Lehmann, M., Shedden-Mora, M., Toussaint, A., Uhlenbusch, N. and Weigel, A. (2022). Somatic symptom disorder: a scoping review on the empirical evidence of a new diagnosis. </w:t>
      </w:r>
      <w:r w:rsidRPr="00610621">
        <w:rPr>
          <w:rFonts w:eastAsia="Times New Roman"/>
          <w:i/>
          <w:color w:val="222222"/>
          <w:highlight w:val="white"/>
          <w:lang w:val="en-GB"/>
        </w:rPr>
        <w:t>Psychological Medicine</w:t>
      </w:r>
      <w:r w:rsidRPr="00610621">
        <w:rPr>
          <w:rFonts w:eastAsia="Times New Roman"/>
          <w:color w:val="222222"/>
          <w:highlight w:val="white"/>
          <w:lang w:val="en-GB"/>
        </w:rPr>
        <w:t xml:space="preserve">, </w:t>
      </w:r>
      <w:r w:rsidRPr="00610621">
        <w:rPr>
          <w:rFonts w:eastAsia="Times New Roman"/>
          <w:i/>
          <w:color w:val="222222"/>
          <w:highlight w:val="white"/>
          <w:lang w:val="en-GB"/>
        </w:rPr>
        <w:t>52</w:t>
      </w:r>
      <w:r w:rsidRPr="00610621">
        <w:rPr>
          <w:rFonts w:eastAsia="Times New Roman"/>
          <w:color w:val="222222"/>
          <w:highlight w:val="white"/>
          <w:lang w:val="en-GB"/>
        </w:rPr>
        <w:t xml:space="preserve">(4), pp.632-648.  Available at: </w:t>
      </w:r>
      <w:hyperlink r:id="rId23" w:history="1">
        <w:r w:rsidR="00C91E27" w:rsidRPr="00610621">
          <w:rPr>
            <w:rStyle w:val="Hyperlink"/>
            <w:rFonts w:eastAsia="Times New Roman"/>
            <w:highlight w:val="white"/>
            <w:lang w:val="en-GB"/>
          </w:rPr>
          <w:t>https://www.cambridge.org/core/journals/psychological-medicine/article/</w:t>
        </w:r>
      </w:hyperlink>
      <w:r w:rsidR="00C91E27"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DD0CAB" w:rsidRPr="00610621">
        <w:rPr>
          <w:rFonts w:eastAsia="Times New Roman"/>
          <w:color w:val="222222"/>
          <w:highlight w:val="white"/>
          <w:lang w:val="en-GB"/>
        </w:rPr>
        <w:t xml:space="preserve">10 November </w:t>
      </w:r>
      <w:r w:rsidRPr="00610621">
        <w:rPr>
          <w:rFonts w:eastAsia="Times New Roman"/>
          <w:color w:val="222222"/>
          <w:highlight w:val="white"/>
          <w:lang w:val="en-GB"/>
        </w:rPr>
        <w:t>2025</w:t>
      </w:r>
      <w:r w:rsidR="00131120" w:rsidRPr="00610621">
        <w:rPr>
          <w:rFonts w:eastAsia="Times New Roman"/>
          <w:color w:val="222222"/>
          <w:highlight w:val="white"/>
          <w:lang w:val="en-GB"/>
        </w:rPr>
        <w:t>).</w:t>
      </w:r>
    </w:p>
    <w:p w14:paraId="59E532D2" w14:textId="50D538A1"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McKay, A.K., Stellingwerf, T., Smith, E.S., Martin, D.T., Mujika, I., Goosey-TOFler, V.L., Sheppard, J. and Burke, L.M. (2021). Defining training and performance calibre: a participant classification framework. </w:t>
      </w:r>
      <w:r w:rsidRPr="00610621">
        <w:rPr>
          <w:rFonts w:eastAsia="Times New Roman"/>
          <w:i/>
          <w:color w:val="222222"/>
          <w:highlight w:val="white"/>
          <w:lang w:val="en-GB"/>
        </w:rPr>
        <w:t>International journal of sports physiology and performance</w:t>
      </w:r>
      <w:r w:rsidRPr="00610621">
        <w:rPr>
          <w:rFonts w:eastAsia="Times New Roman"/>
          <w:color w:val="222222"/>
          <w:highlight w:val="white"/>
          <w:lang w:val="en-GB"/>
        </w:rPr>
        <w:t xml:space="preserve">, </w:t>
      </w:r>
      <w:r w:rsidRPr="00610621">
        <w:rPr>
          <w:rFonts w:eastAsia="Times New Roman"/>
          <w:i/>
          <w:color w:val="222222"/>
          <w:highlight w:val="white"/>
          <w:lang w:val="en-GB"/>
        </w:rPr>
        <w:t>17</w:t>
      </w:r>
      <w:r w:rsidRPr="00610621">
        <w:rPr>
          <w:rFonts w:eastAsia="Times New Roman"/>
          <w:color w:val="222222"/>
          <w:highlight w:val="white"/>
          <w:lang w:val="en-GB"/>
        </w:rPr>
        <w:t xml:space="preserve">(2), pp.317-331.  Available at: </w:t>
      </w:r>
      <w:hyperlink r:id="rId24" w:history="1">
        <w:r w:rsidR="00131120" w:rsidRPr="00610621">
          <w:rPr>
            <w:rStyle w:val="Hyperlink"/>
            <w:rFonts w:eastAsia="Times New Roman"/>
            <w:highlight w:val="white"/>
            <w:lang w:val="en-GB"/>
          </w:rPr>
          <w:t>https://journals.humankinetics.com/view/journals/ijspp/aop/article-10.1123-ijspp.2021-0451/article-10.1123-ijspp.2021-0451.xml?content=supplementary-materials</w:t>
        </w:r>
      </w:hyperlink>
      <w:r w:rsidR="00131120"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DD0CAB" w:rsidRPr="00610621">
        <w:rPr>
          <w:rFonts w:eastAsia="Times New Roman"/>
          <w:color w:val="222222"/>
          <w:highlight w:val="white"/>
          <w:lang w:val="en-GB"/>
        </w:rPr>
        <w:t xml:space="preserve">10 November </w:t>
      </w:r>
      <w:r w:rsidRPr="00610621">
        <w:rPr>
          <w:rFonts w:eastAsia="Times New Roman"/>
          <w:color w:val="222222"/>
          <w:highlight w:val="white"/>
          <w:lang w:val="en-GB"/>
        </w:rPr>
        <w:t>2025</w:t>
      </w:r>
      <w:r w:rsidR="00131120" w:rsidRPr="00610621">
        <w:rPr>
          <w:rFonts w:eastAsia="Times New Roman"/>
          <w:color w:val="222222"/>
          <w:highlight w:val="white"/>
          <w:lang w:val="en-GB"/>
        </w:rPr>
        <w:t>).</w:t>
      </w:r>
    </w:p>
    <w:p w14:paraId="48DB862B" w14:textId="055A74D9" w:rsidR="005F572A" w:rsidRPr="00610621" w:rsidRDefault="005F572A" w:rsidP="00610621">
      <w:pPr>
        <w:spacing w:after="240" w:line="360" w:lineRule="auto"/>
        <w:jc w:val="both"/>
        <w:rPr>
          <w:rFonts w:eastAsia="Times New Roman"/>
          <w:color w:val="222222"/>
          <w:highlight w:val="white"/>
          <w:lang w:val="en-GB"/>
        </w:rPr>
      </w:pPr>
      <w:r w:rsidRPr="00610621">
        <w:rPr>
          <w:rFonts w:eastAsia="Times New Roman"/>
          <w:color w:val="222222"/>
          <w:highlight w:val="white"/>
          <w:lang w:val="en-GB"/>
        </w:rPr>
        <w:lastRenderedPageBreak/>
        <w:t xml:space="preserve">Microgility (2025). </w:t>
      </w:r>
      <w:r w:rsidRPr="00610621">
        <w:rPr>
          <w:rFonts w:eastAsia="Times New Roman"/>
          <w:i/>
          <w:color w:val="222222"/>
          <w:highlight w:val="white"/>
          <w:lang w:val="en-GB"/>
        </w:rPr>
        <w:t>Impulse Control Disorder: Types, Causes &amp; Treatment</w:t>
      </w:r>
      <w:r w:rsidRPr="00610621">
        <w:rPr>
          <w:rFonts w:eastAsia="Times New Roman"/>
          <w:color w:val="222222"/>
          <w:highlight w:val="white"/>
          <w:lang w:val="en-GB"/>
        </w:rPr>
        <w:t xml:space="preserve">. [online] Faith Behavioural Health. Available at: </w:t>
      </w:r>
      <w:hyperlink r:id="rId25" w:history="1">
        <w:r w:rsidR="00B02660" w:rsidRPr="00610621">
          <w:rPr>
            <w:rStyle w:val="Hyperlink"/>
            <w:rFonts w:eastAsia="Times New Roman"/>
            <w:highlight w:val="white"/>
            <w:lang w:val="en-GB"/>
          </w:rPr>
          <w:t>https://faithbehavioralhealth.com/impulse-control-disorder/</w:t>
        </w:r>
      </w:hyperlink>
      <w:r w:rsidR="00B02660" w:rsidRPr="00610621">
        <w:rPr>
          <w:rFonts w:eastAsia="Times New Roman"/>
          <w:color w:val="222222"/>
          <w:highlight w:val="white"/>
          <w:lang w:val="en-GB"/>
        </w:rPr>
        <w:t>. (A</w:t>
      </w:r>
      <w:r w:rsidRPr="00610621">
        <w:rPr>
          <w:rFonts w:eastAsia="Times New Roman"/>
          <w:color w:val="222222"/>
          <w:highlight w:val="white"/>
          <w:lang w:val="en-GB"/>
        </w:rPr>
        <w:t xml:space="preserve">ccessed </w:t>
      </w:r>
      <w:r w:rsidR="00B02660" w:rsidRPr="00610621">
        <w:rPr>
          <w:rFonts w:eastAsia="Times New Roman"/>
          <w:color w:val="222222"/>
          <w:highlight w:val="white"/>
          <w:lang w:val="en-GB"/>
        </w:rPr>
        <w:t>on</w:t>
      </w:r>
      <w:r w:rsidR="00B404C6" w:rsidRPr="00610621">
        <w:rPr>
          <w:rFonts w:eastAsia="Times New Roman"/>
          <w:color w:val="222222"/>
          <w:highlight w:val="white"/>
          <w:lang w:val="en-GB"/>
        </w:rPr>
        <w:t xml:space="preserve">: </w:t>
      </w:r>
      <w:r w:rsidR="00FD0D6F" w:rsidRPr="00610621">
        <w:rPr>
          <w:rFonts w:eastAsia="Times New Roman"/>
          <w:color w:val="222222"/>
          <w:highlight w:val="white"/>
          <w:lang w:val="en-GB"/>
        </w:rPr>
        <w:t xml:space="preserve">11 November </w:t>
      </w:r>
      <w:r w:rsidRPr="00610621">
        <w:rPr>
          <w:rFonts w:eastAsia="Times New Roman"/>
          <w:color w:val="222222"/>
          <w:highlight w:val="white"/>
          <w:lang w:val="en-GB"/>
        </w:rPr>
        <w:t>2025</w:t>
      </w:r>
      <w:r w:rsidR="00B404C6" w:rsidRPr="00610621">
        <w:rPr>
          <w:rFonts w:eastAsia="Times New Roman"/>
          <w:color w:val="222222"/>
          <w:highlight w:val="white"/>
          <w:lang w:val="en-GB"/>
        </w:rPr>
        <w:t>).</w:t>
      </w:r>
    </w:p>
    <w:p w14:paraId="28B6FE55" w14:textId="348382D8"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Moshe, I., Terhorst, Y., Philippi, P., Domhardt, M., Cuijpers, P., Cristea, I., Pulkki-Råback, L., Baumeister, H. and Sander, L.B. (2021). Digital interventions for the treatment of depression: A meta-analytic review. </w:t>
      </w:r>
      <w:r w:rsidRPr="00610621">
        <w:rPr>
          <w:rFonts w:eastAsia="Times New Roman"/>
          <w:i/>
          <w:color w:val="222222"/>
          <w:highlight w:val="white"/>
          <w:lang w:val="en-GB"/>
        </w:rPr>
        <w:t>Psychological Bulletin</w:t>
      </w:r>
      <w:r w:rsidRPr="00610621">
        <w:rPr>
          <w:rFonts w:eastAsia="Times New Roman"/>
          <w:color w:val="222222"/>
          <w:highlight w:val="white"/>
          <w:lang w:val="en-GB"/>
        </w:rPr>
        <w:t xml:space="preserve">, </w:t>
      </w:r>
      <w:r w:rsidRPr="00610621">
        <w:rPr>
          <w:rFonts w:eastAsia="Times New Roman"/>
          <w:i/>
          <w:color w:val="222222"/>
          <w:highlight w:val="white"/>
          <w:lang w:val="en-GB"/>
        </w:rPr>
        <w:t>147</w:t>
      </w:r>
      <w:r w:rsidRPr="00610621">
        <w:rPr>
          <w:rFonts w:eastAsia="Times New Roman"/>
          <w:color w:val="222222"/>
          <w:highlight w:val="white"/>
          <w:lang w:val="en-GB"/>
        </w:rPr>
        <w:t xml:space="preserve">(8), pp.749.  Available at: </w:t>
      </w:r>
      <w:hyperlink r:id="rId26" w:history="1">
        <w:r w:rsidR="00062512" w:rsidRPr="00610621">
          <w:rPr>
            <w:rStyle w:val="Hyperlink"/>
            <w:rFonts w:eastAsia="Times New Roman"/>
            <w:highlight w:val="white"/>
            <w:lang w:val="en-GB"/>
          </w:rPr>
          <w:t>https://psycnet.apa.org/fulltext/2022-09577-001.html</w:t>
        </w:r>
      </w:hyperlink>
      <w:r w:rsidR="00062512"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FD0D6F" w:rsidRPr="00610621">
        <w:rPr>
          <w:rFonts w:eastAsia="Times New Roman"/>
          <w:color w:val="222222"/>
          <w:highlight w:val="white"/>
          <w:lang w:val="en-GB"/>
        </w:rPr>
        <w:t>11 November</w:t>
      </w:r>
      <w:r w:rsidR="00062512" w:rsidRPr="00610621">
        <w:rPr>
          <w:rFonts w:eastAsia="Times New Roman"/>
          <w:color w:val="222222"/>
          <w:highlight w:val="white"/>
          <w:lang w:val="en-GB"/>
        </w:rPr>
        <w:t xml:space="preserve"> </w:t>
      </w:r>
      <w:r w:rsidRPr="00610621">
        <w:rPr>
          <w:rFonts w:eastAsia="Times New Roman"/>
          <w:color w:val="222222"/>
          <w:highlight w:val="white"/>
          <w:lang w:val="en-GB"/>
        </w:rPr>
        <w:t>2025</w:t>
      </w:r>
      <w:r w:rsidR="00062512" w:rsidRPr="00610621">
        <w:rPr>
          <w:rFonts w:eastAsia="Times New Roman"/>
          <w:color w:val="222222"/>
          <w:highlight w:val="white"/>
          <w:lang w:val="en-GB"/>
        </w:rPr>
        <w:t>).</w:t>
      </w:r>
    </w:p>
    <w:p w14:paraId="0F47CD23" w14:textId="47245A2A" w:rsidR="005F572A" w:rsidRPr="00610621" w:rsidRDefault="005F572A" w:rsidP="00610621">
      <w:pPr>
        <w:spacing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ONS (2023). </w:t>
      </w:r>
      <w:r w:rsidRPr="00610621">
        <w:rPr>
          <w:rFonts w:eastAsia="Times New Roman"/>
          <w:i/>
          <w:color w:val="222222"/>
          <w:highlight w:val="white"/>
          <w:lang w:val="en-GB"/>
        </w:rPr>
        <w:t>Office for National Statistics</w:t>
      </w:r>
      <w:r w:rsidRPr="00610621">
        <w:rPr>
          <w:rFonts w:eastAsia="Times New Roman"/>
          <w:color w:val="222222"/>
          <w:highlight w:val="white"/>
          <w:lang w:val="en-GB"/>
        </w:rPr>
        <w:t xml:space="preserve">. [online] Ons.gov.uk. Available at: </w:t>
      </w:r>
      <w:hyperlink r:id="rId27" w:history="1">
        <w:r w:rsidR="00D85CCC" w:rsidRPr="00610621">
          <w:rPr>
            <w:rStyle w:val="Hyperlink"/>
            <w:rFonts w:eastAsia="Times New Roman"/>
            <w:highlight w:val="white"/>
            <w:lang w:val="en-GB"/>
          </w:rPr>
          <w:t>https://www.ons.gov.uk/</w:t>
        </w:r>
      </w:hyperlink>
      <w:r w:rsidRPr="00610621">
        <w:rPr>
          <w:rFonts w:eastAsia="Times New Roman"/>
          <w:color w:val="222222"/>
          <w:highlight w:val="white"/>
          <w:lang w:val="en-GB"/>
        </w:rPr>
        <w:t>.</w:t>
      </w:r>
      <w:r w:rsidR="00D85CCC" w:rsidRPr="00610621">
        <w:rPr>
          <w:rFonts w:eastAsia="Times New Roman"/>
          <w:color w:val="222222"/>
          <w:highlight w:val="white"/>
          <w:lang w:val="en-GB"/>
        </w:rPr>
        <w:t xml:space="preserve"> (</w:t>
      </w:r>
      <w:r w:rsidRPr="00610621">
        <w:rPr>
          <w:rFonts w:eastAsia="Times New Roman"/>
          <w:color w:val="222222"/>
          <w:highlight w:val="white"/>
          <w:lang w:val="en-GB"/>
        </w:rPr>
        <w:t xml:space="preserve">Accessed on: </w:t>
      </w:r>
      <w:r w:rsidR="00B01379" w:rsidRPr="00610621">
        <w:rPr>
          <w:rFonts w:eastAsia="Times New Roman"/>
          <w:color w:val="222222"/>
          <w:highlight w:val="white"/>
          <w:lang w:val="en-GB"/>
        </w:rPr>
        <w:t xml:space="preserve">11 November </w:t>
      </w:r>
      <w:r w:rsidRPr="00610621">
        <w:rPr>
          <w:rFonts w:eastAsia="Times New Roman"/>
          <w:color w:val="222222"/>
          <w:highlight w:val="white"/>
          <w:lang w:val="en-GB"/>
        </w:rPr>
        <w:t>2025</w:t>
      </w:r>
      <w:r w:rsidR="00D85CCC" w:rsidRPr="00610621">
        <w:rPr>
          <w:rFonts w:eastAsia="Times New Roman"/>
          <w:color w:val="222222"/>
          <w:highlight w:val="white"/>
          <w:lang w:val="en-GB"/>
        </w:rPr>
        <w:t>).</w:t>
      </w:r>
    </w:p>
    <w:p w14:paraId="50956B6A" w14:textId="5B5FD446" w:rsidR="005F572A" w:rsidRPr="00610621" w:rsidRDefault="005F572A" w:rsidP="00610621">
      <w:pPr>
        <w:spacing w:before="240" w:after="240" w:line="360" w:lineRule="auto"/>
        <w:jc w:val="both"/>
        <w:rPr>
          <w:rFonts w:eastAsia="Times New Roman"/>
          <w:lang w:val="en-GB"/>
        </w:rPr>
      </w:pPr>
      <w:r w:rsidRPr="00610621">
        <w:rPr>
          <w:rFonts w:eastAsia="Times New Roman"/>
          <w:color w:val="222222"/>
          <w:highlight w:val="white"/>
          <w:lang w:val="en-GB"/>
        </w:rPr>
        <w:t xml:space="preserve">Paulus, F.W., Ohmann, S., Möhler, E., Plener, P. and Popow, C. (2021). Emotional dysregulation in children and adolescents with psychiatric disorders. A narrative review. </w:t>
      </w:r>
      <w:r w:rsidRPr="00610621">
        <w:rPr>
          <w:rFonts w:eastAsia="Times New Roman"/>
          <w:i/>
          <w:color w:val="222222"/>
          <w:highlight w:val="white"/>
          <w:lang w:val="en-GB"/>
        </w:rPr>
        <w:t>Frontiers in psychiatry</w:t>
      </w:r>
      <w:r w:rsidRPr="00610621">
        <w:rPr>
          <w:rFonts w:eastAsia="Times New Roman"/>
          <w:color w:val="222222"/>
          <w:highlight w:val="white"/>
          <w:lang w:val="en-GB"/>
        </w:rPr>
        <w:t xml:space="preserve">, </w:t>
      </w:r>
      <w:r w:rsidRPr="00610621">
        <w:rPr>
          <w:rFonts w:eastAsia="Times New Roman"/>
          <w:i/>
          <w:color w:val="222222"/>
          <w:highlight w:val="white"/>
          <w:lang w:val="en-GB"/>
        </w:rPr>
        <w:t>12</w:t>
      </w:r>
      <w:r w:rsidRPr="00610621">
        <w:rPr>
          <w:rFonts w:eastAsia="Times New Roman"/>
          <w:color w:val="222222"/>
          <w:highlight w:val="white"/>
          <w:lang w:val="en-GB"/>
        </w:rPr>
        <w:t xml:space="preserve">, pp.628252.  Available at: </w:t>
      </w:r>
      <w:hyperlink r:id="rId28" w:history="1">
        <w:r w:rsidR="00EB204C" w:rsidRPr="00610621">
          <w:rPr>
            <w:rStyle w:val="Hyperlink"/>
            <w:rFonts w:eastAsia="Times New Roman"/>
            <w:highlight w:val="white"/>
            <w:lang w:val="en-GB"/>
          </w:rPr>
          <w:t>https://www.frontiersin.org/articles/10.3389/fpsyt.2021.628252/full</w:t>
        </w:r>
      </w:hyperlink>
      <w:r w:rsidR="00EB204C"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A912B3" w:rsidRPr="00610621">
        <w:rPr>
          <w:rFonts w:eastAsia="Times New Roman"/>
          <w:color w:val="222222"/>
          <w:highlight w:val="white"/>
          <w:lang w:val="en-GB"/>
        </w:rPr>
        <w:t xml:space="preserve">12 November </w:t>
      </w:r>
      <w:r w:rsidRPr="00610621">
        <w:rPr>
          <w:rFonts w:eastAsia="Times New Roman"/>
          <w:color w:val="222222"/>
          <w:highlight w:val="white"/>
          <w:lang w:val="en-GB"/>
        </w:rPr>
        <w:t>2025</w:t>
      </w:r>
      <w:r w:rsidR="00EB204C" w:rsidRPr="00610621">
        <w:rPr>
          <w:rFonts w:eastAsia="Times New Roman"/>
          <w:color w:val="222222"/>
          <w:lang w:val="en-GB"/>
        </w:rPr>
        <w:t>).</w:t>
      </w:r>
    </w:p>
    <w:p w14:paraId="0F46A817" w14:textId="3A303F1A"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Sagar, M.E. (2021). Predictive Role of Cognitive Flexibility and Self-Control on Social Media Addiction in University Students. </w:t>
      </w:r>
      <w:r w:rsidRPr="00610621">
        <w:rPr>
          <w:rFonts w:eastAsia="Times New Roman"/>
          <w:i/>
          <w:color w:val="222222"/>
          <w:highlight w:val="white"/>
          <w:lang w:val="en-GB"/>
        </w:rPr>
        <w:t>International Education Studies</w:t>
      </w:r>
      <w:r w:rsidRPr="00610621">
        <w:rPr>
          <w:rFonts w:eastAsia="Times New Roman"/>
          <w:color w:val="222222"/>
          <w:highlight w:val="white"/>
          <w:lang w:val="en-GB"/>
        </w:rPr>
        <w:t xml:space="preserve">, </w:t>
      </w:r>
      <w:r w:rsidRPr="00610621">
        <w:rPr>
          <w:rFonts w:eastAsia="Times New Roman"/>
          <w:i/>
          <w:color w:val="222222"/>
          <w:highlight w:val="white"/>
          <w:lang w:val="en-GB"/>
        </w:rPr>
        <w:t>14</w:t>
      </w:r>
      <w:r w:rsidRPr="00610621">
        <w:rPr>
          <w:rFonts w:eastAsia="Times New Roman"/>
          <w:color w:val="222222"/>
          <w:highlight w:val="white"/>
          <w:lang w:val="en-GB"/>
        </w:rPr>
        <w:t xml:space="preserve">(4), pp.1-10.  Available at: </w:t>
      </w:r>
      <w:hyperlink r:id="rId29" w:history="1">
        <w:r w:rsidR="000F5460" w:rsidRPr="00610621">
          <w:rPr>
            <w:rStyle w:val="Hyperlink"/>
            <w:rFonts w:eastAsia="Times New Roman"/>
            <w:highlight w:val="white"/>
            <w:lang w:val="en-GB"/>
          </w:rPr>
          <w:t>https://eric.ed.gov/?id=EJ1291628</w:t>
        </w:r>
      </w:hyperlink>
      <w:r w:rsidR="000F5460"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A912B3" w:rsidRPr="00610621">
        <w:rPr>
          <w:rFonts w:eastAsia="Times New Roman"/>
          <w:color w:val="222222"/>
          <w:highlight w:val="white"/>
          <w:lang w:val="en-GB"/>
        </w:rPr>
        <w:t xml:space="preserve">12 </w:t>
      </w:r>
      <w:r w:rsidR="00CB03B3" w:rsidRPr="00610621">
        <w:rPr>
          <w:rFonts w:eastAsia="Times New Roman"/>
          <w:color w:val="222222"/>
          <w:highlight w:val="white"/>
          <w:lang w:val="en-GB"/>
        </w:rPr>
        <w:t>November</w:t>
      </w:r>
      <w:r w:rsidR="00A41CC8" w:rsidRPr="00610621">
        <w:rPr>
          <w:rFonts w:eastAsia="Times New Roman"/>
          <w:color w:val="222222"/>
          <w:highlight w:val="white"/>
          <w:lang w:val="en-GB"/>
        </w:rPr>
        <w:t xml:space="preserve"> </w:t>
      </w:r>
      <w:r w:rsidRPr="00610621">
        <w:rPr>
          <w:rFonts w:eastAsia="Times New Roman"/>
          <w:color w:val="222222"/>
          <w:highlight w:val="white"/>
          <w:lang w:val="en-GB"/>
        </w:rPr>
        <w:t>2025</w:t>
      </w:r>
      <w:r w:rsidR="00A41CC8" w:rsidRPr="00610621">
        <w:rPr>
          <w:rFonts w:eastAsia="Times New Roman"/>
          <w:color w:val="222222"/>
          <w:highlight w:val="white"/>
          <w:lang w:val="en-GB"/>
        </w:rPr>
        <w:t>).</w:t>
      </w:r>
    </w:p>
    <w:p w14:paraId="24AB2105" w14:textId="66664D7B"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Strobl, C., Malley, J. and Tutz, G. (2019). An introduction to recursive partitioning: rationale, application, and characteristics of classification and regression trees, bagging, and random forests. </w:t>
      </w:r>
      <w:r w:rsidRPr="00610621">
        <w:rPr>
          <w:rFonts w:eastAsia="Times New Roman"/>
          <w:i/>
          <w:color w:val="222222"/>
          <w:highlight w:val="white"/>
          <w:lang w:val="en-GB"/>
        </w:rPr>
        <w:t>Psychological Methods</w:t>
      </w:r>
      <w:r w:rsidRPr="00610621">
        <w:rPr>
          <w:rFonts w:eastAsia="Times New Roman"/>
          <w:color w:val="222222"/>
          <w:highlight w:val="white"/>
          <w:lang w:val="en-GB"/>
        </w:rPr>
        <w:t xml:space="preserve">, </w:t>
      </w:r>
      <w:r w:rsidRPr="00610621">
        <w:rPr>
          <w:rFonts w:eastAsia="Times New Roman"/>
          <w:i/>
          <w:color w:val="222222"/>
          <w:highlight w:val="white"/>
          <w:lang w:val="en-GB"/>
        </w:rPr>
        <w:t>14</w:t>
      </w:r>
      <w:r w:rsidRPr="00610621">
        <w:rPr>
          <w:rFonts w:eastAsia="Times New Roman"/>
          <w:color w:val="222222"/>
          <w:highlight w:val="white"/>
          <w:lang w:val="en-GB"/>
        </w:rPr>
        <w:t xml:space="preserve">(4), pp.323.  Available at: </w:t>
      </w:r>
      <w:hyperlink r:id="rId30" w:history="1">
        <w:r w:rsidR="00CD549B" w:rsidRPr="00610621">
          <w:rPr>
            <w:rStyle w:val="Hyperlink"/>
            <w:rFonts w:eastAsia="Times New Roman"/>
            <w:highlight w:val="white"/>
            <w:lang w:val="en-GB"/>
          </w:rPr>
          <w:t>https://link.springer.com/article/10.1007/s11229-012-0081-3</w:t>
        </w:r>
      </w:hyperlink>
      <w:r w:rsidR="00CD549B"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CB03B3" w:rsidRPr="00610621">
        <w:rPr>
          <w:rFonts w:eastAsia="Times New Roman"/>
          <w:color w:val="222222"/>
          <w:highlight w:val="white"/>
          <w:lang w:val="en-GB"/>
        </w:rPr>
        <w:t xml:space="preserve">12 </w:t>
      </w:r>
      <w:r w:rsidR="00857AB1" w:rsidRPr="00610621">
        <w:rPr>
          <w:rFonts w:eastAsia="Times New Roman"/>
          <w:color w:val="222222"/>
          <w:highlight w:val="white"/>
          <w:lang w:val="en-GB"/>
        </w:rPr>
        <w:t>November 2025</w:t>
      </w:r>
      <w:r w:rsidR="00D7203E" w:rsidRPr="00610621">
        <w:rPr>
          <w:rFonts w:eastAsia="Times New Roman"/>
          <w:color w:val="222222"/>
          <w:highlight w:val="white"/>
          <w:lang w:val="en-GB"/>
        </w:rPr>
        <w:t>).</w:t>
      </w:r>
    </w:p>
    <w:p w14:paraId="541E8C2A" w14:textId="58E9C9DE"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Vella-Brodrick, D.A. and Gilowska, K. (2022). Effects of nature (greenspace) on cognitive functioning in school children and adolescents: A systematic review. </w:t>
      </w:r>
      <w:r w:rsidRPr="00610621">
        <w:rPr>
          <w:rFonts w:eastAsia="Times New Roman"/>
          <w:i/>
          <w:color w:val="222222"/>
          <w:highlight w:val="white"/>
          <w:lang w:val="en-GB"/>
        </w:rPr>
        <w:t>Educational Psychology Review</w:t>
      </w:r>
      <w:r w:rsidRPr="00610621">
        <w:rPr>
          <w:rFonts w:eastAsia="Times New Roman"/>
          <w:color w:val="222222"/>
          <w:highlight w:val="white"/>
          <w:lang w:val="en-GB"/>
        </w:rPr>
        <w:t xml:space="preserve">, </w:t>
      </w:r>
      <w:r w:rsidRPr="00610621">
        <w:rPr>
          <w:rFonts w:eastAsia="Times New Roman"/>
          <w:i/>
          <w:color w:val="222222"/>
          <w:highlight w:val="white"/>
          <w:lang w:val="en-GB"/>
        </w:rPr>
        <w:t>34</w:t>
      </w:r>
      <w:r w:rsidRPr="00610621">
        <w:rPr>
          <w:rFonts w:eastAsia="Times New Roman"/>
          <w:color w:val="222222"/>
          <w:highlight w:val="white"/>
          <w:lang w:val="en-GB"/>
        </w:rPr>
        <w:t xml:space="preserve">(3), pp.1217-1254.  Available at: </w:t>
      </w:r>
      <w:hyperlink r:id="rId31" w:history="1">
        <w:r w:rsidR="00237475" w:rsidRPr="00610621">
          <w:rPr>
            <w:rStyle w:val="Hyperlink"/>
            <w:rFonts w:eastAsia="Times New Roman"/>
            <w:highlight w:val="white"/>
            <w:lang w:val="en-GB"/>
          </w:rPr>
          <w:t>https://link.springer.com/article/10.1007/s10648-022-09658-5</w:t>
        </w:r>
      </w:hyperlink>
      <w:r w:rsidR="00237475"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CB03B3" w:rsidRPr="00610621">
        <w:rPr>
          <w:rFonts w:eastAsia="Times New Roman"/>
          <w:color w:val="222222"/>
          <w:highlight w:val="white"/>
          <w:lang w:val="en-GB"/>
        </w:rPr>
        <w:t>12 November</w:t>
      </w:r>
      <w:r w:rsidR="00237475" w:rsidRPr="00610621">
        <w:rPr>
          <w:rFonts w:eastAsia="Times New Roman"/>
          <w:color w:val="222222"/>
          <w:highlight w:val="white"/>
          <w:lang w:val="en-GB"/>
        </w:rPr>
        <w:t xml:space="preserve"> </w:t>
      </w:r>
      <w:r w:rsidRPr="00610621">
        <w:rPr>
          <w:rFonts w:eastAsia="Times New Roman"/>
          <w:color w:val="222222"/>
          <w:highlight w:val="white"/>
          <w:lang w:val="en-GB"/>
        </w:rPr>
        <w:t>2025</w:t>
      </w:r>
      <w:r w:rsidR="00237475" w:rsidRPr="00610621">
        <w:rPr>
          <w:rFonts w:eastAsia="Times New Roman"/>
          <w:color w:val="222222"/>
          <w:highlight w:val="white"/>
          <w:lang w:val="en-GB"/>
        </w:rPr>
        <w:t>).</w:t>
      </w:r>
    </w:p>
    <w:p w14:paraId="32F40ECF" w14:textId="31D0A59B"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Volkow, N.D. and Blanco, C. (2023). Substance use disorders: a comprehensive update on classification, epidemiology, neurobiology, clinical aspects, treatment, and prevention. </w:t>
      </w:r>
      <w:r w:rsidRPr="00610621">
        <w:rPr>
          <w:rFonts w:eastAsia="Times New Roman"/>
          <w:i/>
          <w:color w:val="222222"/>
          <w:highlight w:val="white"/>
          <w:lang w:val="en-GB"/>
        </w:rPr>
        <w:t>World Psychiatry</w:t>
      </w:r>
      <w:r w:rsidRPr="00610621">
        <w:rPr>
          <w:rFonts w:eastAsia="Times New Roman"/>
          <w:color w:val="222222"/>
          <w:highlight w:val="white"/>
          <w:lang w:val="en-GB"/>
        </w:rPr>
        <w:t xml:space="preserve">, </w:t>
      </w:r>
      <w:r w:rsidRPr="00610621">
        <w:rPr>
          <w:rFonts w:eastAsia="Times New Roman"/>
          <w:i/>
          <w:color w:val="222222"/>
          <w:highlight w:val="white"/>
          <w:lang w:val="en-GB"/>
        </w:rPr>
        <w:t>22</w:t>
      </w:r>
      <w:r w:rsidRPr="00610621">
        <w:rPr>
          <w:rFonts w:eastAsia="Times New Roman"/>
          <w:color w:val="222222"/>
          <w:highlight w:val="white"/>
          <w:lang w:val="en-GB"/>
        </w:rPr>
        <w:t xml:space="preserve">(2), pp.203-229.   Available at: </w:t>
      </w:r>
      <w:hyperlink r:id="rId32" w:history="1">
        <w:r w:rsidR="0071626B" w:rsidRPr="00610621">
          <w:rPr>
            <w:rStyle w:val="Hyperlink"/>
            <w:rFonts w:eastAsia="Times New Roman"/>
            <w:highlight w:val="white"/>
            <w:lang w:val="en-GB"/>
          </w:rPr>
          <w:t>https://onlinelibrary.wiley.com/doi/abs/10.1002/wps.21073</w:t>
        </w:r>
      </w:hyperlink>
      <w:r w:rsidR="0071626B"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B2316B" w:rsidRPr="00610621">
        <w:rPr>
          <w:rFonts w:eastAsia="Times New Roman"/>
          <w:color w:val="222222"/>
          <w:highlight w:val="white"/>
          <w:lang w:val="en-GB"/>
        </w:rPr>
        <w:t>13 November</w:t>
      </w:r>
      <w:r w:rsidRPr="00610621">
        <w:rPr>
          <w:rFonts w:eastAsia="Times New Roman"/>
          <w:color w:val="222222"/>
          <w:highlight w:val="white"/>
          <w:lang w:val="en-GB"/>
        </w:rPr>
        <w:t xml:space="preserve"> 2025</w:t>
      </w:r>
      <w:r w:rsidR="00AA1974" w:rsidRPr="00610621">
        <w:rPr>
          <w:rFonts w:eastAsia="Times New Roman"/>
          <w:color w:val="222222"/>
          <w:highlight w:val="white"/>
          <w:lang w:val="en-GB"/>
        </w:rPr>
        <w:t>).</w:t>
      </w:r>
    </w:p>
    <w:p w14:paraId="57E8F616" w14:textId="31DCD430"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lastRenderedPageBreak/>
        <w:t xml:space="preserve">Wright, A.G., Ringwald, W.R., Hopwood, C.J. and Pincus, A.L. (2022). It’s time to replace the personality disorders with the interpersonal disorders. </w:t>
      </w:r>
      <w:r w:rsidRPr="00610621">
        <w:rPr>
          <w:rFonts w:eastAsia="Times New Roman"/>
          <w:i/>
          <w:color w:val="222222"/>
          <w:highlight w:val="white"/>
          <w:lang w:val="en-GB"/>
        </w:rPr>
        <w:t>American Psychologist</w:t>
      </w:r>
      <w:r w:rsidRPr="00610621">
        <w:rPr>
          <w:rFonts w:eastAsia="Times New Roman"/>
          <w:color w:val="222222"/>
          <w:highlight w:val="white"/>
          <w:lang w:val="en-GB"/>
        </w:rPr>
        <w:t xml:space="preserve">, </w:t>
      </w:r>
      <w:r w:rsidRPr="00610621">
        <w:rPr>
          <w:rFonts w:eastAsia="Times New Roman"/>
          <w:i/>
          <w:color w:val="222222"/>
          <w:highlight w:val="white"/>
          <w:lang w:val="en-GB"/>
        </w:rPr>
        <w:t>77</w:t>
      </w:r>
      <w:r w:rsidRPr="00610621">
        <w:rPr>
          <w:rFonts w:eastAsia="Times New Roman"/>
          <w:color w:val="222222"/>
          <w:highlight w:val="white"/>
          <w:lang w:val="en-GB"/>
        </w:rPr>
        <w:t xml:space="preserve">(9), pp.10-85.  Available at: </w:t>
      </w:r>
      <w:hyperlink r:id="rId33" w:history="1">
        <w:r w:rsidR="003D07F4" w:rsidRPr="00610621">
          <w:rPr>
            <w:rStyle w:val="Hyperlink"/>
            <w:rFonts w:eastAsia="Times New Roman"/>
            <w:highlight w:val="white"/>
            <w:lang w:val="en-GB"/>
          </w:rPr>
          <w:t>https://psycnet.apa.org/fulltext/2023-32731-019.html</w:t>
        </w:r>
      </w:hyperlink>
      <w:r w:rsidR="003D07F4"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B2316B" w:rsidRPr="00610621">
        <w:rPr>
          <w:rFonts w:eastAsia="Times New Roman"/>
          <w:color w:val="222222"/>
          <w:highlight w:val="white"/>
          <w:lang w:val="en-GB"/>
        </w:rPr>
        <w:t>13 November</w:t>
      </w:r>
      <w:r w:rsidRPr="00610621">
        <w:rPr>
          <w:rFonts w:eastAsia="Times New Roman"/>
          <w:color w:val="222222"/>
          <w:highlight w:val="white"/>
          <w:lang w:val="en-GB"/>
        </w:rPr>
        <w:t xml:space="preserve"> 2025</w:t>
      </w:r>
      <w:r w:rsidR="00B904AA" w:rsidRPr="00610621">
        <w:rPr>
          <w:rFonts w:eastAsia="Times New Roman"/>
          <w:color w:val="222222"/>
          <w:highlight w:val="white"/>
          <w:lang w:val="en-GB"/>
        </w:rPr>
        <w:t>).</w:t>
      </w:r>
    </w:p>
    <w:p w14:paraId="1F35907F" w14:textId="4E447119"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 xml:space="preserve">Wyss, A.M., Knoch, D. and Berger, S. (2022). When and how pro-environmental attitudes turn into behaviour: The role of costs, benefits, and self-control. </w:t>
      </w:r>
      <w:r w:rsidRPr="00610621">
        <w:rPr>
          <w:rFonts w:eastAsia="Times New Roman"/>
          <w:i/>
          <w:color w:val="222222"/>
          <w:highlight w:val="white"/>
          <w:lang w:val="en-GB"/>
        </w:rPr>
        <w:t>Journal of Environmental Psychology</w:t>
      </w:r>
      <w:r w:rsidRPr="00610621">
        <w:rPr>
          <w:rFonts w:eastAsia="Times New Roman"/>
          <w:color w:val="222222"/>
          <w:highlight w:val="white"/>
          <w:lang w:val="en-GB"/>
        </w:rPr>
        <w:t xml:space="preserve">, </w:t>
      </w:r>
      <w:r w:rsidRPr="00610621">
        <w:rPr>
          <w:rFonts w:eastAsia="Times New Roman"/>
          <w:i/>
          <w:color w:val="222222"/>
          <w:highlight w:val="white"/>
          <w:lang w:val="en-GB"/>
        </w:rPr>
        <w:t>79</w:t>
      </w:r>
      <w:r w:rsidRPr="00610621">
        <w:rPr>
          <w:rFonts w:eastAsia="Times New Roman"/>
          <w:color w:val="222222"/>
          <w:highlight w:val="white"/>
          <w:lang w:val="en-GB"/>
        </w:rPr>
        <w:t xml:space="preserve">, pp.101-748.  Available at: </w:t>
      </w:r>
      <w:hyperlink r:id="rId34" w:history="1">
        <w:r w:rsidR="00B904AA" w:rsidRPr="00610621">
          <w:rPr>
            <w:rStyle w:val="Hyperlink"/>
            <w:rFonts w:eastAsia="Times New Roman"/>
            <w:highlight w:val="white"/>
            <w:lang w:val="en-GB"/>
          </w:rPr>
          <w:t>https://www.sciencedirect.com/science/article/pii/S0272494421002012</w:t>
        </w:r>
      </w:hyperlink>
      <w:r w:rsidR="00B904AA"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4626A0" w:rsidRPr="00610621">
        <w:rPr>
          <w:rFonts w:eastAsia="Times New Roman"/>
          <w:color w:val="222222"/>
          <w:highlight w:val="white"/>
          <w:lang w:val="en-GB"/>
        </w:rPr>
        <w:t>14</w:t>
      </w:r>
      <w:r w:rsidR="003D07F4" w:rsidRPr="00610621">
        <w:rPr>
          <w:rFonts w:eastAsia="Times New Roman"/>
          <w:color w:val="222222"/>
          <w:highlight w:val="white"/>
          <w:lang w:val="en-GB"/>
        </w:rPr>
        <w:t xml:space="preserve"> November</w:t>
      </w:r>
      <w:r w:rsidRPr="00610621">
        <w:rPr>
          <w:rFonts w:eastAsia="Times New Roman"/>
          <w:color w:val="222222"/>
          <w:highlight w:val="white"/>
          <w:lang w:val="en-GB"/>
        </w:rPr>
        <w:t xml:space="preserve"> 2025</w:t>
      </w:r>
      <w:r w:rsidR="00B904AA" w:rsidRPr="00610621">
        <w:rPr>
          <w:rFonts w:eastAsia="Times New Roman"/>
          <w:color w:val="222222"/>
          <w:highlight w:val="white"/>
          <w:lang w:val="en-GB"/>
        </w:rPr>
        <w:t>).</w:t>
      </w:r>
    </w:p>
    <w:p w14:paraId="64F51E31" w14:textId="2F3D98C4" w:rsidR="005F572A" w:rsidRPr="00610621" w:rsidRDefault="005F572A" w:rsidP="00610621">
      <w:pPr>
        <w:spacing w:before="240" w:after="240" w:line="360" w:lineRule="auto"/>
        <w:jc w:val="both"/>
        <w:rPr>
          <w:rFonts w:eastAsia="Times New Roman"/>
          <w:color w:val="222222"/>
          <w:highlight w:val="white"/>
          <w:lang w:val="en-GB"/>
        </w:rPr>
      </w:pPr>
      <w:r w:rsidRPr="00610621">
        <w:rPr>
          <w:rFonts w:eastAsia="Times New Roman"/>
          <w:color w:val="222222"/>
          <w:highlight w:val="white"/>
          <w:lang w:val="en-GB"/>
        </w:rPr>
        <w:t>Yuvaraj, N., Srihari, K., Dhiman, G., Somasundaram, K., Sharma, A., Rajeskannan, S.M.G.S.M.A., Soni, M., Gaba, G.S., AlZain, M.A. and Masud, M. (2021). Nature</w:t>
      </w:r>
      <w:r w:rsidRPr="00610621">
        <w:rPr>
          <w:rFonts w:ascii="Cambria Math" w:eastAsia="Times New Roman" w:hAnsi="Cambria Math" w:cs="Cambria Math"/>
          <w:color w:val="222222"/>
          <w:highlight w:val="white"/>
          <w:lang w:val="en-GB"/>
        </w:rPr>
        <w:t>‐</w:t>
      </w:r>
      <w:r w:rsidRPr="00610621">
        <w:rPr>
          <w:rFonts w:eastAsia="Times New Roman"/>
          <w:color w:val="222222"/>
          <w:highlight w:val="white"/>
          <w:lang w:val="en-GB"/>
        </w:rPr>
        <w:t>inspired</w:t>
      </w:r>
      <w:r w:rsidRPr="00610621">
        <w:rPr>
          <w:rFonts w:ascii="Cambria Math" w:eastAsia="Times New Roman" w:hAnsi="Cambria Math" w:cs="Cambria Math"/>
          <w:color w:val="222222"/>
          <w:highlight w:val="white"/>
          <w:lang w:val="en-GB"/>
        </w:rPr>
        <w:t>‐</w:t>
      </w:r>
      <w:r w:rsidRPr="00610621">
        <w:rPr>
          <w:rFonts w:eastAsia="Times New Roman"/>
          <w:color w:val="222222"/>
          <w:highlight w:val="white"/>
          <w:lang w:val="en-GB"/>
        </w:rPr>
        <w:t xml:space="preserve">based approach for automated cyberbullying classification on multimedia social networking. </w:t>
      </w:r>
      <w:r w:rsidRPr="00610621">
        <w:rPr>
          <w:rFonts w:eastAsia="Times New Roman"/>
          <w:i/>
          <w:color w:val="222222"/>
          <w:highlight w:val="white"/>
          <w:lang w:val="en-GB"/>
        </w:rPr>
        <w:t>Mathematical Problems in Engineering</w:t>
      </w:r>
      <w:r w:rsidRPr="00610621">
        <w:rPr>
          <w:rFonts w:eastAsia="Times New Roman"/>
          <w:color w:val="222222"/>
          <w:highlight w:val="white"/>
          <w:lang w:val="en-GB"/>
        </w:rPr>
        <w:t xml:space="preserve">, </w:t>
      </w:r>
      <w:r w:rsidRPr="00610621">
        <w:rPr>
          <w:rFonts w:eastAsia="Times New Roman"/>
          <w:i/>
          <w:color w:val="222222"/>
          <w:highlight w:val="white"/>
          <w:lang w:val="en-GB"/>
        </w:rPr>
        <w:t>2021</w:t>
      </w:r>
      <w:r w:rsidRPr="00610621">
        <w:rPr>
          <w:rFonts w:eastAsia="Times New Roman"/>
          <w:color w:val="222222"/>
          <w:highlight w:val="white"/>
          <w:lang w:val="en-GB"/>
        </w:rPr>
        <w:t xml:space="preserve">(1), pp.664-4652.  Available at: </w:t>
      </w:r>
      <w:hyperlink r:id="rId35" w:history="1">
        <w:r w:rsidR="00B904AA" w:rsidRPr="00610621">
          <w:rPr>
            <w:rStyle w:val="Hyperlink"/>
            <w:rFonts w:eastAsia="Times New Roman"/>
            <w:highlight w:val="white"/>
            <w:lang w:val="en-GB"/>
          </w:rPr>
          <w:t>https://onlinelibrary.wiley.com/doi/abs/10.1155/2021/6644652</w:t>
        </w:r>
      </w:hyperlink>
      <w:r w:rsidR="00B904AA" w:rsidRPr="00610621">
        <w:rPr>
          <w:rFonts w:eastAsia="Times New Roman"/>
          <w:color w:val="222222"/>
          <w:highlight w:val="white"/>
          <w:lang w:val="en-GB"/>
        </w:rPr>
        <w:t>. (</w:t>
      </w:r>
      <w:r w:rsidRPr="00610621">
        <w:rPr>
          <w:rFonts w:eastAsia="Times New Roman"/>
          <w:color w:val="222222"/>
          <w:highlight w:val="white"/>
          <w:lang w:val="en-GB"/>
        </w:rPr>
        <w:t xml:space="preserve">Accessed on: </w:t>
      </w:r>
      <w:r w:rsidR="00857AB1" w:rsidRPr="00610621">
        <w:rPr>
          <w:rFonts w:eastAsia="Times New Roman"/>
          <w:color w:val="222222"/>
          <w:highlight w:val="white"/>
          <w:lang w:val="en-GB"/>
        </w:rPr>
        <w:t>14 November</w:t>
      </w:r>
      <w:r w:rsidRPr="00610621">
        <w:rPr>
          <w:rFonts w:eastAsia="Times New Roman"/>
          <w:color w:val="222222"/>
          <w:highlight w:val="white"/>
          <w:lang w:val="en-GB"/>
        </w:rPr>
        <w:t>. 2025</w:t>
      </w:r>
      <w:r w:rsidR="00857AB1" w:rsidRPr="00610621">
        <w:rPr>
          <w:rFonts w:eastAsia="Times New Roman"/>
          <w:color w:val="222222"/>
          <w:highlight w:val="white"/>
          <w:lang w:val="en-GB"/>
        </w:rPr>
        <w:t>).</w:t>
      </w:r>
    </w:p>
    <w:sectPr w:rsidR="005F572A" w:rsidRPr="00610621" w:rsidSect="005A6487">
      <w:footerReference w:type="default" r:id="rId3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B7116" w14:textId="77777777" w:rsidR="004C6739" w:rsidRDefault="004C6739">
      <w:pPr>
        <w:spacing w:line="240" w:lineRule="auto"/>
      </w:pPr>
      <w:r>
        <w:separator/>
      </w:r>
    </w:p>
  </w:endnote>
  <w:endnote w:type="continuationSeparator" w:id="0">
    <w:p w14:paraId="6434AADF" w14:textId="77777777" w:rsidR="004C6739" w:rsidRDefault="004C6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9141F19-ADA7-46F8-BB00-2F212DD13BD9}"/>
  </w:font>
  <w:font w:name="Gungsuh">
    <w:charset w:val="81"/>
    <w:family w:val="roman"/>
    <w:pitch w:val="variable"/>
    <w:sig w:usb0="B00002AF" w:usb1="69D77CFB" w:usb2="00000030" w:usb3="00000000" w:csb0="0008009F" w:csb1="00000000"/>
    <w:embedRegular r:id="rId2" w:subsetted="1" w:fontKey="{34D0280B-96F9-48D2-8AD2-386FDE5500F5}"/>
  </w:font>
  <w:font w:name="Cambria Math">
    <w:panose1 w:val="02040503050406030204"/>
    <w:charset w:val="00"/>
    <w:family w:val="roman"/>
    <w:pitch w:val="variable"/>
    <w:sig w:usb0="E00006FF" w:usb1="420024FF" w:usb2="02000000" w:usb3="00000000" w:csb0="0000019F" w:csb1="00000000"/>
    <w:embedRegular r:id="rId3" w:fontKey="{3B9B06D8-4F67-438E-82A6-633F80DC0DE3}"/>
  </w:font>
  <w:font w:name="Cambria">
    <w:panose1 w:val="02040503050406030204"/>
    <w:charset w:val="00"/>
    <w:family w:val="roman"/>
    <w:pitch w:val="variable"/>
    <w:sig w:usb0="E00006FF" w:usb1="420024FF" w:usb2="02000000" w:usb3="00000000" w:csb0="0000019F" w:csb1="00000000"/>
    <w:embedRegular r:id="rId4" w:fontKey="{BF365529-9A7F-470B-9F57-2D3F4F7B75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839039"/>
      <w:docPartObj>
        <w:docPartGallery w:val="Page Numbers (Bottom of Page)"/>
        <w:docPartUnique/>
      </w:docPartObj>
    </w:sdtPr>
    <w:sdtEndPr/>
    <w:sdtContent>
      <w:sdt>
        <w:sdtPr>
          <w:id w:val="-1769616900"/>
          <w:docPartObj>
            <w:docPartGallery w:val="Page Numbers (Top of Page)"/>
            <w:docPartUnique/>
          </w:docPartObj>
        </w:sdtPr>
        <w:sdtEndPr/>
        <w:sdtContent>
          <w:p w14:paraId="1B14E833" w14:textId="77777777" w:rsidR="005A6487" w:rsidRDefault="00137F87">
            <w:pPr>
              <w:pStyle w:val="Footer"/>
              <w:jc w:val="right"/>
            </w:pPr>
            <w:r w:rsidRPr="005A6487">
              <w:rPr>
                <w:sz w:val="20"/>
                <w:szCs w:val="24"/>
              </w:rPr>
              <w:t xml:space="preserve">Page </w:t>
            </w:r>
            <w:r w:rsidRPr="005A6487">
              <w:rPr>
                <w:b/>
                <w:bCs/>
                <w:sz w:val="20"/>
                <w:szCs w:val="24"/>
              </w:rPr>
              <w:fldChar w:fldCharType="begin"/>
            </w:r>
            <w:r w:rsidRPr="005A6487">
              <w:rPr>
                <w:b/>
                <w:bCs/>
                <w:sz w:val="20"/>
                <w:szCs w:val="24"/>
              </w:rPr>
              <w:instrText xml:space="preserve"> PAGE </w:instrText>
            </w:r>
            <w:r w:rsidRPr="005A6487">
              <w:rPr>
                <w:b/>
                <w:bCs/>
                <w:sz w:val="20"/>
                <w:szCs w:val="24"/>
              </w:rPr>
              <w:fldChar w:fldCharType="separate"/>
            </w:r>
            <w:r w:rsidR="0064787E">
              <w:rPr>
                <w:b/>
                <w:bCs/>
                <w:noProof/>
                <w:sz w:val="20"/>
                <w:szCs w:val="24"/>
              </w:rPr>
              <w:t>16</w:t>
            </w:r>
            <w:r w:rsidRPr="005A6487">
              <w:rPr>
                <w:b/>
                <w:bCs/>
                <w:sz w:val="20"/>
                <w:szCs w:val="24"/>
              </w:rPr>
              <w:fldChar w:fldCharType="end"/>
            </w:r>
            <w:r w:rsidRPr="005A6487">
              <w:rPr>
                <w:sz w:val="20"/>
                <w:szCs w:val="24"/>
              </w:rPr>
              <w:t xml:space="preserve"> of </w:t>
            </w:r>
            <w:r w:rsidRPr="005A6487">
              <w:rPr>
                <w:b/>
                <w:bCs/>
                <w:sz w:val="20"/>
                <w:szCs w:val="24"/>
              </w:rPr>
              <w:fldChar w:fldCharType="begin"/>
            </w:r>
            <w:r w:rsidRPr="005A6487">
              <w:rPr>
                <w:b/>
                <w:bCs/>
                <w:sz w:val="20"/>
                <w:szCs w:val="24"/>
              </w:rPr>
              <w:instrText xml:space="preserve"> NUMPAGES  </w:instrText>
            </w:r>
            <w:r w:rsidRPr="005A6487">
              <w:rPr>
                <w:b/>
                <w:bCs/>
                <w:sz w:val="20"/>
                <w:szCs w:val="24"/>
              </w:rPr>
              <w:fldChar w:fldCharType="separate"/>
            </w:r>
            <w:r w:rsidR="0064787E">
              <w:rPr>
                <w:b/>
                <w:bCs/>
                <w:noProof/>
                <w:sz w:val="20"/>
                <w:szCs w:val="24"/>
              </w:rPr>
              <w:t>16</w:t>
            </w:r>
            <w:r w:rsidRPr="005A6487">
              <w:rPr>
                <w:b/>
                <w:bCs/>
                <w:sz w:val="20"/>
                <w:szCs w:val="24"/>
              </w:rPr>
              <w:fldChar w:fldCharType="end"/>
            </w:r>
          </w:p>
        </w:sdtContent>
      </w:sdt>
    </w:sdtContent>
  </w:sdt>
  <w:p w14:paraId="0C1C9FA2" w14:textId="77777777" w:rsidR="005A6487" w:rsidRDefault="005A6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4138D" w14:textId="77777777" w:rsidR="004C6739" w:rsidRDefault="004C6739">
      <w:pPr>
        <w:spacing w:line="240" w:lineRule="auto"/>
      </w:pPr>
      <w:r>
        <w:separator/>
      </w:r>
    </w:p>
  </w:footnote>
  <w:footnote w:type="continuationSeparator" w:id="0">
    <w:p w14:paraId="7C944A3D" w14:textId="77777777" w:rsidR="004C6739" w:rsidRDefault="004C67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1B12FB"/>
    <w:multiLevelType w:val="multilevel"/>
    <w:tmpl w:val="A9943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370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0BC"/>
    <w:rsid w:val="00015A65"/>
    <w:rsid w:val="000201CD"/>
    <w:rsid w:val="00024599"/>
    <w:rsid w:val="00042FB5"/>
    <w:rsid w:val="00062512"/>
    <w:rsid w:val="000E71FE"/>
    <w:rsid w:val="000F5460"/>
    <w:rsid w:val="00131120"/>
    <w:rsid w:val="00137F87"/>
    <w:rsid w:val="00146A93"/>
    <w:rsid w:val="001525AF"/>
    <w:rsid w:val="00237475"/>
    <w:rsid w:val="00240563"/>
    <w:rsid w:val="00265579"/>
    <w:rsid w:val="002722AD"/>
    <w:rsid w:val="002830BC"/>
    <w:rsid w:val="002A248B"/>
    <w:rsid w:val="00345915"/>
    <w:rsid w:val="003964BC"/>
    <w:rsid w:val="003C44EE"/>
    <w:rsid w:val="003D07F4"/>
    <w:rsid w:val="00412A40"/>
    <w:rsid w:val="00425AD7"/>
    <w:rsid w:val="00430E62"/>
    <w:rsid w:val="004626A0"/>
    <w:rsid w:val="004674CF"/>
    <w:rsid w:val="00480FC3"/>
    <w:rsid w:val="00490AD8"/>
    <w:rsid w:val="004A5DA7"/>
    <w:rsid w:val="004B0868"/>
    <w:rsid w:val="004C6739"/>
    <w:rsid w:val="004C6C4C"/>
    <w:rsid w:val="005215E0"/>
    <w:rsid w:val="0054397C"/>
    <w:rsid w:val="005A6487"/>
    <w:rsid w:val="005F572A"/>
    <w:rsid w:val="006066B5"/>
    <w:rsid w:val="00610621"/>
    <w:rsid w:val="0061452B"/>
    <w:rsid w:val="0064787E"/>
    <w:rsid w:val="0065640B"/>
    <w:rsid w:val="0067549E"/>
    <w:rsid w:val="006821A3"/>
    <w:rsid w:val="006B47C0"/>
    <w:rsid w:val="006B770D"/>
    <w:rsid w:val="0071626B"/>
    <w:rsid w:val="007230D5"/>
    <w:rsid w:val="00736A80"/>
    <w:rsid w:val="00787A5B"/>
    <w:rsid w:val="007A7208"/>
    <w:rsid w:val="007B6C3D"/>
    <w:rsid w:val="007C54B8"/>
    <w:rsid w:val="008337C7"/>
    <w:rsid w:val="00857AB1"/>
    <w:rsid w:val="00892DC2"/>
    <w:rsid w:val="00916AE5"/>
    <w:rsid w:val="009472A4"/>
    <w:rsid w:val="00996AC4"/>
    <w:rsid w:val="009C7AA8"/>
    <w:rsid w:val="009E597A"/>
    <w:rsid w:val="00A004AC"/>
    <w:rsid w:val="00A41CC8"/>
    <w:rsid w:val="00A5687B"/>
    <w:rsid w:val="00A7073A"/>
    <w:rsid w:val="00A912B3"/>
    <w:rsid w:val="00AA1974"/>
    <w:rsid w:val="00AA63CB"/>
    <w:rsid w:val="00AE6991"/>
    <w:rsid w:val="00B01379"/>
    <w:rsid w:val="00B02660"/>
    <w:rsid w:val="00B2316B"/>
    <w:rsid w:val="00B404C6"/>
    <w:rsid w:val="00B63805"/>
    <w:rsid w:val="00B904AA"/>
    <w:rsid w:val="00B907DF"/>
    <w:rsid w:val="00B94E10"/>
    <w:rsid w:val="00C04B12"/>
    <w:rsid w:val="00C13A3A"/>
    <w:rsid w:val="00C91E27"/>
    <w:rsid w:val="00CB03B3"/>
    <w:rsid w:val="00CD549B"/>
    <w:rsid w:val="00CF6AA0"/>
    <w:rsid w:val="00D250B6"/>
    <w:rsid w:val="00D25B3A"/>
    <w:rsid w:val="00D30A9C"/>
    <w:rsid w:val="00D31D3C"/>
    <w:rsid w:val="00D401E9"/>
    <w:rsid w:val="00D7203E"/>
    <w:rsid w:val="00D85CCC"/>
    <w:rsid w:val="00DA645B"/>
    <w:rsid w:val="00DD0CAB"/>
    <w:rsid w:val="00DE77CB"/>
    <w:rsid w:val="00E00E4F"/>
    <w:rsid w:val="00E03CB1"/>
    <w:rsid w:val="00E047DB"/>
    <w:rsid w:val="00E15666"/>
    <w:rsid w:val="00E42162"/>
    <w:rsid w:val="00E54D78"/>
    <w:rsid w:val="00EA27C2"/>
    <w:rsid w:val="00EB204C"/>
    <w:rsid w:val="00F013F1"/>
    <w:rsid w:val="00F02D6E"/>
    <w:rsid w:val="00F374A7"/>
    <w:rsid w:val="00F610E0"/>
    <w:rsid w:val="00F665DA"/>
    <w:rsid w:val="00FD0D6F"/>
    <w:rsid w:val="00FF5F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F21AA"/>
  <w15:docId w15:val="{13A57947-82BB-45F3-9BC1-F93A77E6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5F572A"/>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qFormat/>
    <w:rsid w:val="005F572A"/>
    <w:pPr>
      <w:keepNext/>
      <w:keepLines/>
      <w:spacing w:before="360" w:after="120" w:line="360" w:lineRule="auto"/>
      <w:jc w:val="both"/>
      <w:outlineLvl w:val="1"/>
    </w:pPr>
    <w:rPr>
      <w:b/>
      <w:i/>
      <w:color w:val="000000" w:themeColor="text1"/>
      <w:sz w:val="26"/>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A6487"/>
    <w:pPr>
      <w:tabs>
        <w:tab w:val="center" w:pos="4513"/>
        <w:tab w:val="right" w:pos="9026"/>
      </w:tabs>
      <w:spacing w:line="240" w:lineRule="auto"/>
    </w:pPr>
  </w:style>
  <w:style w:type="character" w:customStyle="1" w:styleId="HeaderChar">
    <w:name w:val="Header Char"/>
    <w:basedOn w:val="DefaultParagraphFont"/>
    <w:link w:val="Header"/>
    <w:uiPriority w:val="99"/>
    <w:rsid w:val="005A6487"/>
  </w:style>
  <w:style w:type="paragraph" w:styleId="Footer">
    <w:name w:val="footer"/>
    <w:basedOn w:val="Normal"/>
    <w:link w:val="FooterChar"/>
    <w:uiPriority w:val="99"/>
    <w:unhideWhenUsed/>
    <w:rsid w:val="005A6487"/>
    <w:pPr>
      <w:tabs>
        <w:tab w:val="center" w:pos="4513"/>
        <w:tab w:val="right" w:pos="9026"/>
      </w:tabs>
      <w:spacing w:line="240" w:lineRule="auto"/>
    </w:pPr>
  </w:style>
  <w:style w:type="character" w:customStyle="1" w:styleId="FooterChar">
    <w:name w:val="Footer Char"/>
    <w:basedOn w:val="DefaultParagraphFont"/>
    <w:link w:val="Footer"/>
    <w:uiPriority w:val="99"/>
    <w:rsid w:val="005A6487"/>
  </w:style>
  <w:style w:type="paragraph" w:styleId="TOCHeading">
    <w:name w:val="TOC Heading"/>
    <w:basedOn w:val="Heading1"/>
    <w:next w:val="Normal"/>
    <w:uiPriority w:val="39"/>
    <w:unhideWhenUsed/>
    <w:qFormat/>
    <w:rsid w:val="005F57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F572A"/>
    <w:pPr>
      <w:spacing w:after="100"/>
    </w:pPr>
  </w:style>
  <w:style w:type="paragraph" w:styleId="TOC2">
    <w:name w:val="toc 2"/>
    <w:basedOn w:val="Normal"/>
    <w:next w:val="Normal"/>
    <w:autoRedefine/>
    <w:uiPriority w:val="39"/>
    <w:unhideWhenUsed/>
    <w:rsid w:val="005F572A"/>
    <w:pPr>
      <w:spacing w:after="100"/>
      <w:ind w:left="220"/>
    </w:pPr>
  </w:style>
  <w:style w:type="character" w:styleId="Hyperlink">
    <w:name w:val="Hyperlink"/>
    <w:basedOn w:val="DefaultParagraphFont"/>
    <w:uiPriority w:val="99"/>
    <w:unhideWhenUsed/>
    <w:rsid w:val="005F572A"/>
    <w:rPr>
      <w:color w:val="0000FF" w:themeColor="hyperlink"/>
      <w:u w:val="single"/>
    </w:rPr>
  </w:style>
  <w:style w:type="character" w:styleId="UnresolvedMention">
    <w:name w:val="Unresolved Mention"/>
    <w:basedOn w:val="DefaultParagraphFont"/>
    <w:uiPriority w:val="99"/>
    <w:semiHidden/>
    <w:unhideWhenUsed/>
    <w:rsid w:val="000E7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record/2023-72662-001" TargetMode="External"/><Relationship Id="rId18" Type="http://schemas.openxmlformats.org/officeDocument/2006/relationships/hyperlink" Target="https://akjournals.com/view/journals/2006/aop/article-10.1556-2006.2023.00083/" TargetMode="External"/><Relationship Id="rId26" Type="http://schemas.openxmlformats.org/officeDocument/2006/relationships/hyperlink" Target="https://psycnet.apa.org/fulltext/2022-09577-001.html" TargetMode="External"/><Relationship Id="rId21" Type="http://schemas.openxmlformats.org/officeDocument/2006/relationships/hyperlink" Target="https://link.springer.com/article/10.1007/s00406-022-01495-5" TargetMode="External"/><Relationship Id="rId34" Type="http://schemas.openxmlformats.org/officeDocument/2006/relationships/hyperlink" Target="https://www.sciencedirect.com/science/article/pii/S027249442100201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onlinelibrary.wiley.com/doi/abs/10.1002/cpp.2594" TargetMode="External"/><Relationship Id="rId25" Type="http://schemas.openxmlformats.org/officeDocument/2006/relationships/hyperlink" Target="https://faithbehavioralhealth.com/impulse-control-disorder/" TargetMode="External"/><Relationship Id="rId33" Type="http://schemas.openxmlformats.org/officeDocument/2006/relationships/hyperlink" Target="https://psycnet.apa.org/fulltext/2023-32731-019.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moneeds.com/impulse-control-disorder/" TargetMode="External"/><Relationship Id="rId20" Type="http://schemas.openxmlformats.org/officeDocument/2006/relationships/hyperlink" Target="https://onlinelibrary.wiley.com/doi/abs/10.1002/wps.20884" TargetMode="External"/><Relationship Id="rId29" Type="http://schemas.openxmlformats.org/officeDocument/2006/relationships/hyperlink" Target="https://eric.ed.gov/?id=EJ129162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urnals.humankinetics.com/view/journals/ijspp/aop/article-10.1123-ijspp.2021-0451/article-10.1123-ijspp.2021-0451.xml?content=supplementary-materials" TargetMode="External"/><Relationship Id="rId32" Type="http://schemas.openxmlformats.org/officeDocument/2006/relationships/hyperlink" Target="https://onlinelibrary.wiley.com/doi/abs/10.1002/wps.21073"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ature.com/articles/s44159-023-00218-4" TargetMode="External"/><Relationship Id="rId23" Type="http://schemas.openxmlformats.org/officeDocument/2006/relationships/hyperlink" Target="https://www.cambridge.org/core/journals/psychological-medicine/article/" TargetMode="External"/><Relationship Id="rId28" Type="http://schemas.openxmlformats.org/officeDocument/2006/relationships/hyperlink" Target="https://www.frontiersin.org/articles/10.3389/fpsyt.2021.628252/full"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journals.sagepub.com/doi/abs/10.1177/08295735211055355" TargetMode="External"/><Relationship Id="rId31" Type="http://schemas.openxmlformats.org/officeDocument/2006/relationships/hyperlink" Target="https://link.springer.com/article/10.1007/s10648-022-09658-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abs/10.1177/0829573510396982" TargetMode="External"/><Relationship Id="rId22" Type="http://schemas.openxmlformats.org/officeDocument/2006/relationships/hyperlink" Target="https://www.frontiersin.org/journals/psychiatry/articles/10.3389/fpsyt.2021.649399/full" TargetMode="External"/><Relationship Id="rId27" Type="http://schemas.openxmlformats.org/officeDocument/2006/relationships/hyperlink" Target="https://www.ons.gov.uk/" TargetMode="External"/><Relationship Id="rId30" Type="http://schemas.openxmlformats.org/officeDocument/2006/relationships/hyperlink" Target="https://link.springer.com/article/10.1007/s11229-012-0081-3" TargetMode="External"/><Relationship Id="rId35" Type="http://schemas.openxmlformats.org/officeDocument/2006/relationships/hyperlink" Target="https://onlinelibrary.wiley.com/doi/abs/10.1155/2021/6644652"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9" ma:contentTypeDescription="Create a new document." ma:contentTypeScope="" ma:versionID="5bc956152665db9dd2299147c16eca26">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492bd90d73061ddc9fe67d743be0b475" ns3:_="" ns4:_="">
    <xsd:import namespace="cf035609-6cff-4773-8cb9-aee94aa6423a"/>
    <xsd:import namespace="2894b9f9-d233-4e1e-82bf-b6bf6c40fee1"/>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A0C376-E20D-4C44-A2BA-70DE148B5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C75640-3DF6-4F17-8200-93211C8C8784}">
  <ds:schemaRefs>
    <ds:schemaRef ds:uri="http://schemas.openxmlformats.org/officeDocument/2006/bibliography"/>
  </ds:schemaRefs>
</ds:datastoreItem>
</file>

<file path=customXml/itemProps3.xml><?xml version="1.0" encoding="utf-8"?>
<ds:datastoreItem xmlns:ds="http://schemas.openxmlformats.org/officeDocument/2006/customXml" ds:itemID="{CF2D9688-F6EF-4A3D-ABF8-0B34E57AB84C}">
  <ds:schemaRefs>
    <ds:schemaRef ds:uri="http://purl.org/dc/elements/1.1/"/>
    <ds:schemaRef ds:uri="http://schemas.microsoft.com/office/2006/documentManagement/types"/>
    <ds:schemaRef ds:uri="http://purl.org/dc/terms/"/>
    <ds:schemaRef ds:uri="cf035609-6cff-4773-8cb9-aee94aa6423a"/>
    <ds:schemaRef ds:uri="http://purl.org/dc/dcmitype/"/>
    <ds:schemaRef ds:uri="http://schemas.openxmlformats.org/package/2006/metadata/core-properties"/>
    <ds:schemaRef ds:uri="http://schemas.microsoft.com/office/infopath/2007/PartnerControls"/>
    <ds:schemaRef ds:uri="2894b9f9-d233-4e1e-82bf-b6bf6c40fee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62BB76E-FE5A-4E0E-8F00-384B6569DC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3790</Words>
  <Characters>21608</Characters>
  <Application>Microsoft Office Word</Application>
  <DocSecurity>0</DocSecurity>
  <Lines>180</Lines>
  <Paragraphs>50</Paragraphs>
  <ScaleCrop>false</ScaleCrop>
  <Company/>
  <LinksUpToDate>false</LinksUpToDate>
  <CharactersWithSpaces>25348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Stacy-Ann Watson (2238279)</cp:lastModifiedBy>
  <cp:revision>2</cp:revision>
  <dcterms:created xsi:type="dcterms:W3CDTF">2025-11-16T17:37:00Z</dcterms:created>
  <dcterms:modified xsi:type="dcterms:W3CDTF">2025-11-16T17:37:00Z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