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Times New Roman" w:cs="Times New Roman" w:hAnsi="Times New Roman" w:eastAsia="Times New Roman"/>
          <w:b w:val="1"/>
          <w:bCs w:val="1"/>
          <w:sz w:val="32"/>
          <w:szCs w:val="32"/>
        </w:rPr>
      </w:pPr>
    </w:p>
    <w:p>
      <w:pPr>
        <w:pStyle w:val="Body"/>
        <w:jc w:val="center"/>
        <w:rPr>
          <w:rFonts w:ascii="Times New Roman" w:cs="Times New Roman" w:hAnsi="Times New Roman" w:eastAsia="Times New Roman"/>
          <w:b w:val="1"/>
          <w:bCs w:val="1"/>
          <w:sz w:val="32"/>
          <w:szCs w:val="32"/>
        </w:rPr>
      </w:pPr>
    </w:p>
    <w:p>
      <w:pPr>
        <w:pStyle w:val="Body"/>
        <w:jc w:val="center"/>
        <w:rPr>
          <w:rFonts w:ascii="Times New Roman" w:cs="Times New Roman" w:hAnsi="Times New Roman" w:eastAsia="Times New Roman"/>
          <w:b w:val="1"/>
          <w:bCs w:val="1"/>
          <w:sz w:val="32"/>
          <w:szCs w:val="32"/>
        </w:rPr>
      </w:pPr>
    </w:p>
    <w:p>
      <w:pPr>
        <w:pStyle w:val="Body"/>
        <w:jc w:val="center"/>
        <w:rPr>
          <w:rFonts w:ascii="Times New Roman" w:cs="Times New Roman" w:hAnsi="Times New Roman" w:eastAsia="Times New Roman"/>
          <w:b w:val="1"/>
          <w:bCs w:val="1"/>
          <w:sz w:val="32"/>
          <w:szCs w:val="32"/>
        </w:rPr>
      </w:pPr>
    </w:p>
    <w:p>
      <w:pPr>
        <w:pStyle w:val="Body"/>
        <w:jc w:val="center"/>
        <w:rPr>
          <w:rFonts w:ascii="Times New Roman" w:cs="Times New Roman" w:hAnsi="Times New Roman" w:eastAsia="Times New Roman"/>
          <w:b w:val="1"/>
          <w:bCs w:val="1"/>
          <w:sz w:val="32"/>
          <w:szCs w:val="32"/>
        </w:rPr>
      </w:pPr>
    </w:p>
    <w:p>
      <w:pPr>
        <w:pStyle w:val="Body"/>
        <w:jc w:val="center"/>
        <w:rPr>
          <w:rFonts w:ascii="Times New Roman" w:cs="Times New Roman" w:hAnsi="Times New Roman" w:eastAsia="Times New Roman"/>
          <w:b w:val="1"/>
          <w:bCs w:val="1"/>
          <w:sz w:val="32"/>
          <w:szCs w:val="32"/>
        </w:rPr>
      </w:pPr>
    </w:p>
    <w:p>
      <w:pPr>
        <w:pStyle w:val="Body"/>
        <w:jc w:val="center"/>
        <w:rPr>
          <w:rFonts w:ascii="Times New Roman" w:cs="Times New Roman" w:hAnsi="Times New Roman" w:eastAsia="Times New Roman"/>
          <w:b w:val="1"/>
          <w:bCs w:val="1"/>
          <w:sz w:val="32"/>
          <w:szCs w:val="32"/>
        </w:rPr>
      </w:pPr>
    </w:p>
    <w:p>
      <w:pPr>
        <w:pStyle w:val="Body"/>
        <w:jc w:val="center"/>
        <w:rPr>
          <w:rFonts w:ascii="Times New Roman" w:cs="Times New Roman" w:hAnsi="Times New Roman" w:eastAsia="Times New Roman"/>
          <w:b w:val="1"/>
          <w:bCs w:val="1"/>
          <w:sz w:val="32"/>
          <w:szCs w:val="32"/>
        </w:rPr>
      </w:pPr>
    </w:p>
    <w:p>
      <w:pPr>
        <w:pStyle w:val="Body"/>
        <w:jc w:val="center"/>
        <w:rPr>
          <w:rFonts w:ascii="Times New Roman" w:cs="Times New Roman" w:hAnsi="Times New Roman" w:eastAsia="Times New Roman"/>
          <w:b w:val="1"/>
          <w:bCs w:val="1"/>
          <w:sz w:val="32"/>
          <w:szCs w:val="32"/>
        </w:rPr>
      </w:pPr>
    </w:p>
    <w:p>
      <w:pPr>
        <w:pStyle w:val="Body"/>
        <w:jc w:val="center"/>
        <w:rPr>
          <w:rFonts w:ascii="Times New Roman" w:cs="Times New Roman" w:hAnsi="Times New Roman" w:eastAsia="Times New Roman"/>
          <w:b w:val="1"/>
          <w:bCs w:val="1"/>
          <w:sz w:val="32"/>
          <w:szCs w:val="32"/>
        </w:rPr>
      </w:pPr>
    </w:p>
    <w:p>
      <w:pPr>
        <w:pStyle w:val="Body"/>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Assignment 1 Community Engagement</w:t>
      </w:r>
    </w:p>
    <w:p>
      <w:pPr>
        <w:pStyle w:val="Body"/>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rPr>
        <w:t>Molly Jack</w:t>
      </w:r>
    </w:p>
    <w:p>
      <w:pPr>
        <w:pStyle w:val="Body"/>
        <w:jc w:val="center"/>
      </w:pPr>
      <w:r>
        <w:rPr>
          <w:rFonts w:ascii="Times New Roman" w:hAnsi="Times New Roman"/>
          <w:b w:val="1"/>
          <w:bCs w:val="1"/>
          <w:sz w:val="32"/>
          <w:szCs w:val="32"/>
          <w:rtl w:val="0"/>
        </w:rPr>
        <w:t>Dumitrita Ciudin (2030848)</w:t>
      </w:r>
      <w:r>
        <w:rPr>
          <w:rFonts w:ascii="Arial Unicode MS" w:cs="Arial Unicode MS" w:hAnsi="Arial Unicode MS" w:eastAsia="Arial Unicode MS"/>
          <w:b w:val="0"/>
          <w:bCs w:val="0"/>
          <w:i w:val="0"/>
          <w:iCs w:val="0"/>
          <w:sz w:val="28"/>
          <w:szCs w:val="28"/>
        </w:rPr>
        <w:br w:type="page"/>
      </w:r>
    </w:p>
    <w:p>
      <w:pPr>
        <w:pStyle w:val="TOC Heading"/>
        <w:spacing w:line="360" w:lineRule="auto"/>
        <w:jc w:val="center"/>
        <w:rPr>
          <w:rFonts w:ascii="Times New Roman" w:cs="Times New Roman" w:hAnsi="Times New Roman" w:eastAsia="Times New Roman"/>
          <w:b w:val="1"/>
          <w:bCs w:val="1"/>
          <w:outline w:val="0"/>
          <w:color w:val="000000"/>
          <w:sz w:val="28"/>
          <w:szCs w:val="28"/>
          <w:u w:color="000000"/>
          <w14:textFill>
            <w14:solidFill>
              <w14:srgbClr w14:val="000000"/>
            </w14:solidFill>
          </w14:textFill>
        </w:rPr>
      </w:pPr>
      <w:r>
        <w:rPr>
          <w:rFonts w:ascii="Times New Roman" w:hAnsi="Times New Roman"/>
          <w:b w:val="1"/>
          <w:bCs w:val="1"/>
          <w:outline w:val="0"/>
          <w:color w:val="000000"/>
          <w:sz w:val="28"/>
          <w:szCs w:val="28"/>
          <w:u w:color="000000"/>
          <w:rtl w:val="0"/>
          <w:lang w:val="en-US"/>
          <w14:textFill>
            <w14:solidFill>
              <w14:srgbClr w14:val="000000"/>
            </w14:solidFill>
          </w14:textFill>
        </w:rPr>
        <w:t>Table of Contents</w:t>
      </w:r>
    </w:p>
    <w:p>
      <w:pPr>
        <w:pStyle w:val="Body"/>
        <w:spacing w:line="360" w:lineRule="auto"/>
        <w:jc w:val="both"/>
      </w:pPr>
      <w:r>
        <w:rPr>
          <w:rFonts w:ascii="Times New Roman" w:cs="Times New Roman" w:hAnsi="Times New Roman" w:eastAsia="Times New Roman"/>
          <w:b w:val="1"/>
          <w:bCs w:val="1"/>
          <w:outline w:val="0"/>
          <w:color w:val="000000"/>
          <w:sz w:val="28"/>
          <w:szCs w:val="28"/>
          <w:u w:color="000000"/>
          <w14:textFill>
            <w14:solidFill>
              <w14:srgbClr w14:val="000000"/>
            </w14:solidFill>
          </w14:textFill>
        </w:rPr>
        <w:fldChar w:fldCharType="begin" w:fldLock="0"/>
      </w:r>
      <w:r>
        <w:rPr>
          <w:rFonts w:ascii="Times New Roman" w:cs="Times New Roman" w:hAnsi="Times New Roman" w:eastAsia="Times New Roman"/>
          <w:b w:val="1"/>
          <w:bCs w:val="1"/>
          <w:outline w:val="0"/>
          <w:color w:val="000000"/>
          <w:sz w:val="28"/>
          <w:szCs w:val="28"/>
          <w:u w:color="000000"/>
          <w14:textFill>
            <w14:solidFill>
              <w14:srgbClr w14:val="000000"/>
            </w14:solidFill>
          </w14:textFill>
        </w:rPr>
        <w:instrText xml:space="preserve"> TOC \o 1-2 </w:instrText>
      </w:r>
      <w:r>
        <w:rPr>
          <w:rFonts w:ascii="Times New Roman" w:cs="Times New Roman" w:hAnsi="Times New Roman" w:eastAsia="Times New Roman"/>
          <w:b w:val="1"/>
          <w:bCs w:val="1"/>
          <w:outline w:val="0"/>
          <w:color w:val="000000"/>
          <w:sz w:val="28"/>
          <w:szCs w:val="28"/>
          <w:u w:color="000000"/>
          <w14:textFill>
            <w14:solidFill>
              <w14:srgbClr w14:val="000000"/>
            </w14:solidFill>
          </w14:textFill>
        </w:rPr>
        <w:fldChar w:fldCharType="separate" w:fldLock="0"/>
      </w:r>
    </w:p>
    <w:p>
      <w:pPr>
        <w:pStyle w:val="TOC 1"/>
      </w:pPr>
      <w:r>
        <w:rPr>
          <w:rFonts w:cs="Arial Unicode MS" w:eastAsia="Arial Unicode MS"/>
          <w:rtl w:val="0"/>
        </w:rPr>
        <w:t>Part A: Plan and coordinate a Community Engagement Event</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Introduction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Overview of the study</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Description of Project</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hint="default"/>
          <w:rtl w:val="0"/>
        </w:rPr>
        <w:t>Community Engagement’s best Practises with Respect to its Principles</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Principles of Community Engagement</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Standards of Community Engagement</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Benefits of social media in Community Engagement</w:t>
        <w:tab/>
      </w:r>
      <w:r>
        <w:rPr/>
        <w:fldChar w:fldCharType="begin" w:fldLock="0"/>
      </w:r>
      <w:r>
        <w:instrText xml:space="preserve"> PAGEREF _Toc7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hint="default"/>
          <w:rtl w:val="0"/>
        </w:rPr>
        <w:t>Advantages of the Stakeholder’s Engagement</w:t>
        <w:tab/>
      </w:r>
      <w:r>
        <w:rPr/>
        <w:fldChar w:fldCharType="begin" w:fldLock="0"/>
      </w:r>
      <w:r>
        <w:instrText xml:space="preserve"> PAGEREF _Toc8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Need of Forward-looking Approach for Community Development</w:t>
        <w:tab/>
      </w:r>
      <w:r>
        <w:rPr/>
        <w:fldChar w:fldCharType="begin" w:fldLock="0"/>
      </w:r>
      <w:r>
        <w:instrText xml:space="preserve"> PAGEREF _Toc9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Factors Influence Community Development</w:t>
        <w:tab/>
      </w:r>
      <w:r>
        <w:rPr/>
        <w:fldChar w:fldCharType="begin" w:fldLock="0"/>
      </w:r>
      <w:r>
        <w:instrText xml:space="preserve"> PAGEREF _Toc10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Conclusion and Recommendation</w:t>
        <w:tab/>
      </w:r>
      <w:r>
        <w:rPr/>
        <w:fldChar w:fldCharType="begin" w:fldLock="0"/>
      </w:r>
      <w:r>
        <w:instrText xml:space="preserve"> PAGEREF _Toc11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_Toc12 \h </w:instrText>
      </w:r>
      <w:r>
        <w:rPr/>
        <w:fldChar w:fldCharType="separate" w:fldLock="0"/>
      </w:r>
      <w:r>
        <w:rPr>
          <w:rFonts w:cs="Arial Unicode MS" w:eastAsia="Arial Unicode MS"/>
          <w:rtl w:val="0"/>
        </w:rPr>
        <w:t>13</w:t>
      </w:r>
      <w:r>
        <w:rPr/>
        <w:fldChar w:fldCharType="end" w:fldLock="0"/>
      </w:r>
    </w:p>
    <w:p>
      <w:pPr>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b w:val="1"/>
          <w:bCs w:val="1"/>
          <w:outline w:val="0"/>
          <w:color w:val="000000"/>
          <w:sz w:val="28"/>
          <w:szCs w:val="28"/>
          <w:u w:color="000000"/>
          <w14:textFill>
            <w14:solidFill>
              <w14:srgbClr w14:val="000000"/>
            </w14:solidFill>
          </w14:textFill>
        </w:rPr>
        <w:fldChar w:fldCharType="end" w:fldLock="0"/>
      </w:r>
    </w:p>
    <w:p>
      <w:pPr>
        <w:pStyle w:val="Body"/>
        <w:rPr>
          <w:rFonts w:ascii="Times New Roman" w:cs="Times New Roman" w:hAnsi="Times New Roman" w:eastAsia="Times New Roman"/>
          <w:b w:val="1"/>
          <w:bCs w:val="1"/>
          <w:sz w:val="28"/>
          <w:szCs w:val="28"/>
        </w:rPr>
      </w:pPr>
    </w:p>
    <w:p>
      <w:pPr>
        <w:pStyle w:val="Body"/>
      </w:pPr>
      <w:r>
        <w:rPr>
          <w:rFonts w:ascii="Arial Unicode MS" w:cs="Arial Unicode MS" w:hAnsi="Arial Unicode MS" w:eastAsia="Arial Unicode MS"/>
          <w:b w:val="0"/>
          <w:bCs w:val="0"/>
          <w:i w:val="0"/>
          <w:iCs w:val="0"/>
          <w:sz w:val="28"/>
          <w:szCs w:val="28"/>
        </w:rPr>
        <w:br w:type="page"/>
      </w:r>
    </w:p>
    <w:p>
      <w:pPr>
        <w:pStyle w:val="Heading"/>
        <w:rPr>
          <w:b w:val="0"/>
          <w:bCs w:val="0"/>
        </w:rPr>
      </w:pPr>
      <w:bookmarkStart w:name="_Toc" w:id="0"/>
      <w:r>
        <w:rPr>
          <w:rFonts w:cs="Arial Unicode MS" w:eastAsia="Arial Unicode MS"/>
          <w:rtl w:val="0"/>
          <w:lang w:val="en-US"/>
        </w:rPr>
        <w:t>Part A: Plan and coordinate a Community Engagement Event</w:t>
      </w:r>
      <w:bookmarkEnd w:id="0"/>
    </w:p>
    <w:p>
      <w:pPr>
        <w:pStyle w:val="Heading"/>
      </w:pPr>
      <w:bookmarkStart w:name="_Toc1" w:id="1"/>
      <w:r>
        <w:rPr>
          <w:rFonts w:cs="Arial Unicode MS" w:eastAsia="Arial Unicode MS"/>
          <w:rtl w:val="0"/>
          <w:lang w:val="fr-FR"/>
        </w:rPr>
        <w:t>Introduction</w:t>
      </w:r>
      <w:bookmarkEnd w:id="1"/>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Community engagement defines the procedure by which corporations and persons gaining from public goods build lasting relations to register a common vision for the good of society. Instances incorporate filling out volunteer movements in local corporations, making social media techniques for corporations, or making murals. Community engagement is a method to make sure that members of society have access to valuable social conditions and pursuit, experience capable of making a significant contribution to these pursuits, and grow functional skills that enable full participation. Interaction with the community is built on successful connections in the middle of people (</w:t>
      </w:r>
      <w:r>
        <w:rPr>
          <w:rFonts w:ascii="Times New Roman" w:hAnsi="Times New Roman"/>
          <w:sz w:val="24"/>
          <w:szCs w:val="24"/>
          <w:shd w:val="clear" w:color="auto" w:fill="ffffff"/>
          <w:rtl w:val="0"/>
          <w:lang w:val="en-US"/>
        </w:rPr>
        <w:t>World Health Organization, 2017</w:t>
      </w:r>
      <w:r>
        <w:rPr>
          <w:rFonts w:ascii="Times New Roman" w:hAnsi="Times New Roman"/>
          <w:sz w:val="24"/>
          <w:szCs w:val="24"/>
          <w:rtl w:val="0"/>
          <w:lang w:val="en-US"/>
        </w:rPr>
        <w:t xml:space="preserve">). It also needs respect and belief among the participants along with a usual comprehension and objectives. Involving the community in organisation and resolution-making can strengthen their ability to take measures that lead to practical change. The community triangle defines three main goals: Resolution making that gives a chance for the community to give to better decision making. Relationship growth includes creating latest relationships and/or enhancing previous relations within a group (Aese.psu.edu, 2021). In this article, Overview the project, brief of project, finest practices of Community Engagement and principle of Community Engagement will be discussed. Standards of Community Engagement, Advantage of social media in Community Engagement, Benefits of stakeholder engagement, factors which are impacted Community Development will be talked about. </w:t>
      </w:r>
    </w:p>
    <w:p>
      <w:pPr>
        <w:pStyle w:val="Body"/>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3962400" cy="255270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3962400" cy="2552700"/>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Image 1: Community Engagement</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 xml:space="preserve">(Source: </w:t>
      </w:r>
      <w:r>
        <w:rPr>
          <w:rFonts w:ascii="Times New Roman" w:hAnsi="Times New Roman"/>
          <w:sz w:val="24"/>
          <w:szCs w:val="24"/>
          <w:shd w:val="clear" w:color="auto" w:fill="ffffff"/>
          <w:rtl w:val="0"/>
          <w:lang w:val="en-US"/>
        </w:rPr>
        <w:t>World Health Organization, 2017)</w:t>
      </w:r>
    </w:p>
    <w:p>
      <w:pPr>
        <w:pStyle w:val="Heading"/>
      </w:pPr>
      <w:bookmarkStart w:name="_Toc2" w:id="2"/>
      <w:r>
        <w:rPr>
          <w:rFonts w:cs="Arial Unicode MS" w:eastAsia="Arial Unicode MS"/>
          <w:rtl w:val="0"/>
          <w:lang w:val="en-US"/>
        </w:rPr>
        <w:t>Overview of the study</w:t>
      </w:r>
      <w:bookmarkEnd w:id="2"/>
    </w:p>
    <w:p>
      <w:pPr>
        <w:pStyle w:val="Heading 2"/>
      </w:pPr>
      <w:bookmarkStart w:name="_Toc3" w:id="3"/>
      <w:r>
        <w:rPr>
          <w:rFonts w:cs="Arial Unicode MS" w:eastAsia="Arial Unicode MS"/>
          <w:rtl w:val="0"/>
          <w:lang w:val="en-US"/>
        </w:rPr>
        <w:t>Description of Project</w:t>
      </w:r>
      <w:bookmarkEnd w:id="3"/>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Inequality among people with cancer and other chronic conditions can guide to distincts in:</w:t>
      </w:r>
    </w:p>
    <w:p>
      <w:pPr>
        <w:pStyle w:val="Body"/>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Clinical components like standard and rate of diagnosis, extent of treatment, or survival.</w:t>
      </w:r>
    </w:p>
    <w:p>
      <w:pPr>
        <w:pStyle w:val="Body"/>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Quality of patient care, as well as patient-professional connections.</w:t>
      </w:r>
    </w:p>
    <w:p>
      <w:pPr>
        <w:pStyle w:val="Body"/>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Equal voices, as well as often overlooked members of society.</w:t>
      </w:r>
    </w:p>
    <w:p>
      <w:pPr>
        <w:pStyle w:val="Body"/>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Capability to self-regulate, as well as entry to participation, patient guidance, or peer help.</w:t>
      </w:r>
    </w:p>
    <w:p>
      <w:pPr>
        <w:pStyle w:val="Body"/>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Asset allocation.</w:t>
      </w:r>
    </w:p>
    <w:p>
      <w:pPr>
        <w:pStyle w:val="Body"/>
        <w:spacing w:line="360" w:lineRule="auto"/>
        <w:jc w:val="both"/>
        <w:rPr>
          <w:rStyle w:val="Hyperlink.0"/>
        </w:rPr>
      </w:pPr>
      <w:r>
        <w:rPr>
          <w:rFonts w:ascii="Times New Roman" w:hAnsi="Times New Roman"/>
          <w:sz w:val="24"/>
          <w:szCs w:val="24"/>
          <w:rtl w:val="0"/>
          <w:lang w:val="en-US"/>
        </w:rPr>
        <w:t>The Macmillan Community-Led Working Group was created to work with rarely heard classes and communities to know the sources, effects and differences between divergences and inequalities (</w:t>
      </w:r>
      <w:r>
        <w:rPr>
          <w:rStyle w:val="Hyperlink.0"/>
        </w:rPr>
        <w:fldChar w:fldCharType="begin" w:fldLock="0"/>
      </w:r>
      <w:r>
        <w:rPr>
          <w:rStyle w:val="Hyperlink.0"/>
        </w:rPr>
        <w:instrText xml:space="preserve"> HYPERLINK "https://www.scie.org.uk/publications/guides/guide51/practice-examples/macmillan.asp"</w:instrText>
      </w:r>
      <w:r>
        <w:rPr>
          <w:rStyle w:val="Hyperlink.0"/>
        </w:rPr>
        <w:fldChar w:fldCharType="separate" w:fldLock="0"/>
      </w:r>
      <w:r>
        <w:rPr>
          <w:rStyle w:val="Hyperlink.0"/>
          <w:rtl w:val="0"/>
          <w:lang w:val="de-DE"/>
        </w:rPr>
        <w:t>Scie.org.uk, 2021</w:t>
      </w:r>
      <w:r>
        <w:rPr/>
        <w:fldChar w:fldCharType="end" w:fldLock="0"/>
      </w:r>
      <w:r>
        <w:rPr>
          <w:rStyle w:val="Hyperlink.0"/>
          <w:rtl w:val="0"/>
          <w:lang w:val="en-US"/>
        </w:rPr>
        <w:t>). By embracing the co-creation principle, workgroups know the main causes of what they can do in collaboration with and what they can do for them.</w:t>
      </w:r>
    </w:p>
    <w:p>
      <w:pPr>
        <w:pStyle w:val="Body"/>
        <w:spacing w:line="360" w:lineRule="auto"/>
        <w:jc w:val="both"/>
        <w:rPr>
          <w:rStyle w:val="Hyperlink.0"/>
        </w:rPr>
      </w:pPr>
      <w:r>
        <w:rPr>
          <w:rStyle w:val="Hyperlink.0"/>
          <w:rtl w:val="0"/>
          <w:lang w:val="en-US"/>
        </w:rPr>
        <w:t>The program recently contained four working groups.</w:t>
      </w:r>
    </w:p>
    <w:p>
      <w:pPr>
        <w:pStyle w:val="Body"/>
        <w:numPr>
          <w:ilvl w:val="0"/>
          <w:numId w:val="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The London Working Group goals to enhance results for cancer patients living in London.</w:t>
      </w:r>
    </w:p>
    <w:p>
      <w:pPr>
        <w:pStyle w:val="Body"/>
        <w:numPr>
          <w:ilvl w:val="0"/>
          <w:numId w:val="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National Working Group on Mental Health and Cancer.</w:t>
      </w:r>
    </w:p>
    <w:p>
      <w:pPr>
        <w:pStyle w:val="Body"/>
        <w:numPr>
          <w:ilvl w:val="0"/>
          <w:numId w:val="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National Working Group for LGBT and Cancer.</w:t>
      </w:r>
    </w:p>
    <w:p>
      <w:pPr>
        <w:pStyle w:val="Body"/>
        <w:numPr>
          <w:ilvl w:val="0"/>
          <w:numId w:val="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National Working Group for Seniors with Cancer.</w:t>
      </w:r>
    </w:p>
    <w:p>
      <w:pPr>
        <w:pStyle w:val="Body"/>
        <w:spacing w:line="360" w:lineRule="auto"/>
        <w:jc w:val="both"/>
        <w:rPr>
          <w:rStyle w:val="Hyperlink.0"/>
        </w:rPr>
      </w:pPr>
      <w:r>
        <w:rPr>
          <w:rStyle w:val="Hyperlink.0"/>
          <w:rtl w:val="0"/>
          <w:lang w:val="en-US"/>
        </w:rPr>
        <w:t>Four target groups are recently in the preliminary evaluation stage and their pursuits are as follows:</w:t>
      </w:r>
    </w:p>
    <w:p>
      <w:pPr>
        <w:pStyle w:val="Body"/>
        <w:numPr>
          <w:ilvl w:val="0"/>
          <w:numId w:val="6"/>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Participate in investigation and gather proof to know unsatisfied requirements and prioritize problems (</w:t>
      </w:r>
      <w:r>
        <w:rPr>
          <w:rStyle w:val="None"/>
          <w:rFonts w:ascii="Times New Roman" w:hAnsi="Times New Roman"/>
          <w:sz w:val="24"/>
          <w:szCs w:val="24"/>
          <w:shd w:val="clear" w:color="auto" w:fill="ffffff"/>
          <w:rtl w:val="0"/>
        </w:rPr>
        <w:t>Haviland et al., 2017</w:t>
      </w:r>
      <w:r>
        <w:rPr>
          <w:rStyle w:val="None"/>
          <w:rFonts w:ascii="Times New Roman" w:hAnsi="Times New Roman"/>
          <w:sz w:val="24"/>
          <w:szCs w:val="24"/>
          <w:rtl w:val="0"/>
        </w:rPr>
        <w:t>).</w:t>
      </w:r>
    </w:p>
    <w:p>
      <w:pPr>
        <w:pStyle w:val="Body"/>
        <w:numPr>
          <w:ilvl w:val="0"/>
          <w:numId w:val="6"/>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Quick prototyping to identify collaboration opportunities by working with shareholders and partner corporations to develop possible solutions.</w:t>
      </w:r>
    </w:p>
    <w:p>
      <w:pPr>
        <w:pStyle w:val="Heading"/>
      </w:pPr>
      <w:bookmarkStart w:name="_Toc4" w:id="4"/>
      <w:r>
        <w:rPr>
          <w:rStyle w:val="None"/>
          <w:rFonts w:cs="Arial Unicode MS" w:eastAsia="Arial Unicode MS"/>
          <w:rtl w:val="0"/>
          <w:lang w:val="fr-FR"/>
        </w:rPr>
        <w:t>Community Engagement</w:t>
      </w:r>
      <w:r>
        <w:rPr>
          <w:rStyle w:val="None"/>
          <w:rFonts w:cs="Arial Unicode MS" w:eastAsia="Arial Unicode MS" w:hint="default"/>
          <w:rtl w:val="1"/>
        </w:rPr>
        <w:t>’</w:t>
      </w:r>
      <w:r>
        <w:rPr>
          <w:rStyle w:val="None"/>
          <w:rFonts w:cs="Arial Unicode MS" w:eastAsia="Arial Unicode MS"/>
          <w:rtl w:val="0"/>
          <w:lang w:val="en-US"/>
        </w:rPr>
        <w:t>s best Practises with Respect to its Principles</w:t>
      </w:r>
      <w:bookmarkEnd w:id="4"/>
    </w:p>
    <w:p>
      <w:pPr>
        <w:pStyle w:val="Body"/>
        <w:spacing w:line="360" w:lineRule="auto"/>
        <w:jc w:val="both"/>
        <w:rPr>
          <w:rStyle w:val="Hyperlink.0"/>
        </w:rPr>
      </w:pPr>
      <w:r>
        <w:rPr>
          <w:rStyle w:val="Hyperlink.0"/>
          <w:rtl w:val="0"/>
          <w:lang w:val="en-US"/>
        </w:rPr>
        <w:t>There are different best practices of Community Engagement, they are-</w:t>
      </w:r>
    </w:p>
    <w:p>
      <w:pPr>
        <w:pStyle w:val="Body"/>
        <w:numPr>
          <w:ilvl w:val="0"/>
          <w:numId w:val="8"/>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 xml:space="preserve">Public Meetings - </w:t>
      </w:r>
      <w:r>
        <w:rPr>
          <w:rStyle w:val="None"/>
          <w:rFonts w:ascii="Times New Roman" w:hAnsi="Times New Roman"/>
          <w:sz w:val="24"/>
          <w:szCs w:val="24"/>
          <w:rtl w:val="0"/>
          <w:lang w:val="en-US"/>
        </w:rPr>
        <w:t>Public meetings are open to everyone and give people a chance to increase concerns, ask queries, and get a solution that others in the room can hear. Public meetings are a great way to present ideas and discover potential ideas prior to them being formalized (</w:t>
      </w:r>
      <w:r>
        <w:rPr>
          <w:rStyle w:val="None"/>
          <w:rFonts w:ascii="Times New Roman" w:hAnsi="Times New Roman"/>
          <w:sz w:val="24"/>
          <w:szCs w:val="24"/>
          <w:shd w:val="clear" w:color="auto" w:fill="ffffff"/>
          <w:rtl w:val="0"/>
          <w:lang w:val="en-US"/>
        </w:rPr>
        <w:t>World Health Organization, 2018</w:t>
      </w:r>
      <w:r>
        <w:rPr>
          <w:rStyle w:val="None"/>
          <w:rFonts w:ascii="Times New Roman" w:hAnsi="Times New Roman"/>
          <w:sz w:val="24"/>
          <w:szCs w:val="24"/>
          <w:rtl w:val="0"/>
          <w:lang w:val="en-US"/>
        </w:rPr>
        <w:t>). A good meeting incident can inspire persons to become further included in the interactive process. This can be a great way to connect with a lot of people, but it can be easy and not everyone feels secure speaking in public.</w:t>
      </w:r>
    </w:p>
    <w:p>
      <w:pPr>
        <w:pStyle w:val="Body"/>
        <w:numPr>
          <w:ilvl w:val="0"/>
          <w:numId w:val="8"/>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 xml:space="preserve">Roadshows and people exhibitions: </w:t>
      </w:r>
      <w:r>
        <w:rPr>
          <w:rStyle w:val="None"/>
          <w:rFonts w:ascii="Times New Roman" w:hAnsi="Times New Roman"/>
          <w:sz w:val="24"/>
          <w:szCs w:val="24"/>
          <w:rtl w:val="0"/>
          <w:lang w:val="en-US"/>
        </w:rPr>
        <w:t>Utilize the concept that an image is worth a thousand expressions to pass information. Accumulated with other activities, they can go to places where persons are already there, like school events or summer vacations. This decreases the requirement to involve people in specific activities. They may contact groups like youth who may not react to paper-based or meeting procedures. Trade shows can be utilized to get instant visitor feedback.</w:t>
      </w:r>
    </w:p>
    <w:p>
      <w:pPr>
        <w:pStyle w:val="Body"/>
        <w:numPr>
          <w:ilvl w:val="0"/>
          <w:numId w:val="8"/>
        </w:numPr>
        <w:bidi w:val="0"/>
        <w:spacing w:line="360" w:lineRule="auto"/>
        <w:ind w:right="0"/>
        <w:jc w:val="both"/>
        <w:rPr>
          <w:rFonts w:ascii="Times New Roman" w:hAnsi="Times New Roman"/>
          <w:sz w:val="24"/>
          <w:szCs w:val="24"/>
          <w:rtl w:val="0"/>
          <w:lang w:val="fr-FR"/>
        </w:rPr>
      </w:pPr>
      <w:r>
        <w:rPr>
          <w:rStyle w:val="None"/>
          <w:rFonts w:ascii="Times New Roman" w:hAnsi="Times New Roman"/>
          <w:b w:val="1"/>
          <w:bCs w:val="1"/>
          <w:sz w:val="24"/>
          <w:szCs w:val="24"/>
          <w:rtl w:val="0"/>
          <w:lang w:val="fr-FR"/>
        </w:rPr>
        <w:t>Surveys and Questionnaires:</w:t>
      </w:r>
      <w:r>
        <w:rPr>
          <w:rStyle w:val="None"/>
          <w:rFonts w:ascii="Times New Roman" w:hAnsi="Times New Roman"/>
          <w:sz w:val="24"/>
          <w:szCs w:val="24"/>
          <w:rtl w:val="0"/>
          <w:lang w:val="en-US"/>
        </w:rPr>
        <w:t xml:space="preserve"> It is the most utilized communication method. It is utilized to gather quantitative solutions that can lead to a broader view if contestants are members. It can additionally be very helpful in evaluating people's responses to concepts and proposals, or in knowing how individuals think about a product or service (</w:t>
      </w:r>
      <w:r>
        <w:rPr>
          <w:rStyle w:val="None"/>
          <w:rFonts w:ascii="Times New Roman" w:hAnsi="Times New Roman"/>
          <w:sz w:val="24"/>
          <w:szCs w:val="24"/>
          <w:shd w:val="clear" w:color="auto" w:fill="ffffff"/>
          <w:rtl w:val="0"/>
          <w:lang w:val="en-US"/>
        </w:rPr>
        <w:t>Meiklejohn Moloney and Bekessy, 2021</w:t>
      </w:r>
      <w:r>
        <w:rPr>
          <w:rStyle w:val="None"/>
          <w:rFonts w:ascii="Times New Roman" w:hAnsi="Times New Roman"/>
          <w:sz w:val="24"/>
          <w:szCs w:val="24"/>
          <w:rtl w:val="0"/>
          <w:lang w:val="en-US"/>
        </w:rPr>
        <w:t>). They can be utilized to collect details from many people. It is additionally useful for providing verifiable details to see if results exchange over time.</w:t>
      </w:r>
    </w:p>
    <w:p>
      <w:pPr>
        <w:pStyle w:val="Body"/>
        <w:numPr>
          <w:ilvl w:val="0"/>
          <w:numId w:val="8"/>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Local Workshops-</w:t>
      </w:r>
      <w:r>
        <w:rPr>
          <w:rStyle w:val="None"/>
          <w:rFonts w:ascii="Times New Roman" w:hAnsi="Times New Roman"/>
          <w:sz w:val="24"/>
          <w:szCs w:val="24"/>
          <w:rtl w:val="0"/>
          <w:lang w:val="en-US"/>
        </w:rPr>
        <w:t xml:space="preserve"> planned to allow people to work together on a problem or task. They can start with a preparation or presentation, but it is not intended to give details or ask queries. Master classes are normally no less than half a day. Workshops can help foster collaboration and problem-solving and develop accountability for results.</w:t>
      </w:r>
    </w:p>
    <w:p>
      <w:pPr>
        <w:pStyle w:val="Heading"/>
      </w:pPr>
      <w:bookmarkStart w:name="_Toc5" w:id="5"/>
      <w:r>
        <w:rPr>
          <w:rStyle w:val="None"/>
          <w:rFonts w:cs="Arial Unicode MS" w:eastAsia="Arial Unicode MS"/>
          <w:rtl w:val="0"/>
          <w:lang w:val="en-US"/>
        </w:rPr>
        <w:t>Principles of Community Engagement</w:t>
      </w:r>
      <w:bookmarkEnd w:id="5"/>
    </w:p>
    <w:p>
      <w:pPr>
        <w:pStyle w:val="Body"/>
        <w:spacing w:line="360" w:lineRule="auto"/>
        <w:jc w:val="both"/>
        <w:rPr>
          <w:rStyle w:val="Hyperlink.0"/>
        </w:rPr>
      </w:pPr>
      <w:r>
        <w:rPr>
          <w:rStyle w:val="Hyperlink.0"/>
          <w:rtl w:val="0"/>
          <w:lang w:val="en-US"/>
        </w:rPr>
        <w:t>They have embraced co-production concepts throughout the program:</w:t>
      </w:r>
    </w:p>
    <w:p>
      <w:pPr>
        <w:pStyle w:val="Body"/>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Secure that the decision-making process is communicated to the persons facing the problem.</w:t>
      </w:r>
    </w:p>
    <w:p>
      <w:pPr>
        <w:pStyle w:val="Body"/>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Find a better solution</w:t>
      </w:r>
    </w:p>
    <w:p>
      <w:pPr>
        <w:pStyle w:val="Body"/>
        <w:numPr>
          <w:ilvl w:val="0"/>
          <w:numId w:val="1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So, Macmillan can tailor its services or develop new people-focused efforts.</w:t>
      </w:r>
    </w:p>
    <w:p>
      <w:pPr>
        <w:pStyle w:val="Body"/>
        <w:spacing w:line="360" w:lineRule="auto"/>
        <w:jc w:val="both"/>
        <w:rPr>
          <w:rStyle w:val="Hyperlink.0"/>
        </w:rPr>
      </w:pPr>
      <w:r>
        <w:rPr>
          <w:rStyle w:val="Hyperlink.0"/>
          <w:rtl w:val="0"/>
          <w:lang w:val="en-US"/>
        </w:rPr>
        <w:t>The principles advised the succeeding activities:</w:t>
      </w:r>
    </w:p>
    <w:p>
      <w:pPr>
        <w:pStyle w:val="Body"/>
        <w:numPr>
          <w:ilvl w:val="0"/>
          <w:numId w:val="12"/>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Arrangement and Design</w:t>
      </w:r>
      <w:r>
        <w:rPr>
          <w:rStyle w:val="None"/>
          <w:rFonts w:ascii="Times New Roman" w:hAnsi="Times New Roman"/>
          <w:sz w:val="24"/>
          <w:szCs w:val="24"/>
          <w:rtl w:val="0"/>
          <w:lang w:val="en-US"/>
        </w:rPr>
        <w:t>- A sequence of cancer engagement activities for each target group that use open spaces to share cancer patient experiences and create consensus on the most pressing problems.</w:t>
      </w:r>
    </w:p>
    <w:p>
      <w:pPr>
        <w:pStyle w:val="Body"/>
        <w:numPr>
          <w:ilvl w:val="0"/>
          <w:numId w:val="12"/>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Decision-Making and Asset Allocation</w:t>
      </w:r>
      <w:r>
        <w:rPr>
          <w:rStyle w:val="None"/>
          <w:rFonts w:ascii="Times New Roman" w:hAnsi="Times New Roman"/>
          <w:sz w:val="24"/>
          <w:szCs w:val="24"/>
          <w:rtl w:val="0"/>
          <w:lang w:val="en-US"/>
        </w:rPr>
        <w:t>- The event incorporates a little grant system for activities that reach and further grow resolution-making areas that team members will support to assign.</w:t>
      </w:r>
    </w:p>
    <w:p>
      <w:pPr>
        <w:pStyle w:val="Body"/>
        <w:numPr>
          <w:ilvl w:val="0"/>
          <w:numId w:val="12"/>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Co-implementation and assessment of the program</w:t>
      </w:r>
      <w:r>
        <w:rPr>
          <w:rStyle w:val="None"/>
          <w:rFonts w:ascii="Times New Roman" w:hAnsi="Times New Roman"/>
          <w:sz w:val="24"/>
          <w:szCs w:val="24"/>
          <w:rtl w:val="0"/>
          <w:lang w:val="en-US"/>
        </w:rPr>
        <w:t>- help complete the project by forming a cancer reference team for each target group (</w:t>
      </w:r>
      <w:r>
        <w:rPr>
          <w:rStyle w:val="None"/>
          <w:rFonts w:ascii="Times New Roman" w:hAnsi="Times New Roman"/>
          <w:sz w:val="24"/>
          <w:szCs w:val="24"/>
          <w:shd w:val="clear" w:color="auto" w:fill="ffffff"/>
          <w:rtl w:val="0"/>
          <w:lang w:val="en-US"/>
        </w:rPr>
        <w:t>Bice Neely and Einfeld, 2019</w:t>
      </w:r>
      <w:r>
        <w:rPr>
          <w:rStyle w:val="None"/>
          <w:rFonts w:ascii="Times New Roman" w:hAnsi="Times New Roman"/>
          <w:sz w:val="24"/>
          <w:szCs w:val="24"/>
          <w:rtl w:val="0"/>
          <w:lang w:val="en-US"/>
        </w:rPr>
        <w:t>). This incorporates planning surveys and conducting peer investigation, evaluating data, creating reports, and arrangement and organizing engagement programs.</w:t>
      </w:r>
    </w:p>
    <w:p>
      <w:pPr>
        <w:pStyle w:val="Body"/>
        <w:spacing w:line="360" w:lineRule="auto"/>
        <w:jc w:val="center"/>
        <w:rPr>
          <w:rStyle w:val="Hyperlink.0"/>
        </w:rPr>
      </w:pPr>
      <w:r>
        <w:rPr>
          <w:rStyle w:val="Hyperlink.0"/>
        </w:rPr>
        <w:drawing xmlns:a="http://schemas.openxmlformats.org/drawingml/2006/main">
          <wp:inline distT="0" distB="0" distL="0" distR="0">
            <wp:extent cx="4384413" cy="3291952"/>
            <wp:effectExtent l="0" t="0" r="0" b="0"/>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5">
                      <a:extLst/>
                    </a:blip>
                    <a:stretch>
                      <a:fillRect/>
                    </a:stretch>
                  </pic:blipFill>
                  <pic:spPr>
                    <a:xfrm>
                      <a:off x="0" y="0"/>
                      <a:ext cx="4384413" cy="3291952"/>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fr-FR"/>
        </w:rPr>
        <w:t>Image 2: Community Engagement Principles</w:t>
      </w:r>
    </w:p>
    <w:p>
      <w:pPr>
        <w:pStyle w:val="Body"/>
        <w:spacing w:line="360" w:lineRule="auto"/>
        <w:jc w:val="center"/>
        <w:rPr>
          <w:rStyle w:val="Hyperlink.0"/>
        </w:rPr>
      </w:pPr>
      <w:r>
        <w:rPr>
          <w:rStyle w:val="Hyperlink.0"/>
          <w:rtl w:val="0"/>
          <w:lang w:val="en-US"/>
        </w:rPr>
        <w:t xml:space="preserve">(Source: </w:t>
      </w:r>
      <w:r>
        <w:rPr>
          <w:rStyle w:val="None"/>
          <w:rFonts w:ascii="Times New Roman" w:hAnsi="Times New Roman"/>
          <w:sz w:val="24"/>
          <w:szCs w:val="24"/>
          <w:shd w:val="clear" w:color="auto" w:fill="ffffff"/>
          <w:rtl w:val="0"/>
          <w:lang w:val="en-US"/>
        </w:rPr>
        <w:t>Bice Neely and Einfeld, 2019)</w:t>
      </w:r>
    </w:p>
    <w:p>
      <w:pPr>
        <w:pStyle w:val="Body"/>
        <w:numPr>
          <w:ilvl w:val="0"/>
          <w:numId w:val="12"/>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Sustainable engagement and a culture of engagement:</w:t>
      </w:r>
      <w:r>
        <w:rPr>
          <w:rStyle w:val="None"/>
          <w:rFonts w:ascii="Times New Roman" w:hAnsi="Times New Roman"/>
          <w:sz w:val="24"/>
          <w:szCs w:val="24"/>
          <w:rtl w:val="0"/>
          <w:lang w:val="en-US"/>
        </w:rPr>
        <w:t xml:space="preserve"> Encourage a culture of engagement through events and organizations that help quality and continue community engagement.</w:t>
      </w:r>
    </w:p>
    <w:p>
      <w:pPr>
        <w:pStyle w:val="Body"/>
        <w:numPr>
          <w:ilvl w:val="0"/>
          <w:numId w:val="12"/>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Influence and action:</w:t>
      </w:r>
      <w:r>
        <w:rPr>
          <w:rStyle w:val="None"/>
          <w:rFonts w:ascii="Times New Roman" w:hAnsi="Times New Roman"/>
          <w:sz w:val="24"/>
          <w:szCs w:val="24"/>
          <w:rtl w:val="0"/>
          <w:lang w:val="en-US"/>
        </w:rPr>
        <w:t xml:space="preserve"> All joint efforts have real possibility to create a difference, and make sure participants are conscious of this possibility.</w:t>
      </w:r>
    </w:p>
    <w:p>
      <w:pPr>
        <w:pStyle w:val="Body"/>
        <w:numPr>
          <w:ilvl w:val="0"/>
          <w:numId w:val="12"/>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 xml:space="preserve">Open and reliable: </w:t>
      </w:r>
      <w:r>
        <w:rPr>
          <w:rStyle w:val="None"/>
          <w:rFonts w:ascii="Times New Roman" w:hAnsi="Times New Roman"/>
          <w:sz w:val="24"/>
          <w:szCs w:val="24"/>
          <w:rtl w:val="0"/>
          <w:lang w:val="en-US"/>
        </w:rPr>
        <w:t>Clear and open to the procedure and openly account for the supervisors, sponsors, results and the various views and concepts expressed.</w:t>
      </w:r>
    </w:p>
    <w:p>
      <w:pPr>
        <w:pStyle w:val="Body"/>
        <w:numPr>
          <w:ilvl w:val="0"/>
          <w:numId w:val="12"/>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Open to learning:</w:t>
      </w:r>
      <w:r>
        <w:rPr>
          <w:rStyle w:val="None"/>
          <w:rFonts w:ascii="Times New Roman" w:hAnsi="Times New Roman"/>
          <w:sz w:val="24"/>
          <w:szCs w:val="24"/>
          <w:rtl w:val="0"/>
          <w:lang w:val="en-US"/>
        </w:rPr>
        <w:t xml:space="preserve"> Help all contestants listen to each other, discover latest concepts beyond predefined results, explore and register details in ways that produce new alternatives, and carefully examine the success of community engagement (</w:t>
      </w:r>
      <w:r>
        <w:rPr>
          <w:rStyle w:val="None"/>
          <w:rFonts w:ascii="Times New Roman" w:hAnsi="Times New Roman"/>
          <w:sz w:val="24"/>
          <w:szCs w:val="24"/>
          <w:shd w:val="clear" w:color="auto" w:fill="ffffff"/>
          <w:rtl w:val="0"/>
          <w:lang w:val="en-US"/>
        </w:rPr>
        <w:t>Mitchell et al., 2019</w:t>
      </w:r>
      <w:r>
        <w:rPr>
          <w:rStyle w:val="None"/>
          <w:rFonts w:ascii="Times New Roman" w:hAnsi="Times New Roman"/>
          <w:sz w:val="24"/>
          <w:szCs w:val="24"/>
          <w:rtl w:val="0"/>
        </w:rPr>
        <w:t>).</w:t>
      </w:r>
    </w:p>
    <w:p>
      <w:pPr>
        <w:pStyle w:val="Body"/>
        <w:numPr>
          <w:ilvl w:val="0"/>
          <w:numId w:val="12"/>
        </w:numPr>
        <w:bidi w:val="0"/>
        <w:spacing w:line="360" w:lineRule="auto"/>
        <w:ind w:right="0"/>
        <w:jc w:val="both"/>
        <w:rPr>
          <w:rFonts w:ascii="Times New Roman" w:hAnsi="Times New Roman"/>
          <w:sz w:val="24"/>
          <w:szCs w:val="24"/>
          <w:rtl w:val="0"/>
          <w:lang w:val="en-US"/>
        </w:rPr>
      </w:pPr>
      <w:r>
        <w:rPr>
          <w:rStyle w:val="None"/>
          <w:rFonts w:ascii="Times New Roman" w:hAnsi="Times New Roman"/>
          <w:b w:val="1"/>
          <w:bCs w:val="1"/>
          <w:sz w:val="24"/>
          <w:szCs w:val="24"/>
          <w:rtl w:val="0"/>
          <w:lang w:val="en-US"/>
        </w:rPr>
        <w:t xml:space="preserve">Inclusion and Demographic Assortment: </w:t>
      </w:r>
      <w:r>
        <w:rPr>
          <w:rStyle w:val="None"/>
          <w:rFonts w:ascii="Times New Roman" w:hAnsi="Times New Roman"/>
          <w:sz w:val="24"/>
          <w:szCs w:val="24"/>
          <w:rtl w:val="0"/>
          <w:lang w:val="en-US"/>
        </w:rPr>
        <w:t>Interact with persons, voices, concepts and knowledge that are entirely different from laying the preparations for quality results and democratic authority.</w:t>
      </w:r>
    </w:p>
    <w:p>
      <w:pPr>
        <w:pStyle w:val="Heading"/>
      </w:pPr>
      <w:bookmarkStart w:name="_Toc6" w:id="6"/>
      <w:r>
        <w:rPr>
          <w:rStyle w:val="None"/>
          <w:rFonts w:cs="Arial Unicode MS" w:eastAsia="Arial Unicode MS"/>
          <w:rtl w:val="0"/>
          <w:lang w:val="en-US"/>
        </w:rPr>
        <w:t>Standards of Community Engagement</w:t>
      </w:r>
      <w:bookmarkEnd w:id="6"/>
    </w:p>
    <w:p>
      <w:pPr>
        <w:pStyle w:val="Body"/>
        <w:spacing w:line="360" w:lineRule="auto"/>
        <w:jc w:val="both"/>
        <w:rPr>
          <w:rStyle w:val="Hyperlink.0"/>
        </w:rPr>
      </w:pPr>
      <w:r>
        <w:rPr>
          <w:rStyle w:val="Hyperlink.0"/>
          <w:rtl w:val="0"/>
          <w:lang w:val="en-US"/>
        </w:rPr>
        <w:t>Macmillan Cancer Support UK acknowledges the best practices in community engagement and tries to implement them in their community engagement programmes. Through these practices, the organization is able to achieve the engagement of the communities and helps them.</w:t>
      </w:r>
    </w:p>
    <w:p>
      <w:pPr>
        <w:pStyle w:val="Body"/>
        <w:numPr>
          <w:ilvl w:val="0"/>
          <w:numId w:val="1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Involvement: The main aim of the community engagement programmes of the organization is to involve more communities whose cancer care has been neglected for many years. The engagement of these communities is standardized by the organization (</w:t>
      </w:r>
      <w:r>
        <w:rPr>
          <w:rStyle w:val="None"/>
          <w:rFonts w:ascii="Times New Roman" w:hAnsi="Times New Roman"/>
          <w:sz w:val="24"/>
          <w:szCs w:val="24"/>
          <w:shd w:val="clear" w:color="auto" w:fill="ffffff"/>
          <w:rtl w:val="0"/>
          <w:lang w:val="fr-FR"/>
        </w:rPr>
        <w:t>Regnante et al., 2019</w:t>
      </w:r>
      <w:r>
        <w:rPr>
          <w:rStyle w:val="None"/>
          <w:rFonts w:ascii="Times New Roman" w:hAnsi="Times New Roman"/>
          <w:sz w:val="24"/>
          <w:szCs w:val="24"/>
          <w:rtl w:val="0"/>
        </w:rPr>
        <w:t xml:space="preserve">). </w:t>
      </w:r>
    </w:p>
    <w:p>
      <w:pPr>
        <w:pStyle w:val="Body"/>
        <w:numPr>
          <w:ilvl w:val="0"/>
          <w:numId w:val="1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Planning: The community engagement task force organizes engagement events for cancer affected people and builds a consensus. </w:t>
      </w:r>
    </w:p>
    <w:p>
      <w:pPr>
        <w:pStyle w:val="Body"/>
        <w:numPr>
          <w:ilvl w:val="0"/>
          <w:numId w:val="1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Clinical Support: Providing high-quality clinical support to the people suffering from cancer or subsequent illness is another one of the goals of these community engagement activities (</w:t>
      </w:r>
      <w:r>
        <w:rPr>
          <w:rStyle w:val="None"/>
          <w:rFonts w:ascii="Times New Roman" w:hAnsi="Times New Roman"/>
          <w:sz w:val="24"/>
          <w:szCs w:val="24"/>
          <w:shd w:val="clear" w:color="auto" w:fill="ffffff"/>
          <w:rtl w:val="0"/>
          <w:lang w:val="en-US"/>
        </w:rPr>
        <w:t>Smith et al., 2019</w:t>
      </w:r>
      <w:r>
        <w:rPr>
          <w:rStyle w:val="None"/>
          <w:rFonts w:ascii="Times New Roman" w:hAnsi="Times New Roman"/>
          <w:sz w:val="24"/>
          <w:szCs w:val="24"/>
          <w:rtl w:val="0"/>
        </w:rPr>
        <w:t xml:space="preserve">). </w:t>
      </w:r>
    </w:p>
    <w:p>
      <w:pPr>
        <w:pStyle w:val="Body"/>
        <w:numPr>
          <w:ilvl w:val="0"/>
          <w:numId w:val="1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Information: Sharing crucial information about cancer and building a consensus is also one of the best community engagement practices followed by Macmillan Cancer Support UK.</w:t>
      </w:r>
    </w:p>
    <w:p>
      <w:pPr>
        <w:pStyle w:val="Body"/>
        <w:numPr>
          <w:ilvl w:val="0"/>
          <w:numId w:val="1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Allocation of Resources: Allocating the resources available to the organization appropriately and using them for the benefit of cancer affected patients and their families is a key practice performed by the organization (</w:t>
      </w:r>
      <w:r>
        <w:rPr>
          <w:rStyle w:val="None"/>
          <w:rFonts w:ascii="Times New Roman" w:hAnsi="Times New Roman"/>
          <w:sz w:val="24"/>
          <w:szCs w:val="24"/>
          <w:shd w:val="clear" w:color="auto" w:fill="ffffff"/>
          <w:rtl w:val="0"/>
          <w:lang w:val="en-US"/>
        </w:rPr>
        <w:t>Smith et al., 2019</w:t>
      </w:r>
      <w:r>
        <w:rPr>
          <w:rStyle w:val="None"/>
          <w:rFonts w:ascii="Times New Roman" w:hAnsi="Times New Roman"/>
          <w:sz w:val="24"/>
          <w:szCs w:val="24"/>
          <w:rtl w:val="0"/>
        </w:rPr>
        <w:t xml:space="preserve">). </w:t>
      </w:r>
    </w:p>
    <w:p>
      <w:pPr>
        <w:pStyle w:val="Body"/>
        <w:numPr>
          <w:ilvl w:val="0"/>
          <w:numId w:val="1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Feedback and Evaluation: Taking feedback from the participants and evaluating the effectiveness of the community engagement programmes also helps in maintaining its standard. </w:t>
      </w:r>
    </w:p>
    <w:p>
      <w:pPr>
        <w:pStyle w:val="Body"/>
        <w:spacing w:line="360" w:lineRule="auto"/>
        <w:jc w:val="both"/>
        <w:rPr>
          <w:rStyle w:val="None"/>
          <w:rFonts w:ascii="Times New Roman" w:cs="Times New Roman" w:hAnsi="Times New Roman" w:eastAsia="Times New Roman"/>
          <w:sz w:val="24"/>
          <w:szCs w:val="24"/>
        </w:rPr>
      </w:pPr>
    </w:p>
    <w:p>
      <w:pPr>
        <w:pStyle w:val="Heading"/>
      </w:pPr>
      <w:bookmarkStart w:name="_Toc7" w:id="7"/>
      <w:r>
        <w:rPr>
          <w:rStyle w:val="None"/>
          <w:rFonts w:cs="Arial Unicode MS" w:eastAsia="Arial Unicode MS"/>
          <w:rtl w:val="0"/>
          <w:lang w:val="en-US"/>
        </w:rPr>
        <w:t>Benefits of social media in Community Engagement</w:t>
      </w:r>
      <w:bookmarkEnd w:id="7"/>
    </w:p>
    <w:p>
      <w:pPr>
        <w:pStyle w:val="Body"/>
        <w:spacing w:line="360" w:lineRule="auto"/>
        <w:jc w:val="both"/>
        <w:rPr>
          <w:rStyle w:val="Hyperlink.0"/>
        </w:rPr>
      </w:pPr>
      <w:r>
        <w:rPr>
          <w:rStyle w:val="Hyperlink.0"/>
          <w:rtl w:val="0"/>
          <w:lang w:val="en-US"/>
        </w:rPr>
        <w:t>For organizing community engagement activities on a large scale, an organization needs a platform where all the stakeholders can interact with each other and involve a large number of people with the community engagement activities. The main advantages of social media in community engagement programmes of Macmillan Cancer Support UK are the following.</w:t>
      </w:r>
    </w:p>
    <w:p>
      <w:pPr>
        <w:pStyle w:val="Body"/>
        <w:numPr>
          <w:ilvl w:val="0"/>
          <w:numId w:val="16"/>
        </w:numPr>
        <w:bidi w:val="0"/>
        <w:spacing w:line="360" w:lineRule="auto"/>
        <w:ind w:right="0"/>
        <w:jc w:val="both"/>
        <w:rPr>
          <w:rFonts w:ascii="Times New Roman" w:hAnsi="Times New Roman"/>
          <w:sz w:val="24"/>
          <w:szCs w:val="24"/>
          <w:rtl w:val="0"/>
          <w:lang w:val="fr-FR"/>
        </w:rPr>
      </w:pPr>
      <w:r>
        <w:rPr>
          <w:rStyle w:val="None"/>
          <w:rFonts w:ascii="Times New Roman" w:hAnsi="Times New Roman"/>
          <w:b w:val="1"/>
          <w:bCs w:val="1"/>
          <w:sz w:val="24"/>
          <w:szCs w:val="24"/>
          <w:rtl w:val="0"/>
          <w:lang w:val="fr-FR"/>
        </w:rPr>
        <w:t>Direct engagement</w:t>
      </w:r>
      <w:r>
        <w:rPr>
          <w:rStyle w:val="None"/>
          <w:rFonts w:ascii="Times New Roman" w:hAnsi="Times New Roman"/>
          <w:sz w:val="24"/>
          <w:szCs w:val="24"/>
          <w:rtl w:val="0"/>
          <w:lang w:val="en-US"/>
        </w:rPr>
        <w:t>: The community engagement task force looks to involve the people from the neglected communities to be a part of these programmes. However, it is not easy to reach the members from each and every community. Social media has made this job a lot easier for the people in the organization. Different social media campaigns have started that have enhanced the ways of reaching the cancer affected patients and aid them according to their needs. The direct interaction between the communities and the organization has increased the effectiveness of the programmes to a large extent (</w:t>
      </w:r>
      <w:r>
        <w:rPr>
          <w:rStyle w:val="None"/>
          <w:rFonts w:ascii="Times New Roman" w:hAnsi="Times New Roman"/>
          <w:sz w:val="24"/>
          <w:szCs w:val="24"/>
          <w:shd w:val="clear" w:color="auto" w:fill="ffffff"/>
          <w:rtl w:val="0"/>
          <w:lang w:val="de-DE"/>
        </w:rPr>
        <w:t>Steinmetz et al., 2021</w:t>
      </w:r>
      <w:r>
        <w:rPr>
          <w:rStyle w:val="None"/>
          <w:rFonts w:ascii="Times New Roman" w:hAnsi="Times New Roman"/>
          <w:sz w:val="24"/>
          <w:szCs w:val="24"/>
          <w:rtl w:val="0"/>
        </w:rPr>
        <w:t xml:space="preserve">). </w:t>
      </w:r>
    </w:p>
    <w:p>
      <w:pPr>
        <w:pStyle w:val="Body"/>
        <w:numPr>
          <w:ilvl w:val="0"/>
          <w:numId w:val="16"/>
        </w:numPr>
        <w:bidi w:val="0"/>
        <w:spacing w:line="360" w:lineRule="auto"/>
        <w:ind w:right="0"/>
        <w:jc w:val="both"/>
        <w:rPr>
          <w:rFonts w:ascii="Times New Roman" w:hAnsi="Times New Roman"/>
          <w:sz w:val="24"/>
          <w:szCs w:val="24"/>
          <w:rtl w:val="0"/>
          <w:lang w:val="de-DE"/>
        </w:rPr>
      </w:pPr>
      <w:r>
        <w:rPr>
          <w:rStyle w:val="None"/>
          <w:rFonts w:ascii="Times New Roman" w:hAnsi="Times New Roman"/>
          <w:b w:val="1"/>
          <w:bCs w:val="1"/>
          <w:sz w:val="24"/>
          <w:szCs w:val="24"/>
          <w:rtl w:val="0"/>
          <w:lang w:val="de-DE"/>
        </w:rPr>
        <w:t>Open Space</w:t>
      </w:r>
      <w:r>
        <w:rPr>
          <w:rStyle w:val="None"/>
          <w:rFonts w:ascii="Times New Roman" w:hAnsi="Times New Roman"/>
          <w:sz w:val="24"/>
          <w:szCs w:val="24"/>
          <w:rtl w:val="0"/>
          <w:lang w:val="en-US"/>
        </w:rPr>
        <w:t>: Social media has provided an open space for the participants and other members of the communities to voice their concerns and opinions about cancer. It helps the organization in sorting out the key areas they should be working on. Moreover, the interactions and changes of experiences makes the community engagement programmes even stronger. The people who have recovered from the deadly disease inspire others and show them the path to recovery (</w:t>
      </w:r>
      <w:r>
        <w:rPr>
          <w:rStyle w:val="None"/>
          <w:rFonts w:ascii="Times New Roman" w:hAnsi="Times New Roman"/>
          <w:sz w:val="24"/>
          <w:szCs w:val="24"/>
          <w:shd w:val="clear" w:color="auto" w:fill="ffffff"/>
          <w:rtl w:val="0"/>
          <w:lang w:val="de-DE"/>
        </w:rPr>
        <w:t>Steinmetz et al., 2021</w:t>
      </w:r>
      <w:r>
        <w:rPr>
          <w:rStyle w:val="None"/>
          <w:rFonts w:ascii="Times New Roman" w:hAnsi="Times New Roman"/>
          <w:sz w:val="24"/>
          <w:szCs w:val="24"/>
          <w:rtl w:val="0"/>
        </w:rPr>
        <w:t xml:space="preserve">). </w:t>
      </w:r>
    </w:p>
    <w:p>
      <w:pPr>
        <w:pStyle w:val="Body"/>
        <w:numPr>
          <w:ilvl w:val="0"/>
          <w:numId w:val="16"/>
        </w:numPr>
        <w:bidi w:val="0"/>
        <w:spacing w:line="360" w:lineRule="auto"/>
        <w:ind w:right="0"/>
        <w:jc w:val="both"/>
        <w:rPr>
          <w:rFonts w:ascii="Times New Roman" w:hAnsi="Times New Roman"/>
          <w:b w:val="1"/>
          <w:bCs w:val="1"/>
          <w:sz w:val="24"/>
          <w:szCs w:val="24"/>
          <w:rtl w:val="0"/>
          <w:lang w:val="en-US"/>
        </w:rPr>
      </w:pPr>
      <w:r>
        <w:rPr>
          <w:rStyle w:val="None"/>
          <w:rFonts w:ascii="Times New Roman" w:hAnsi="Times New Roman"/>
          <w:b w:val="1"/>
          <w:bCs w:val="1"/>
          <w:sz w:val="24"/>
          <w:szCs w:val="24"/>
          <w:rtl w:val="0"/>
          <w:lang w:val="en-US"/>
        </w:rPr>
        <w:t xml:space="preserve">Data-based Strategies: </w:t>
      </w:r>
      <w:r>
        <w:rPr>
          <w:rStyle w:val="None"/>
          <w:rFonts w:ascii="Times New Roman" w:hAnsi="Times New Roman"/>
          <w:b w:val="0"/>
          <w:bCs w:val="0"/>
          <w:sz w:val="24"/>
          <w:szCs w:val="24"/>
          <w:rtl w:val="0"/>
          <w:lang w:val="en-US"/>
        </w:rPr>
        <w:t xml:space="preserve">Social media has provided a platform to the organization from where they can collect the required data and use it for better decision making in the future. The organization can also monitor the development of the patients and the participants of the engagement programs and record their developments and support them through their recovery. </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318760" cy="3192780"/>
            <wp:effectExtent l="0" t="0" r="0" b="0"/>
            <wp:docPr id="1073741827" name="officeArt object" descr="image3.png"/>
            <wp:cNvGraphicFramePr/>
            <a:graphic xmlns:a="http://schemas.openxmlformats.org/drawingml/2006/main">
              <a:graphicData uri="http://schemas.openxmlformats.org/drawingml/2006/picture">
                <pic:pic xmlns:pic="http://schemas.openxmlformats.org/drawingml/2006/picture">
                  <pic:nvPicPr>
                    <pic:cNvPr id="1073741827" name="image3.png" descr="image3.png"/>
                    <pic:cNvPicPr>
                      <a:picLocks noChangeAspect="1"/>
                    </pic:cNvPicPr>
                  </pic:nvPicPr>
                  <pic:blipFill>
                    <a:blip r:embed="rId6">
                      <a:extLst/>
                    </a:blip>
                    <a:stretch>
                      <a:fillRect/>
                    </a:stretch>
                  </pic:blipFill>
                  <pic:spPr>
                    <a:xfrm>
                      <a:off x="0" y="0"/>
                      <a:ext cx="5318760" cy="319278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Image 3: Community Engagement through social media</w:t>
      </w:r>
    </w:p>
    <w:p>
      <w:pPr>
        <w:pStyle w:val="Body"/>
        <w:spacing w:line="360" w:lineRule="auto"/>
        <w:jc w:val="center"/>
        <w:rPr>
          <w:rStyle w:val="Hyperlink.0"/>
        </w:rPr>
      </w:pPr>
      <w:r>
        <w:rPr>
          <w:rStyle w:val="Hyperlink.0"/>
          <w:rtl w:val="0"/>
          <w:lang w:val="en-US"/>
        </w:rPr>
        <w:t xml:space="preserve">(Source: </w:t>
      </w:r>
      <w:r>
        <w:rPr>
          <w:rStyle w:val="None"/>
          <w:rFonts w:ascii="Times New Roman" w:hAnsi="Times New Roman"/>
          <w:sz w:val="24"/>
          <w:szCs w:val="24"/>
          <w:shd w:val="clear" w:color="auto" w:fill="ffffff"/>
          <w:rtl w:val="0"/>
          <w:lang w:val="de-DE"/>
        </w:rPr>
        <w:t>Steinmetz et al., 2021</w:t>
      </w:r>
      <w:r>
        <w:rPr>
          <w:rStyle w:val="Hyperlink.0"/>
          <w:rtl w:val="0"/>
        </w:rPr>
        <w:t>)</w:t>
      </w:r>
    </w:p>
    <w:p>
      <w:pPr>
        <w:pStyle w:val="Heading"/>
      </w:pPr>
      <w:bookmarkStart w:name="_Toc8" w:id="8"/>
      <w:r>
        <w:rPr>
          <w:rStyle w:val="None"/>
          <w:rFonts w:cs="Arial Unicode MS" w:eastAsia="Arial Unicode MS"/>
          <w:rtl w:val="0"/>
          <w:lang w:val="en-US"/>
        </w:rPr>
        <w:t>Advantages of the Stakeholder</w:t>
      </w:r>
      <w:r>
        <w:rPr>
          <w:rStyle w:val="None"/>
          <w:rFonts w:cs="Arial Unicode MS" w:eastAsia="Arial Unicode MS" w:hint="default"/>
          <w:rtl w:val="1"/>
        </w:rPr>
        <w:t>’</w:t>
      </w:r>
      <w:r>
        <w:rPr>
          <w:rStyle w:val="None"/>
          <w:rFonts w:cs="Arial Unicode MS" w:eastAsia="Arial Unicode MS"/>
          <w:rtl w:val="0"/>
          <w:lang w:val="fr-FR"/>
        </w:rPr>
        <w:t>s Engagement</w:t>
      </w:r>
      <w:bookmarkEnd w:id="8"/>
    </w:p>
    <w:p>
      <w:pPr>
        <w:pStyle w:val="Body"/>
        <w:spacing w:line="360" w:lineRule="auto"/>
        <w:jc w:val="both"/>
        <w:rPr>
          <w:rStyle w:val="Hyperlink.0"/>
        </w:rPr>
      </w:pPr>
      <w:r>
        <w:rPr>
          <w:rStyle w:val="Hyperlink.0"/>
          <w:rtl w:val="0"/>
          <w:lang w:val="en-US"/>
        </w:rPr>
        <w:t>There are many advantages of stakeholder</w:t>
      </w:r>
      <w:r>
        <w:rPr>
          <w:rStyle w:val="None"/>
          <w:rFonts w:ascii="Times New Roman" w:hAnsi="Times New Roman" w:hint="default"/>
          <w:sz w:val="24"/>
          <w:szCs w:val="24"/>
          <w:rtl w:val="0"/>
          <w:lang w:val="en-US"/>
        </w:rPr>
        <w:t>’</w:t>
      </w:r>
      <w:r>
        <w:rPr>
          <w:rStyle w:val="Hyperlink.0"/>
          <w:rtl w:val="0"/>
          <w:lang w:val="en-US"/>
        </w:rPr>
        <w:t xml:space="preserve">s participation in the community engagement programmes. All these advantages are listed below. </w:t>
      </w:r>
    </w:p>
    <w:p>
      <w:pPr>
        <w:pStyle w:val="Body"/>
        <w:numPr>
          <w:ilvl w:val="0"/>
          <w:numId w:val="18"/>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The active participation of the stakeholders gives the organization a better idea about the situations at the ground level. The communities being most affected for the negligence towards cancer and related issues are identified and they are involved in the community engagement process (</w:t>
      </w:r>
      <w:r>
        <w:rPr>
          <w:rStyle w:val="None"/>
          <w:rFonts w:ascii="Times New Roman" w:hAnsi="Times New Roman"/>
          <w:sz w:val="24"/>
          <w:szCs w:val="24"/>
          <w:shd w:val="clear" w:color="auto" w:fill="ffffff"/>
          <w:rtl w:val="0"/>
          <w:lang w:val="da-DK"/>
        </w:rPr>
        <w:t>Asad et al., 2017</w:t>
      </w:r>
      <w:r>
        <w:rPr>
          <w:rStyle w:val="None"/>
          <w:rFonts w:ascii="Times New Roman" w:hAnsi="Times New Roman"/>
          <w:sz w:val="24"/>
          <w:szCs w:val="24"/>
          <w:rtl w:val="0"/>
        </w:rPr>
        <w:t xml:space="preserve">). </w:t>
      </w:r>
    </w:p>
    <w:p>
      <w:pPr>
        <w:pStyle w:val="Body"/>
        <w:numPr>
          <w:ilvl w:val="0"/>
          <w:numId w:val="18"/>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Macmillan Cancer Support UK looks to build the trust and credibility among the local communities by involving the important community members and spreading awareness through them. This not only helps them reach the people more easily, but also builds trust among the people (</w:t>
      </w:r>
      <w:r>
        <w:rPr>
          <w:rStyle w:val="None"/>
          <w:rFonts w:ascii="Times New Roman" w:hAnsi="Times New Roman"/>
          <w:sz w:val="24"/>
          <w:szCs w:val="24"/>
          <w:shd w:val="clear" w:color="auto" w:fill="ffffff"/>
          <w:rtl w:val="0"/>
        </w:rPr>
        <w:t>Barrett et al., 2020</w:t>
      </w:r>
      <w:r>
        <w:rPr>
          <w:rStyle w:val="None"/>
          <w:rFonts w:ascii="Times New Roman" w:hAnsi="Times New Roman"/>
          <w:sz w:val="24"/>
          <w:szCs w:val="24"/>
          <w:rtl w:val="0"/>
        </w:rPr>
        <w:t xml:space="preserve">). </w:t>
      </w:r>
    </w:p>
    <w:p>
      <w:pPr>
        <w:pStyle w:val="Body"/>
        <w:numPr>
          <w:ilvl w:val="0"/>
          <w:numId w:val="18"/>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For the organization, it gets easier to understand the expectations of the stakeholders. The strategies of the organization are outlined based on these expectations. Moreover, engaging the stakeholders in resolving the key issues helps in building better understanding with them (macmillan.org.uk, 2021). </w:t>
      </w:r>
    </w:p>
    <w:p>
      <w:pPr>
        <w:pStyle w:val="Body"/>
        <w:numPr>
          <w:ilvl w:val="0"/>
          <w:numId w:val="18"/>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The participation of the stakeholders also helps the organization in building a consensus against cancer and help them in achieving their dream of a cancer free society. The community members and the members of the task force work really hard to spread awareness among the affected communities. Also, they support the patients and their families navigating through the hardships (</w:t>
      </w:r>
      <w:r>
        <w:rPr>
          <w:rStyle w:val="None"/>
          <w:rFonts w:ascii="Times New Roman" w:hAnsi="Times New Roman"/>
          <w:sz w:val="24"/>
          <w:szCs w:val="24"/>
          <w:shd w:val="clear" w:color="auto" w:fill="ffffff"/>
          <w:rtl w:val="0"/>
        </w:rPr>
        <w:t>Barrett et al., 2020</w:t>
      </w:r>
      <w:r>
        <w:rPr>
          <w:rStyle w:val="None"/>
          <w:rFonts w:ascii="Times New Roman" w:hAnsi="Times New Roman"/>
          <w:sz w:val="24"/>
          <w:szCs w:val="24"/>
          <w:rtl w:val="0"/>
        </w:rPr>
        <w:t xml:space="preserve">). </w:t>
      </w:r>
    </w:p>
    <w:p>
      <w:pPr>
        <w:pStyle w:val="Body"/>
        <w:spacing w:line="360" w:lineRule="auto"/>
        <w:jc w:val="both"/>
        <w:rPr>
          <w:rStyle w:val="Hyperlink.0"/>
        </w:rPr>
      </w:pPr>
      <w:r>
        <w:rPr>
          <w:rStyle w:val="Hyperlink.0"/>
          <w:rtl w:val="0"/>
          <w:lang w:val="en-US"/>
        </w:rPr>
        <w:t xml:space="preserve">The different types of stakeholders of the organization including the members of the task force, the community members, the health professionals, and others participate freely in the community engagement programme to make it more successful and effective in diminishing the effects of cancer in society. </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4907280" cy="4564380"/>
            <wp:effectExtent l="0" t="0" r="0" b="0"/>
            <wp:docPr id="1073741828" name="officeArt object" descr="image4.png"/>
            <wp:cNvGraphicFramePr/>
            <a:graphic xmlns:a="http://schemas.openxmlformats.org/drawingml/2006/main">
              <a:graphicData uri="http://schemas.openxmlformats.org/drawingml/2006/picture">
                <pic:pic xmlns:pic="http://schemas.openxmlformats.org/drawingml/2006/picture">
                  <pic:nvPicPr>
                    <pic:cNvPr id="1073741828" name="image4.png" descr="image4.png"/>
                    <pic:cNvPicPr>
                      <a:picLocks noChangeAspect="1"/>
                    </pic:cNvPicPr>
                  </pic:nvPicPr>
                  <pic:blipFill>
                    <a:blip r:embed="rId7">
                      <a:extLst/>
                    </a:blip>
                    <a:stretch>
                      <a:fillRect/>
                    </a:stretch>
                  </pic:blipFill>
                  <pic:spPr>
                    <a:xfrm>
                      <a:off x="0" y="0"/>
                      <a:ext cx="4907280" cy="4564380"/>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Image 4: Stakeholder Participation in Community Engagement</w:t>
      </w:r>
    </w:p>
    <w:p>
      <w:pPr>
        <w:pStyle w:val="Body"/>
        <w:spacing w:line="360" w:lineRule="auto"/>
        <w:jc w:val="center"/>
        <w:rPr>
          <w:rStyle w:val="Hyperlink.0"/>
        </w:rPr>
      </w:pPr>
      <w:r>
        <w:rPr>
          <w:rStyle w:val="Hyperlink.0"/>
          <w:rtl w:val="0"/>
          <w:lang w:val="en-US"/>
        </w:rPr>
        <w:t xml:space="preserve">(Source: </w:t>
      </w:r>
      <w:r>
        <w:rPr>
          <w:rStyle w:val="None"/>
          <w:rFonts w:ascii="Times New Roman" w:hAnsi="Times New Roman"/>
          <w:sz w:val="24"/>
          <w:szCs w:val="24"/>
          <w:shd w:val="clear" w:color="auto" w:fill="ffffff"/>
          <w:rtl w:val="0"/>
        </w:rPr>
        <w:t>Barrett et al., 2020</w:t>
      </w:r>
      <w:r>
        <w:rPr>
          <w:rStyle w:val="Hyperlink.0"/>
          <w:rtl w:val="0"/>
        </w:rPr>
        <w:t>)</w:t>
      </w:r>
    </w:p>
    <w:p>
      <w:pPr>
        <w:pStyle w:val="Heading"/>
      </w:pPr>
      <w:bookmarkStart w:name="_Toc9" w:id="9"/>
      <w:r>
        <w:rPr>
          <w:rStyle w:val="None"/>
          <w:rFonts w:cs="Arial Unicode MS" w:eastAsia="Arial Unicode MS"/>
          <w:rtl w:val="0"/>
          <w:lang w:val="en-US"/>
        </w:rPr>
        <w:t>Need of Forward-looking Approach for Community Development</w:t>
      </w:r>
      <w:bookmarkEnd w:id="9"/>
    </w:p>
    <w:p>
      <w:pPr>
        <w:pStyle w:val="Body"/>
        <w:spacing w:line="360" w:lineRule="auto"/>
        <w:jc w:val="both"/>
        <w:rPr>
          <w:rStyle w:val="Hyperlink.0"/>
        </w:rPr>
      </w:pPr>
      <w:r>
        <w:rPr>
          <w:rStyle w:val="Hyperlink.0"/>
          <w:rtl w:val="0"/>
          <w:lang w:val="en-US"/>
        </w:rPr>
        <w:t xml:space="preserve">The main aim of a community engagement programme is to ensure the participation of all classes and communities in health awareness. Macmillan Cancer Support UK has taken a forward-looking approach while framing their community engagement programme. The programme aims to innovate in terms of educating the communities about the benefits of cancer research and awareness. </w:t>
      </w:r>
    </w:p>
    <w:p>
      <w:pPr>
        <w:pStyle w:val="Body"/>
        <w:numPr>
          <w:ilvl w:val="0"/>
          <w:numId w:val="2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The use of social media has been extensive for promoting cancer awareness and different methods that can be adopted for fighting cancer in communities (scie.org.uk, 2021). </w:t>
      </w:r>
    </w:p>
    <w:p>
      <w:pPr>
        <w:pStyle w:val="Body"/>
        <w:numPr>
          <w:ilvl w:val="0"/>
          <w:numId w:val="2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The future generation of the community are given priority in spreading the awareness among the communities. The schools and colleges are being encouraged to add curriculums that would teach the students about the implications of these programmes (</w:t>
      </w:r>
      <w:r>
        <w:rPr>
          <w:rStyle w:val="None"/>
          <w:rFonts w:ascii="Times New Roman" w:hAnsi="Times New Roman"/>
          <w:sz w:val="24"/>
          <w:szCs w:val="24"/>
          <w:shd w:val="clear" w:color="auto" w:fill="ffffff"/>
          <w:rtl w:val="0"/>
          <w:lang w:val="fr-FR"/>
        </w:rPr>
        <w:t>Kaufman et al., 2017</w:t>
      </w:r>
      <w:r>
        <w:rPr>
          <w:rStyle w:val="None"/>
          <w:rFonts w:ascii="Times New Roman" w:hAnsi="Times New Roman"/>
          <w:sz w:val="24"/>
          <w:szCs w:val="24"/>
          <w:rtl w:val="0"/>
        </w:rPr>
        <w:t xml:space="preserve">). </w:t>
      </w:r>
    </w:p>
    <w:p>
      <w:pPr>
        <w:pStyle w:val="Body"/>
        <w:numPr>
          <w:ilvl w:val="0"/>
          <w:numId w:val="2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Advanced technologies are being used to provide best clinical support to the community members. New innovative techniques are used by the Taskforce members to increase the benefits for the patients. </w:t>
      </w:r>
    </w:p>
    <w:p>
      <w:pPr>
        <w:pStyle w:val="Body"/>
        <w:numPr>
          <w:ilvl w:val="0"/>
          <w:numId w:val="20"/>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The neglected communities like LGBTQ, and people belonging to the low-income category are being encouraged to be a part of the community engagement activities (scie.org.uk, 2021). </w:t>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480273" cy="3313654"/>
            <wp:effectExtent l="0" t="0" r="0" b="0"/>
            <wp:docPr id="1073741829" name="officeArt object" descr="image5.png"/>
            <wp:cNvGraphicFramePr/>
            <a:graphic xmlns:a="http://schemas.openxmlformats.org/drawingml/2006/main">
              <a:graphicData uri="http://schemas.openxmlformats.org/drawingml/2006/picture">
                <pic:pic xmlns:pic="http://schemas.openxmlformats.org/drawingml/2006/picture">
                  <pic:nvPicPr>
                    <pic:cNvPr id="1073741829" name="image5.png" descr="image5.png"/>
                    <pic:cNvPicPr>
                      <a:picLocks noChangeAspect="1"/>
                    </pic:cNvPicPr>
                  </pic:nvPicPr>
                  <pic:blipFill>
                    <a:blip r:embed="rId8">
                      <a:extLst/>
                    </a:blip>
                    <a:stretch>
                      <a:fillRect/>
                    </a:stretch>
                  </pic:blipFill>
                  <pic:spPr>
                    <a:xfrm>
                      <a:off x="0" y="0"/>
                      <a:ext cx="5480273" cy="3313654"/>
                    </a:xfrm>
                    <a:prstGeom prst="rect">
                      <a:avLst/>
                    </a:prstGeom>
                    <a:ln w="12700" cap="flat">
                      <a:noFill/>
                      <a:miter lim="400000"/>
                    </a:ln>
                    <a:effectLst/>
                  </pic:spPr>
                </pic:pic>
              </a:graphicData>
            </a:graphic>
          </wp:inline>
        </w:drawing>
      </w:r>
    </w:p>
    <w:p>
      <w:pPr>
        <w:pStyle w:val="Body"/>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Image 5: Forward-looking Approach in Community Engagement</w:t>
      </w:r>
    </w:p>
    <w:p>
      <w:pPr>
        <w:pStyle w:val="Body"/>
        <w:spacing w:line="360" w:lineRule="auto"/>
        <w:jc w:val="center"/>
        <w:rPr>
          <w:rStyle w:val="Hyperlink.0"/>
        </w:rPr>
      </w:pPr>
      <w:r>
        <w:rPr>
          <w:rStyle w:val="Hyperlink.0"/>
          <w:rtl w:val="0"/>
          <w:lang w:val="en-US"/>
        </w:rPr>
        <w:t xml:space="preserve">(Source: </w:t>
      </w:r>
      <w:r>
        <w:rPr>
          <w:rStyle w:val="None"/>
          <w:rFonts w:ascii="Times New Roman" w:hAnsi="Times New Roman"/>
          <w:sz w:val="24"/>
          <w:szCs w:val="24"/>
          <w:shd w:val="clear" w:color="auto" w:fill="ffffff"/>
          <w:rtl w:val="0"/>
          <w:lang w:val="fr-FR"/>
        </w:rPr>
        <w:t>Kaufman et al., 2017</w:t>
      </w:r>
      <w:r>
        <w:rPr>
          <w:rStyle w:val="Hyperlink.0"/>
          <w:rtl w:val="0"/>
        </w:rPr>
        <w:t>)</w:t>
      </w:r>
    </w:p>
    <w:p>
      <w:pPr>
        <w:pStyle w:val="Heading"/>
      </w:pPr>
      <w:bookmarkStart w:name="_Toc10" w:id="10"/>
      <w:r>
        <w:rPr>
          <w:rStyle w:val="None"/>
          <w:rFonts w:cs="Arial Unicode MS" w:eastAsia="Arial Unicode MS"/>
          <w:rtl w:val="0"/>
          <w:lang w:val="en-US"/>
        </w:rPr>
        <w:t>Factors Influence Community Development</w:t>
      </w:r>
      <w:bookmarkEnd w:id="10"/>
    </w:p>
    <w:p>
      <w:pPr>
        <w:pStyle w:val="Body"/>
        <w:spacing w:line="360" w:lineRule="auto"/>
        <w:jc w:val="both"/>
        <w:rPr>
          <w:rStyle w:val="Hyperlink.0"/>
        </w:rPr>
      </w:pPr>
      <w:r>
        <w:rPr>
          <w:rStyle w:val="Hyperlink.0"/>
          <w:rtl w:val="0"/>
          <w:lang w:val="en-US"/>
        </w:rPr>
        <w:t>The main factors that impact the Community Development are mentioned below:</w:t>
      </w:r>
    </w:p>
    <w:p>
      <w:pPr>
        <w:pStyle w:val="Body"/>
        <w:numPr>
          <w:ilvl w:val="0"/>
          <w:numId w:val="22"/>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Discrimination and social prejudices</w:t>
      </w:r>
    </w:p>
    <w:p>
      <w:pPr>
        <w:pStyle w:val="Body"/>
        <w:numPr>
          <w:ilvl w:val="0"/>
          <w:numId w:val="22"/>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Political and Cultural stigmas</w:t>
      </w:r>
    </w:p>
    <w:p>
      <w:pPr>
        <w:pStyle w:val="Body"/>
        <w:numPr>
          <w:ilvl w:val="0"/>
          <w:numId w:val="22"/>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Governmental Approach</w:t>
      </w:r>
    </w:p>
    <w:p>
      <w:pPr>
        <w:pStyle w:val="Body"/>
        <w:numPr>
          <w:ilvl w:val="0"/>
          <w:numId w:val="22"/>
        </w:numPr>
        <w:bidi w:val="0"/>
        <w:spacing w:line="360" w:lineRule="auto"/>
        <w:ind w:right="0"/>
        <w:jc w:val="both"/>
        <w:rPr>
          <w:rFonts w:ascii="Times New Roman" w:hAnsi="Times New Roman"/>
          <w:sz w:val="24"/>
          <w:szCs w:val="24"/>
          <w:rtl w:val="0"/>
          <w:lang w:val="fr-FR"/>
        </w:rPr>
      </w:pPr>
      <w:r>
        <w:rPr>
          <w:rStyle w:val="None"/>
          <w:rFonts w:ascii="Times New Roman" w:hAnsi="Times New Roman"/>
          <w:sz w:val="24"/>
          <w:szCs w:val="24"/>
          <w:rtl w:val="0"/>
          <w:lang w:val="fr-FR"/>
        </w:rPr>
        <w:t>Active Participation</w:t>
      </w:r>
    </w:p>
    <w:p>
      <w:pPr>
        <w:pStyle w:val="Body"/>
        <w:numPr>
          <w:ilvl w:val="0"/>
          <w:numId w:val="22"/>
        </w:numPr>
        <w:bidi w:val="0"/>
        <w:spacing w:line="360" w:lineRule="auto"/>
        <w:ind w:right="0"/>
        <w:jc w:val="both"/>
        <w:rPr>
          <w:rFonts w:ascii="Times New Roman" w:hAnsi="Times New Roman"/>
          <w:sz w:val="24"/>
          <w:szCs w:val="24"/>
          <w:rtl w:val="0"/>
          <w:lang w:val="fr-FR"/>
        </w:rPr>
      </w:pPr>
      <w:r>
        <w:rPr>
          <w:rStyle w:val="None"/>
          <w:rFonts w:ascii="Times New Roman" w:hAnsi="Times New Roman"/>
          <w:sz w:val="24"/>
          <w:szCs w:val="24"/>
          <w:rtl w:val="0"/>
          <w:lang w:val="fr-FR"/>
        </w:rPr>
        <w:t>Legal Restrictions</w:t>
      </w:r>
    </w:p>
    <w:p>
      <w:pPr>
        <w:pStyle w:val="Heading"/>
      </w:pPr>
      <w:bookmarkStart w:name="_Toc11" w:id="11"/>
      <w:r>
        <w:rPr>
          <w:rStyle w:val="None"/>
          <w:rFonts w:cs="Arial Unicode MS" w:eastAsia="Arial Unicode MS"/>
          <w:rtl w:val="0"/>
          <w:lang w:val="en-US"/>
        </w:rPr>
        <w:t>Conclusion and Recommendation</w:t>
      </w:r>
      <w:bookmarkEnd w:id="11"/>
    </w:p>
    <w:p>
      <w:pPr>
        <w:pStyle w:val="Body"/>
        <w:spacing w:line="360" w:lineRule="auto"/>
        <w:jc w:val="both"/>
        <w:rPr>
          <w:rStyle w:val="Hyperlink.0"/>
        </w:rPr>
      </w:pPr>
      <w:r>
        <w:rPr>
          <w:rStyle w:val="Hyperlink.0"/>
          <w:rtl w:val="0"/>
          <w:lang w:val="en-US"/>
        </w:rPr>
        <w:t>The organization Macmillan Cancer Support UK has successfully used the community engagement programmes to benefit the ignored and neglected communities in the country. The innovative approaches taken by the organization has been one of the main reasons behind this success. However, some recommendations can be suggested for the organization for the future.</w:t>
      </w:r>
    </w:p>
    <w:p>
      <w:pPr>
        <w:pStyle w:val="Body"/>
        <w:numPr>
          <w:ilvl w:val="0"/>
          <w:numId w:val="2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The organization needs to include members in the task force who are experts in social media engagements to increase the efficiency of their social media activities. </w:t>
      </w:r>
    </w:p>
    <w:p>
      <w:pPr>
        <w:pStyle w:val="Body"/>
        <w:numPr>
          <w:ilvl w:val="0"/>
          <w:numId w:val="2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They should collaborate with health experts for acquiring expertise in the advanced technologies in clinical support (</w:t>
      </w:r>
      <w:r>
        <w:rPr>
          <w:rStyle w:val="None"/>
          <w:rFonts w:ascii="Times New Roman" w:hAnsi="Times New Roman"/>
          <w:sz w:val="24"/>
          <w:szCs w:val="24"/>
          <w:shd w:val="clear" w:color="auto" w:fill="ffffff"/>
          <w:rtl w:val="0"/>
          <w:lang w:val="fr-FR"/>
        </w:rPr>
        <w:t>Kaufman et al., 2017</w:t>
      </w:r>
      <w:r>
        <w:rPr>
          <w:rStyle w:val="None"/>
          <w:rFonts w:ascii="Times New Roman" w:hAnsi="Times New Roman"/>
          <w:sz w:val="24"/>
          <w:szCs w:val="24"/>
          <w:rtl w:val="0"/>
        </w:rPr>
        <w:t xml:space="preserve">). </w:t>
      </w:r>
    </w:p>
    <w:p>
      <w:pPr>
        <w:pStyle w:val="Body"/>
        <w:numPr>
          <w:ilvl w:val="0"/>
          <w:numId w:val="2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They should identify the community champions so that they can spread awareness more effectively among the community members. </w:t>
      </w: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b w:val="1"/>
          <w:bCs w:val="1"/>
          <w:sz w:val="24"/>
          <w:szCs w:val="24"/>
        </w:rPr>
      </w:pPr>
    </w:p>
    <w:p>
      <w:pPr>
        <w:pStyle w:val="Heading"/>
      </w:pPr>
      <w:bookmarkStart w:name="_Toc12" w:id="12"/>
      <w:r>
        <w:rPr>
          <w:rStyle w:val="None"/>
          <w:rFonts w:cs="Arial Unicode MS" w:eastAsia="Arial Unicode MS"/>
          <w:rtl w:val="0"/>
          <w:lang w:val="fr-FR"/>
        </w:rPr>
        <w:t>Reference List</w:t>
      </w:r>
      <w:bookmarkEnd w:id="12"/>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fr-FR"/>
        </w:rPr>
        <w:t>Journals</w:t>
      </w:r>
    </w:p>
    <w:p>
      <w:pPr>
        <w:pStyle w:val="Body"/>
        <w:spacing w:line="360" w:lineRule="auto"/>
        <w:jc w:val="both"/>
        <w:rPr>
          <w:rStyle w:val="None"/>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Asad, M., Le Dantec, C.A., Nielsen, B. and Diedrick, K., 2017, May. Creating a sociotechnical API: Designing city-scale community engagement. In </w:t>
      </w:r>
      <w:r>
        <w:rPr>
          <w:rStyle w:val="None"/>
          <w:rFonts w:ascii="Times New Roman" w:hAnsi="Times New Roman"/>
          <w:i w:val="1"/>
          <w:iCs w:val="1"/>
          <w:sz w:val="24"/>
          <w:szCs w:val="24"/>
          <w:shd w:val="clear" w:color="auto" w:fill="ffffff"/>
          <w:rtl w:val="0"/>
          <w:lang w:val="en-US"/>
        </w:rPr>
        <w:t>Proceedings of the 2017 CHI conference on human factors in computing systems</w:t>
      </w:r>
      <w:r>
        <w:rPr>
          <w:rStyle w:val="None"/>
          <w:rFonts w:ascii="Times New Roman" w:hAnsi="Times New Roman"/>
          <w:sz w:val="24"/>
          <w:szCs w:val="24"/>
          <w:shd w:val="clear" w:color="auto" w:fill="ffffff"/>
          <w:rtl w:val="0"/>
          <w:lang w:val="en-US"/>
        </w:rPr>
        <w:t xml:space="preserve"> (pp. 2295-2306). Available at: </w:t>
      </w:r>
      <w:r>
        <w:rPr>
          <w:rStyle w:val="Hyperlink.1"/>
        </w:rPr>
        <w:fldChar w:fldCharType="begin" w:fldLock="0"/>
      </w:r>
      <w:r>
        <w:rPr>
          <w:rStyle w:val="Hyperlink.1"/>
        </w:rPr>
        <w:instrText xml:space="preserve"> HYPERLINK "https://dl.acm.org/doi/pdf/10.1145/3025453.3025963"</w:instrText>
      </w:r>
      <w:r>
        <w:rPr>
          <w:rStyle w:val="Hyperlink.1"/>
        </w:rPr>
        <w:fldChar w:fldCharType="separate" w:fldLock="0"/>
      </w:r>
      <w:r>
        <w:rPr>
          <w:rStyle w:val="Hyperlink.1"/>
          <w:rtl w:val="0"/>
          <w:lang w:val="en-US"/>
        </w:rPr>
        <w:t>https://dl.acm.org/doi/pdf/10.1145/3025453.3025963</w:t>
      </w:r>
      <w:r>
        <w:rPr/>
        <w:fldChar w:fldCharType="end" w:fldLock="0"/>
      </w: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Barrett, N.J., Rodriguez, E.M., Iachan, R., Hyslop, T., Ingraham, K.L., Le, G.M., Martin, K., Haring, R.C., Rivadeneira, N.A., Erwin, D.O. and Fish, L.J., 2020. Factors associated with biomedical research participation within community</w:t>
      </w:r>
      <w:r>
        <w:rPr>
          <w:rStyle w:val="None"/>
          <w:rFonts w:ascii="Arial Unicode MS" w:cs="Arial Unicode MS" w:hAnsi="Arial Unicode MS" w:eastAsia="Arial Unicode MS" w:hint="default"/>
          <w:b w:val="0"/>
          <w:bCs w:val="0"/>
          <w:i w:val="0"/>
          <w:iCs w:val="0"/>
          <w:sz w:val="24"/>
          <w:szCs w:val="24"/>
          <w:shd w:val="clear" w:color="auto" w:fill="ffffff"/>
          <w:rtl w:val="0"/>
          <w:lang w:val="en-US"/>
        </w:rPr>
        <w:t>‐</w:t>
      </w:r>
      <w:r>
        <w:rPr>
          <w:rStyle w:val="None"/>
          <w:rFonts w:ascii="Times New Roman" w:hAnsi="Times New Roman"/>
          <w:sz w:val="24"/>
          <w:szCs w:val="24"/>
          <w:shd w:val="clear" w:color="auto" w:fill="ffffff"/>
          <w:rtl w:val="0"/>
          <w:lang w:val="en-US"/>
        </w:rPr>
        <w:t>based samples across 3 National Cancer Institute</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lang w:val="en-US"/>
        </w:rPr>
        <w:t xml:space="preserve">designated cancer centers. </w:t>
      </w:r>
      <w:r>
        <w:rPr>
          <w:rStyle w:val="None"/>
          <w:rFonts w:ascii="Times New Roman" w:hAnsi="Times New Roman"/>
          <w:i w:val="1"/>
          <w:iCs w:val="1"/>
          <w:sz w:val="24"/>
          <w:szCs w:val="24"/>
          <w:shd w:val="clear" w:color="auto" w:fill="ffffff"/>
          <w:rtl w:val="0"/>
          <w:lang w:val="en-US"/>
        </w:rPr>
        <w:t>Cancer</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126</w:t>
      </w:r>
      <w:r>
        <w:rPr>
          <w:rStyle w:val="None"/>
          <w:rFonts w:ascii="Times New Roman" w:hAnsi="Times New Roman"/>
          <w:sz w:val="24"/>
          <w:szCs w:val="24"/>
          <w:shd w:val="clear" w:color="auto" w:fill="ffffff"/>
          <w:rtl w:val="0"/>
          <w:lang w:val="en-US"/>
        </w:rPr>
        <w:t xml:space="preserve">(5), pp.1077-1089. Available at: </w:t>
      </w:r>
      <w:r>
        <w:rPr>
          <w:rStyle w:val="Hyperlink.1"/>
        </w:rPr>
        <w:fldChar w:fldCharType="begin" w:fldLock="0"/>
      </w:r>
      <w:r>
        <w:rPr>
          <w:rStyle w:val="Hyperlink.1"/>
        </w:rPr>
        <w:instrText xml:space="preserve"> HYPERLINK "https://acsjournals.onlinelibrary.wiley.com/doi/pdfdirect/10.1002/cncr.32487"</w:instrText>
      </w:r>
      <w:r>
        <w:rPr>
          <w:rStyle w:val="Hyperlink.1"/>
        </w:rPr>
        <w:fldChar w:fldCharType="separate" w:fldLock="0"/>
      </w:r>
      <w:r>
        <w:rPr>
          <w:rStyle w:val="Hyperlink.1"/>
          <w:rtl w:val="0"/>
          <w:lang w:val="en-US"/>
        </w:rPr>
        <w:t>https://acsjournals.onlinelibrary.wiley.com/doi/pdfdirect/10.1002/cncr.32487</w:t>
      </w:r>
      <w:r>
        <w:rPr/>
        <w:fldChar w:fldCharType="end" w:fldLock="0"/>
      </w: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Bice, S., Neely, K. and Einfeld, C., 2019. Next generation engagement: Setting a research agenda for community engagement in Australia's infrastructure sector. </w:t>
      </w:r>
      <w:r>
        <w:rPr>
          <w:rStyle w:val="None"/>
          <w:rFonts w:ascii="Times New Roman" w:hAnsi="Times New Roman"/>
          <w:i w:val="1"/>
          <w:iCs w:val="1"/>
          <w:sz w:val="24"/>
          <w:szCs w:val="24"/>
          <w:shd w:val="clear" w:color="auto" w:fill="ffffff"/>
          <w:rtl w:val="0"/>
          <w:lang w:val="en-US"/>
        </w:rPr>
        <w:t>Australian Journal of Public Administration</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78</w:t>
      </w:r>
      <w:r>
        <w:rPr>
          <w:rStyle w:val="None"/>
          <w:rFonts w:ascii="Times New Roman" w:hAnsi="Times New Roman"/>
          <w:sz w:val="24"/>
          <w:szCs w:val="24"/>
          <w:shd w:val="clear" w:color="auto" w:fill="ffffff"/>
          <w:rtl w:val="0"/>
          <w:lang w:val="en-US"/>
        </w:rPr>
        <w:t xml:space="preserve">(2), pp.290-310. Available at: </w:t>
      </w:r>
      <w:r>
        <w:rPr>
          <w:rStyle w:val="Hyperlink.1"/>
        </w:rPr>
        <w:fldChar w:fldCharType="begin" w:fldLock="0"/>
      </w:r>
      <w:r>
        <w:rPr>
          <w:rStyle w:val="Hyperlink.1"/>
        </w:rPr>
        <w:instrText xml:space="preserve"> HYPERLINK "https://onlinelibrary.wiley.com/doi/full/10.1111/1467-8500.12381"</w:instrText>
      </w:r>
      <w:r>
        <w:rPr>
          <w:rStyle w:val="Hyperlink.1"/>
        </w:rPr>
        <w:fldChar w:fldCharType="separate" w:fldLock="0"/>
      </w:r>
      <w:r>
        <w:rPr>
          <w:rStyle w:val="Hyperlink.1"/>
          <w:rtl w:val="0"/>
          <w:lang w:val="en-US"/>
        </w:rPr>
        <w:t>https://onlinelibrary.wiley.com/doi/full/10.1111/1467-8500.12381</w:t>
      </w:r>
      <w:r>
        <w:rPr/>
        <w:fldChar w:fldCharType="end" w:fldLock="0"/>
      </w: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Haviland, J., Sodergren, S., Calman, L., Corner, J., Din, A., Fenlon, D., Grimmett, C., Richardson, A., Smith, P.W., Winter, J. and members of Study Advisory Committee, 2017. Social support following diagnosis and treatment for colorectal cancer and associations with health</w:t>
      </w:r>
      <w:r>
        <w:rPr>
          <w:rStyle w:val="None"/>
          <w:rFonts w:ascii="Arial Unicode MS" w:cs="Arial Unicode MS" w:hAnsi="Arial Unicode MS" w:eastAsia="Arial Unicode MS" w:hint="default"/>
          <w:b w:val="0"/>
          <w:bCs w:val="0"/>
          <w:i w:val="0"/>
          <w:iCs w:val="0"/>
          <w:sz w:val="24"/>
          <w:szCs w:val="24"/>
          <w:shd w:val="clear" w:color="auto" w:fill="ffffff"/>
          <w:rtl w:val="0"/>
          <w:lang w:val="en-US"/>
        </w:rPr>
        <w:t>‐</w:t>
      </w:r>
      <w:r>
        <w:rPr>
          <w:rStyle w:val="None"/>
          <w:rFonts w:ascii="Times New Roman" w:hAnsi="Times New Roman"/>
          <w:sz w:val="24"/>
          <w:szCs w:val="24"/>
          <w:shd w:val="clear" w:color="auto" w:fill="ffffff"/>
          <w:rtl w:val="0"/>
          <w:lang w:val="en-US"/>
        </w:rPr>
        <w:t xml:space="preserve">related quality of life: Results from the UK ColoREctal Wellbeing (CREW) cohort study. </w:t>
      </w:r>
      <w:r>
        <w:rPr>
          <w:rStyle w:val="None"/>
          <w:rFonts w:ascii="Times New Roman" w:hAnsi="Times New Roman"/>
          <w:i w:val="1"/>
          <w:iCs w:val="1"/>
          <w:sz w:val="24"/>
          <w:szCs w:val="24"/>
          <w:shd w:val="clear" w:color="auto" w:fill="ffffff"/>
          <w:rtl w:val="0"/>
        </w:rPr>
        <w:t>Psycho</w:t>
      </w:r>
      <w:r>
        <w:rPr>
          <w:rStyle w:val="None"/>
          <w:rFonts w:ascii="Arial Unicode MS" w:cs="Arial Unicode MS" w:hAnsi="Arial Unicode MS" w:eastAsia="Arial Unicode MS" w:hint="default"/>
          <w:b w:val="0"/>
          <w:bCs w:val="0"/>
          <w:i w:val="0"/>
          <w:iCs w:val="0"/>
          <w:sz w:val="24"/>
          <w:szCs w:val="24"/>
          <w:shd w:val="clear" w:color="auto" w:fill="ffffff"/>
          <w:rtl w:val="0"/>
          <w:lang w:val="en-US"/>
        </w:rPr>
        <w:t>‐</w:t>
      </w:r>
      <w:r>
        <w:rPr>
          <w:rStyle w:val="None"/>
          <w:rFonts w:ascii="Times New Roman" w:hAnsi="Times New Roman"/>
          <w:i w:val="1"/>
          <w:iCs w:val="1"/>
          <w:sz w:val="24"/>
          <w:szCs w:val="24"/>
          <w:shd w:val="clear" w:color="auto" w:fill="ffffff"/>
          <w:rtl w:val="0"/>
        </w:rPr>
        <w:t>oncology</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26</w:t>
      </w:r>
      <w:r>
        <w:rPr>
          <w:rStyle w:val="None"/>
          <w:rFonts w:ascii="Times New Roman" w:hAnsi="Times New Roman"/>
          <w:sz w:val="24"/>
          <w:szCs w:val="24"/>
          <w:shd w:val="clear" w:color="auto" w:fill="ffffff"/>
          <w:rtl w:val="0"/>
          <w:lang w:val="en-US"/>
        </w:rPr>
        <w:t xml:space="preserve">(12), pp.2276-2284. Available at: </w:t>
      </w:r>
      <w:r>
        <w:rPr>
          <w:rStyle w:val="Hyperlink.1"/>
        </w:rPr>
        <w:fldChar w:fldCharType="begin" w:fldLock="0"/>
      </w:r>
      <w:r>
        <w:rPr>
          <w:rStyle w:val="Hyperlink.1"/>
        </w:rPr>
        <w:instrText xml:space="preserve"> HYPERLINK "https://onlinelibrary.wiley.com/doi/full/10.1002/pon.4556"</w:instrText>
      </w:r>
      <w:r>
        <w:rPr>
          <w:rStyle w:val="Hyperlink.1"/>
        </w:rPr>
        <w:fldChar w:fldCharType="separate" w:fldLock="0"/>
      </w:r>
      <w:r>
        <w:rPr>
          <w:rStyle w:val="Hyperlink.1"/>
          <w:rtl w:val="0"/>
          <w:lang w:val="pt-PT"/>
        </w:rPr>
        <w:t>https://onlinelibrary.wiley.com/doi/full/10.1002/pon.4556</w:t>
      </w:r>
      <w:r>
        <w:rPr/>
        <w:fldChar w:fldCharType="end" w:fldLock="0"/>
      </w: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Kaufman, A., Rhyne, R.L., Anastasoff, J., Ronquillo, F., Nixon, M., Mishra, S., Poola, C., Page-Reeves, J., Nkouaga, C., Cordova, C. and Larson, R.S., 2017. Health extension and clinical and translational science: an innovative strategy for community engagement. </w:t>
      </w:r>
      <w:r>
        <w:rPr>
          <w:rStyle w:val="None"/>
          <w:rFonts w:ascii="Times New Roman" w:hAnsi="Times New Roman"/>
          <w:i w:val="1"/>
          <w:iCs w:val="1"/>
          <w:sz w:val="24"/>
          <w:szCs w:val="24"/>
          <w:shd w:val="clear" w:color="auto" w:fill="ffffff"/>
          <w:rtl w:val="0"/>
          <w:lang w:val="en-US"/>
        </w:rPr>
        <w:t>The Journal of the American Board of Family Medicine</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30</w:t>
      </w:r>
      <w:r>
        <w:rPr>
          <w:rStyle w:val="None"/>
          <w:rFonts w:ascii="Times New Roman" w:hAnsi="Times New Roman"/>
          <w:sz w:val="24"/>
          <w:szCs w:val="24"/>
          <w:shd w:val="clear" w:color="auto" w:fill="ffffff"/>
          <w:rtl w:val="0"/>
          <w:lang w:val="en-US"/>
        </w:rPr>
        <w:t xml:space="preserve">(1), pp.94-99. Available at: </w:t>
      </w:r>
      <w:r>
        <w:rPr>
          <w:rStyle w:val="Hyperlink.1"/>
        </w:rPr>
        <w:fldChar w:fldCharType="begin" w:fldLock="0"/>
      </w:r>
      <w:r>
        <w:rPr>
          <w:rStyle w:val="Hyperlink.1"/>
        </w:rPr>
        <w:instrText xml:space="preserve"> HYPERLINK "https://www.jabfm.org/content/jabfp/30/1/94.full.pdf"</w:instrText>
      </w:r>
      <w:r>
        <w:rPr>
          <w:rStyle w:val="Hyperlink.1"/>
        </w:rPr>
        <w:fldChar w:fldCharType="separate" w:fldLock="0"/>
      </w:r>
      <w:r>
        <w:rPr>
          <w:rStyle w:val="Hyperlink.1"/>
          <w:rtl w:val="0"/>
        </w:rPr>
        <w:t>https://www.jabfm.org/content/jabfp/30/1/94.full.pdf</w:t>
      </w:r>
      <w:r>
        <w:rPr/>
        <w:fldChar w:fldCharType="end" w:fldLock="0"/>
      </w: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Meiklejohn, D., Moloney, S. and Bekessy, S., 2021. Applying a Practice Lens to Local Government Climate Change Governance: Rethinking Community Engagement Practices. </w:t>
      </w:r>
      <w:r>
        <w:rPr>
          <w:rStyle w:val="None"/>
          <w:rFonts w:ascii="Times New Roman" w:hAnsi="Times New Roman"/>
          <w:i w:val="1"/>
          <w:iCs w:val="1"/>
          <w:sz w:val="24"/>
          <w:szCs w:val="24"/>
          <w:shd w:val="clear" w:color="auto" w:fill="ffffff"/>
          <w:rtl w:val="0"/>
        </w:rPr>
        <w:t>Sustainability</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13</w:t>
      </w:r>
      <w:r>
        <w:rPr>
          <w:rStyle w:val="None"/>
          <w:rFonts w:ascii="Times New Roman" w:hAnsi="Times New Roman"/>
          <w:sz w:val="24"/>
          <w:szCs w:val="24"/>
          <w:shd w:val="clear" w:color="auto" w:fill="ffffff"/>
          <w:rtl w:val="0"/>
          <w:lang w:val="en-US"/>
        </w:rPr>
        <w:t xml:space="preserve">(2), p.995. Available at: </w:t>
      </w:r>
      <w:r>
        <w:rPr>
          <w:rStyle w:val="Hyperlink.1"/>
        </w:rPr>
        <w:fldChar w:fldCharType="begin" w:fldLock="0"/>
      </w:r>
      <w:r>
        <w:rPr>
          <w:rStyle w:val="Hyperlink.1"/>
        </w:rPr>
        <w:instrText xml:space="preserve"> HYPERLINK "https://www.mdpi.com/2071-1050/13/2/995/htm"</w:instrText>
      </w:r>
      <w:r>
        <w:rPr>
          <w:rStyle w:val="Hyperlink.1"/>
        </w:rPr>
        <w:fldChar w:fldCharType="separate" w:fldLock="0"/>
      </w:r>
      <w:r>
        <w:rPr>
          <w:rStyle w:val="Hyperlink.1"/>
          <w:rtl w:val="0"/>
        </w:rPr>
        <w:t>https://www.mdpi.com/2071-1050/13/2/995/htm</w:t>
      </w:r>
      <w:r>
        <w:rPr/>
        <w:fldChar w:fldCharType="end" w:fldLock="0"/>
      </w: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Mitchell, J., Cooke, P., Baral, S., Bull, N., Stones, C., Tsekleves, E., Verdezoto, N., Arjyal, A., Giri, R., Shrestha, A. and King, R., 2019. The values and principles underpinning community engagement approaches to tackling antimicrobial resistance (AMR). </w:t>
      </w:r>
      <w:r>
        <w:rPr>
          <w:rStyle w:val="None"/>
          <w:rFonts w:ascii="Times New Roman" w:hAnsi="Times New Roman"/>
          <w:i w:val="1"/>
          <w:iCs w:val="1"/>
          <w:sz w:val="24"/>
          <w:szCs w:val="24"/>
          <w:shd w:val="clear" w:color="auto" w:fill="ffffff"/>
          <w:rtl w:val="0"/>
          <w:lang w:val="en-US"/>
        </w:rPr>
        <w:t>Global Health Action</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12</w:t>
      </w:r>
      <w:r>
        <w:rPr>
          <w:rStyle w:val="None"/>
          <w:rFonts w:ascii="Times New Roman" w:hAnsi="Times New Roman"/>
          <w:sz w:val="24"/>
          <w:szCs w:val="24"/>
          <w:shd w:val="clear" w:color="auto" w:fill="ffffff"/>
          <w:rtl w:val="0"/>
          <w:lang w:val="en-US"/>
        </w:rPr>
        <w:t xml:space="preserve">(sup1), p.1837484. Available at: </w:t>
      </w:r>
      <w:r>
        <w:rPr>
          <w:rStyle w:val="Hyperlink.1"/>
        </w:rPr>
        <w:fldChar w:fldCharType="begin" w:fldLock="0"/>
      </w:r>
      <w:r>
        <w:rPr>
          <w:rStyle w:val="Hyperlink.1"/>
        </w:rPr>
        <w:instrText xml:space="preserve"> HYPERLINK "https://www.tandfonline.com/doi/full/10.1080/16549716.2020.1837484"</w:instrText>
      </w:r>
      <w:r>
        <w:rPr>
          <w:rStyle w:val="Hyperlink.1"/>
        </w:rPr>
        <w:fldChar w:fldCharType="separate" w:fldLock="0"/>
      </w:r>
      <w:r>
        <w:rPr>
          <w:rStyle w:val="Hyperlink.1"/>
          <w:rtl w:val="0"/>
          <w:lang w:val="en-US"/>
        </w:rPr>
        <w:t>https://www.tandfonline.com/doi/full/10.1080/16549716.2020.1837484</w:t>
      </w:r>
      <w:r>
        <w:rPr/>
        <w:fldChar w:fldCharType="end" w:fldLock="0"/>
      </w: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Regnante, J.M., Richie, N.A., Fashoyin-Aje, L., Vichnin, M., Ford, M., Roy, U.B., Turner, K., Hall, L.L., Gonzalez, E., Esnaola, N. and Clark, L.T., 2019. US cancer centers of excellence strategies for increased inclusion of racial and ethnic minorities in clinical trials. </w:t>
      </w:r>
      <w:r>
        <w:rPr>
          <w:rStyle w:val="None"/>
          <w:rFonts w:ascii="Times New Roman" w:hAnsi="Times New Roman"/>
          <w:i w:val="1"/>
          <w:iCs w:val="1"/>
          <w:sz w:val="24"/>
          <w:szCs w:val="24"/>
          <w:shd w:val="clear" w:color="auto" w:fill="ffffff"/>
          <w:rtl w:val="0"/>
          <w:lang w:val="en-US"/>
        </w:rPr>
        <w:t>Journal of oncology practice</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15</w:t>
      </w:r>
      <w:r>
        <w:rPr>
          <w:rStyle w:val="None"/>
          <w:rFonts w:ascii="Times New Roman" w:hAnsi="Times New Roman"/>
          <w:sz w:val="24"/>
          <w:szCs w:val="24"/>
          <w:shd w:val="clear" w:color="auto" w:fill="ffffff"/>
          <w:rtl w:val="0"/>
          <w:lang w:val="en-US"/>
        </w:rPr>
        <w:t xml:space="preserve">(4), pp.e289-e299. Available at: </w:t>
      </w:r>
      <w:r>
        <w:rPr>
          <w:rStyle w:val="Hyperlink.1"/>
        </w:rPr>
        <w:fldChar w:fldCharType="begin" w:fldLock="0"/>
      </w:r>
      <w:r>
        <w:rPr>
          <w:rStyle w:val="Hyperlink.1"/>
        </w:rPr>
        <w:instrText xml:space="preserve"> HYPERLINK "https://ascopubs.org/doi/pdfdirect/10.1200/JOP.18.00638"</w:instrText>
      </w:r>
      <w:r>
        <w:rPr>
          <w:rStyle w:val="Hyperlink.1"/>
        </w:rPr>
        <w:fldChar w:fldCharType="separate" w:fldLock="0"/>
      </w:r>
      <w:r>
        <w:rPr>
          <w:rStyle w:val="Hyperlink.1"/>
          <w:rtl w:val="0"/>
          <w:lang w:val="en-US"/>
        </w:rPr>
        <w:t>https://ascopubs.org/doi/pdfdirect/10.1200/JOP.18.00638</w:t>
      </w:r>
      <w:r>
        <w:rPr/>
        <w:fldChar w:fldCharType="end" w:fldLock="0"/>
      </w:r>
    </w:p>
    <w:p>
      <w:pPr>
        <w:pStyle w:val="Body"/>
        <w:spacing w:line="360" w:lineRule="auto"/>
        <w:jc w:val="both"/>
        <w:rPr>
          <w:rStyle w:val="None"/>
          <w:sz w:val="20"/>
          <w:szCs w:val="20"/>
          <w:shd w:val="clear" w:color="auto" w:fill="ffffff"/>
        </w:rPr>
      </w:pPr>
      <w:r>
        <w:rPr>
          <w:rStyle w:val="None"/>
          <w:rFonts w:ascii="Times New Roman" w:hAnsi="Times New Roman"/>
          <w:sz w:val="24"/>
          <w:szCs w:val="24"/>
          <w:shd w:val="clear" w:color="auto" w:fill="ffffff"/>
          <w:rtl w:val="0"/>
          <w:lang w:val="en-US"/>
        </w:rPr>
        <w:t xml:space="preserve">Smith, L.M., Yarincik, K., Kearney, T.D. and Rutherford, C., 2019. Science Community Engagement Best Practices: a white paper from the observatory best practices/lessons learned series. Available at: </w:t>
      </w:r>
      <w:r>
        <w:rPr>
          <w:rStyle w:val="Hyperlink.2"/>
        </w:rPr>
        <w:fldChar w:fldCharType="begin" w:fldLock="0"/>
      </w:r>
      <w:r>
        <w:rPr>
          <w:rStyle w:val="Hyperlink.2"/>
        </w:rPr>
        <w:instrText xml:space="preserve"> HYPERLINK "https://repository.oceanbestpractices.org/bitstream/handle/11329/972/Science%2520Community%2520Engagement%2520Best%2520Practices-6-30-2019_Final.pdf?sequence=1"</w:instrText>
      </w:r>
      <w:r>
        <w:rPr>
          <w:rStyle w:val="Hyperlink.2"/>
        </w:rPr>
        <w:fldChar w:fldCharType="separate" w:fldLock="0"/>
      </w:r>
      <w:r>
        <w:rPr>
          <w:rStyle w:val="Hyperlink.2"/>
          <w:rtl w:val="0"/>
          <w:lang w:val="en-US"/>
        </w:rPr>
        <w:t>https://repository.oceanbestpractices.org/bitstream/handle/11329/972/Science%20Community%20Engagement%20Best%20Practices-6-30-2019_Final.pdf?sequence=1</w:t>
      </w:r>
      <w:r>
        <w:rPr/>
        <w:fldChar w:fldCharType="end" w:fldLock="0"/>
      </w: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Steinmetz, C., Rahmat, H., Marshall, N., Bishop, K., Thompson, S., Park, M., Corkery, L. and Tietz, C., 2021. Liking, Tweeting and Posting: An Analysis of Community Engagement through Social Media Platforms. </w:t>
      </w:r>
      <w:r>
        <w:rPr>
          <w:rStyle w:val="None"/>
          <w:rFonts w:ascii="Times New Roman" w:hAnsi="Times New Roman"/>
          <w:i w:val="1"/>
          <w:iCs w:val="1"/>
          <w:sz w:val="24"/>
          <w:szCs w:val="24"/>
          <w:shd w:val="clear" w:color="auto" w:fill="ffffff"/>
          <w:rtl w:val="0"/>
          <w:lang w:val="en-US"/>
        </w:rPr>
        <w:t>Urban Policy and Research</w:t>
      </w:r>
      <w:r>
        <w:rPr>
          <w:rStyle w:val="None"/>
          <w:rFonts w:ascii="Times New Roman" w:hAnsi="Times New Roman"/>
          <w:sz w:val="24"/>
          <w:szCs w:val="24"/>
          <w:shd w:val="clear" w:color="auto" w:fill="ffffff"/>
          <w:rtl w:val="0"/>
        </w:rPr>
        <w:t xml:space="preserve">, </w:t>
      </w:r>
      <w:r>
        <w:rPr>
          <w:rStyle w:val="None"/>
          <w:rFonts w:ascii="Times New Roman" w:hAnsi="Times New Roman"/>
          <w:i w:val="1"/>
          <w:iCs w:val="1"/>
          <w:sz w:val="24"/>
          <w:szCs w:val="24"/>
          <w:shd w:val="clear" w:color="auto" w:fill="ffffff"/>
          <w:rtl w:val="0"/>
        </w:rPr>
        <w:t>39</w:t>
      </w:r>
      <w:r>
        <w:rPr>
          <w:rStyle w:val="None"/>
          <w:rFonts w:ascii="Times New Roman" w:hAnsi="Times New Roman"/>
          <w:sz w:val="24"/>
          <w:szCs w:val="24"/>
          <w:shd w:val="clear" w:color="auto" w:fill="ffffff"/>
          <w:rtl w:val="0"/>
          <w:lang w:val="en-US"/>
        </w:rPr>
        <w:t xml:space="preserve">(1), pp.85-105. Available at: </w:t>
      </w:r>
      <w:r>
        <w:rPr>
          <w:rStyle w:val="Hyperlink.1"/>
        </w:rPr>
        <w:fldChar w:fldCharType="begin" w:fldLock="0"/>
      </w:r>
      <w:r>
        <w:rPr>
          <w:rStyle w:val="Hyperlink.1"/>
        </w:rPr>
        <w:instrText xml:space="preserve"> HYPERLINK "https://www.researchgate.net/profile/Christine-Steinmetz/publication/343004947_Liking_Tweeting_and_Posting_An_Analysis_of_Community_Engagement_through_Social_Media_Platforms/links/60665499a6fdccad3f6645b4/Liking-Tweeting-and-Posting-An-Analysis-of-Community-Engagement-through-Social-Media-Platforms.pdf"</w:instrText>
      </w:r>
      <w:r>
        <w:rPr>
          <w:rStyle w:val="Hyperlink.1"/>
        </w:rPr>
        <w:fldChar w:fldCharType="separate" w:fldLock="0"/>
      </w:r>
      <w:r>
        <w:rPr>
          <w:rStyle w:val="Hyperlink.1"/>
          <w:rtl w:val="0"/>
          <w:lang w:val="en-US"/>
        </w:rPr>
        <w:t>https://www.researchgate.net/profile/Christine-Steinmetz/publication/343004947_Liking_Tweeting_and_Posting_An_Analysis_of_Community_Engagement_through_Social_Media_Platforms/links/60665499a6fdccad3f6645b4/Liking-Tweeting-and-Posting-An-Analysis-of-Community-Engagement-through-Social-Media-Platforms.pdf</w:t>
      </w:r>
      <w:r>
        <w:rPr/>
        <w:fldChar w:fldCharType="end" w:fldLock="0"/>
      </w:r>
    </w:p>
    <w:p>
      <w:pPr>
        <w:pStyle w:val="Body"/>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World Health Organization, 2017. An evidence map of social, behavioural and community engagement interventions for reproductive, maternal, newborn and child health. Available at: </w:t>
      </w:r>
      <w:r>
        <w:rPr>
          <w:rStyle w:val="Hyperlink.1"/>
        </w:rPr>
        <w:fldChar w:fldCharType="begin" w:fldLock="0"/>
      </w:r>
      <w:r>
        <w:rPr>
          <w:rStyle w:val="Hyperlink.1"/>
        </w:rPr>
        <w:instrText xml:space="preserve"> HYPERLINK "https://apps.who.int/iris/bitstream/handle/10665/259399/9789240697263-eng.pdf"</w:instrText>
      </w:r>
      <w:r>
        <w:rPr>
          <w:rStyle w:val="Hyperlink.1"/>
        </w:rPr>
        <w:fldChar w:fldCharType="separate" w:fldLock="0"/>
      </w:r>
      <w:r>
        <w:rPr>
          <w:rStyle w:val="Hyperlink.1"/>
          <w:rtl w:val="0"/>
          <w:lang w:val="en-US"/>
        </w:rPr>
        <w:t>https://apps.who.int/iris/bitstream/handle/10665/259399/9789240697263-eng.pdf</w:t>
      </w:r>
      <w:r>
        <w:rPr/>
        <w:fldChar w:fldCharType="end" w:fldLock="0"/>
      </w:r>
    </w:p>
    <w:p>
      <w:pPr>
        <w:pStyle w:val="Body"/>
        <w:spacing w:line="360" w:lineRule="auto"/>
        <w:jc w:val="both"/>
        <w:rPr>
          <w:rStyle w:val="Hyperlink.1"/>
        </w:rPr>
      </w:pPr>
      <w:r>
        <w:rPr>
          <w:rStyle w:val="None"/>
          <w:rFonts w:ascii="Times New Roman" w:hAnsi="Times New Roman"/>
          <w:sz w:val="24"/>
          <w:szCs w:val="24"/>
          <w:shd w:val="clear" w:color="auto" w:fill="ffffff"/>
          <w:rtl w:val="0"/>
          <w:lang w:val="en-US"/>
        </w:rPr>
        <w:t xml:space="preserve">World Health Organization, 2018. Risk communication and community engagement preparedness and readiness framework: Ebola response in the Democratic Republic of Congo in North Kivu. Available at: </w:t>
      </w:r>
      <w:r>
        <w:rPr>
          <w:rStyle w:val="Hyperlink.1"/>
        </w:rPr>
        <w:fldChar w:fldCharType="begin" w:fldLock="0"/>
      </w:r>
      <w:r>
        <w:rPr>
          <w:rStyle w:val="Hyperlink.1"/>
        </w:rPr>
        <w:instrText xml:space="preserve"> HYPERLINK "https://apps.who.int/iris/bitstream/handle/10665/275389/9789241514828-eng.pdf"</w:instrText>
      </w:r>
      <w:r>
        <w:rPr>
          <w:rStyle w:val="Hyperlink.1"/>
        </w:rPr>
        <w:fldChar w:fldCharType="separate" w:fldLock="0"/>
      </w:r>
      <w:r>
        <w:rPr>
          <w:rStyle w:val="Hyperlink.1"/>
          <w:rtl w:val="0"/>
          <w:lang w:val="en-US"/>
        </w:rPr>
        <w:t>https://apps.who.int/iris/bitstream/handle/10665/275389/9789241514828-eng.pdf</w:t>
      </w:r>
      <w:r>
        <w:rPr/>
        <w:fldChar w:fldCharType="end" w:fldLock="0"/>
      </w:r>
    </w:p>
    <w:p>
      <w:pPr>
        <w:pStyle w:val="Body"/>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Websites</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lang w:val="it-IT"/>
        </w:rPr>
        <w:t xml:space="preserve">aese.psu.edu, 2021, </w:t>
      </w:r>
      <w:r>
        <w:rPr>
          <w:rStyle w:val="Hyperlink.3"/>
        </w:rPr>
        <w:fldChar w:fldCharType="begin" w:fldLock="0"/>
      </w:r>
      <w:r>
        <w:rPr>
          <w:rStyle w:val="Hyperlink.3"/>
        </w:rPr>
        <w:instrText xml:space="preserve"> HYPERLINK "https://www.scie.org.uk/publications/guides/guide51/practice-examples/macmillan.asp"</w:instrText>
      </w:r>
      <w:r>
        <w:rPr>
          <w:rStyle w:val="Hyperlink.3"/>
        </w:rPr>
        <w:fldChar w:fldCharType="separate" w:fldLock="0"/>
      </w:r>
      <w:r>
        <w:rPr>
          <w:rStyle w:val="Hyperlink.3"/>
          <w:rtl w:val="0"/>
          <w:lang w:val="en-US"/>
        </w:rPr>
        <w:t xml:space="preserve">about </w:t>
      </w:r>
      <w:r>
        <w:rPr/>
        <w:fldChar w:fldCharType="end" w:fldLock="0"/>
      </w:r>
      <w:r>
        <w:rPr>
          <w:rStyle w:val="Hyperlink.3"/>
          <w:rtl w:val="0"/>
          <w:lang w:val="fr-FR"/>
        </w:rPr>
        <w:t xml:space="preserve">Community Engagement, </w:t>
      </w:r>
      <w:r>
        <w:rPr>
          <w:rStyle w:val="Hyperlink.0"/>
          <w:rtl w:val="0"/>
          <w:lang w:val="en-US"/>
        </w:rPr>
        <w:t xml:space="preserve">Available at: </w:t>
      </w:r>
      <w:r>
        <w:rPr>
          <w:rStyle w:val="Hyperlink.4"/>
        </w:rPr>
        <w:fldChar w:fldCharType="begin" w:fldLock="0"/>
      </w:r>
      <w:r>
        <w:rPr>
          <w:rStyle w:val="Hyperlink.4"/>
        </w:rPr>
        <w:instrText xml:space="preserve"> HYPERLINK "https://aese.psu.edu/research/centers/cecd/engagement-toolbox/engagement/what-is-community-engagement#:~:text=Community%2520Engagement%2520is%25E2%2580%25A6the%2520process,environmental%2520and%2520behavioral%2520changes%2520that"</w:instrText>
      </w:r>
      <w:r>
        <w:rPr>
          <w:rStyle w:val="Hyperlink.4"/>
        </w:rPr>
        <w:fldChar w:fldCharType="separate" w:fldLock="0"/>
      </w:r>
      <w:r>
        <w:rPr>
          <w:rStyle w:val="Hyperlink.4"/>
          <w:rtl w:val="0"/>
          <w:lang w:val="en-US"/>
        </w:rPr>
        <w:t>https://aese.psu.edu/research/centers/cecd/engagement-toolbox/engagement/what-is-community-engagement#:~:text=Community%20Engagement%20is%E2%80%A6the%20process,environmental%20and%20behavioral%20changes%20that</w:t>
      </w:r>
      <w:r>
        <w:rPr/>
        <w:fldChar w:fldCharType="end" w:fldLock="0"/>
      </w:r>
      <w:r>
        <w:rPr>
          <w:rStyle w:val="Hyperlink.0"/>
          <w:rtl w:val="0"/>
          <w:lang w:val="en-US"/>
        </w:rPr>
        <w:t xml:space="preserve"> [Accessed on: 16.08.2021]</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rPr>
          <w:rStyle w:val="Hyperlink.0"/>
        </w:rPr>
      </w:pPr>
      <w:r>
        <w:rPr>
          <w:rStyle w:val="Hyperlink.0"/>
          <w:rtl w:val="0"/>
        </w:rPr>
        <w:t xml:space="preserve">macmillan.org.uk 2021, </w:t>
      </w:r>
      <w:r>
        <w:rPr>
          <w:rStyle w:val="Hyperlink.3"/>
          <w:rtl w:val="0"/>
          <w:lang w:val="en-US"/>
        </w:rPr>
        <w:t xml:space="preserve">about the organization, </w:t>
      </w:r>
      <w:r>
        <w:rPr>
          <w:rStyle w:val="Hyperlink.0"/>
          <w:rtl w:val="0"/>
          <w:lang w:val="en-US"/>
        </w:rPr>
        <w:t xml:space="preserve">Available at: </w:t>
      </w:r>
      <w:r>
        <w:rPr>
          <w:rStyle w:val="Hyperlink.4"/>
        </w:rPr>
        <w:fldChar w:fldCharType="begin" w:fldLock="0"/>
      </w:r>
      <w:r>
        <w:rPr>
          <w:rStyle w:val="Hyperlink.4"/>
        </w:rPr>
        <w:instrText xml:space="preserve"> HYPERLINK "https://www.macmillan.org.uk/"</w:instrText>
      </w:r>
      <w:r>
        <w:rPr>
          <w:rStyle w:val="Hyperlink.4"/>
        </w:rPr>
        <w:fldChar w:fldCharType="separate" w:fldLock="0"/>
      </w:r>
      <w:r>
        <w:rPr>
          <w:rStyle w:val="Hyperlink.4"/>
          <w:rtl w:val="0"/>
        </w:rPr>
        <w:t>https://www.macmillan.org.uk/</w:t>
      </w:r>
      <w:r>
        <w:rPr/>
        <w:fldChar w:fldCharType="end" w:fldLock="0"/>
      </w:r>
      <w:r>
        <w:rPr>
          <w:rStyle w:val="Hyperlink.0"/>
          <w:rtl w:val="0"/>
          <w:lang w:val="en-US"/>
        </w:rPr>
        <w:t xml:space="preserve"> [accessed on 17.08.2021]</w:t>
      </w:r>
    </w:p>
    <w:p>
      <w:pPr>
        <w:pStyle w:val="Body"/>
        <w:spacing w:line="360" w:lineRule="auto"/>
        <w:jc w:val="both"/>
        <w:rPr>
          <w:rStyle w:val="None"/>
          <w:rFonts w:ascii="Times New Roman" w:cs="Times New Roman" w:hAnsi="Times New Roman" w:eastAsia="Times New Roman"/>
          <w:sz w:val="24"/>
          <w:szCs w:val="24"/>
        </w:rPr>
      </w:pPr>
    </w:p>
    <w:p>
      <w:pPr>
        <w:pStyle w:val="Body"/>
        <w:spacing w:line="360" w:lineRule="auto"/>
        <w:jc w:val="both"/>
      </w:pPr>
      <w:r>
        <w:rPr>
          <w:rStyle w:val="Hyperlink.0"/>
          <w:rtl w:val="0"/>
          <w:lang w:val="it-IT"/>
        </w:rPr>
        <w:t xml:space="preserve">scie.org.uk 2021, </w:t>
      </w:r>
      <w:r>
        <w:rPr>
          <w:rStyle w:val="Hyperlink.3"/>
          <w:rtl w:val="0"/>
          <w:lang w:val="en-US"/>
        </w:rPr>
        <w:t xml:space="preserve">about the community engagement programme, </w:t>
      </w:r>
      <w:r>
        <w:rPr>
          <w:rStyle w:val="Hyperlink.0"/>
          <w:rtl w:val="0"/>
          <w:lang w:val="en-US"/>
        </w:rPr>
        <w:t xml:space="preserve">Available at: </w:t>
      </w:r>
      <w:r>
        <w:rPr>
          <w:rStyle w:val="Hyperlink.4"/>
        </w:rPr>
        <w:fldChar w:fldCharType="begin" w:fldLock="0"/>
      </w:r>
      <w:r>
        <w:rPr>
          <w:rStyle w:val="Hyperlink.4"/>
        </w:rPr>
        <w:instrText xml:space="preserve"> HYPERLINK "https://www.scie.org.uk/publications/guides/guide51/practice-examples/macmillan.asp"</w:instrText>
      </w:r>
      <w:r>
        <w:rPr>
          <w:rStyle w:val="Hyperlink.4"/>
        </w:rPr>
        <w:fldChar w:fldCharType="separate" w:fldLock="0"/>
      </w:r>
      <w:r>
        <w:rPr>
          <w:rStyle w:val="Hyperlink.4"/>
          <w:rtl w:val="0"/>
          <w:lang w:val="en-US"/>
        </w:rPr>
        <w:t>https://www.scie.org.uk/publications/guides/guide51/practice-examples/macmillan.asp</w:t>
      </w:r>
      <w:r>
        <w:rPr/>
        <w:fldChar w:fldCharType="end" w:fldLock="0"/>
      </w:r>
      <w:r>
        <w:rPr>
          <w:rStyle w:val="Hyperlink.0"/>
          <w:rtl w:val="0"/>
          <w:lang w:val="en-US"/>
        </w:rPr>
        <w:t xml:space="preserve"> [accessed on: 14.08.2021]</w:t>
      </w:r>
    </w:p>
    <w:sectPr>
      <w:headerReference w:type="default" r:id="rId9"/>
      <w:footerReference w:type="default" r:id="rId10"/>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numStyleLink w:val="Imported Style 7"/>
  </w:abstractNum>
  <w:abstractNum w:abstractNumId="13">
    <w:multiLevelType w:val="hybridMultilevel"/>
    <w:styleLink w:val="Imported Style 7"/>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multiLevelType w:val="hybridMultilevel"/>
    <w:numStyleLink w:val="Imported Style 8"/>
  </w:abstractNum>
  <w:abstractNum w:abstractNumId="15">
    <w:multiLevelType w:val="hybridMultilevel"/>
    <w:styleLink w:val="Imported Style 8"/>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multiLevelType w:val="hybridMultilevel"/>
    <w:numStyleLink w:val="Imported Style 9"/>
  </w:abstractNum>
  <w:abstractNum w:abstractNumId="17">
    <w:multiLevelType w:val="hybridMultilevel"/>
    <w:styleLink w:val="Imported Style 9"/>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8">
    <w:multiLevelType w:val="hybridMultilevel"/>
    <w:numStyleLink w:val="Imported Style 10"/>
  </w:abstractNum>
  <w:abstractNum w:abstractNumId="19">
    <w:multiLevelType w:val="hybridMultilevel"/>
    <w:styleLink w:val="Imported Style 10"/>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0">
    <w:multiLevelType w:val="hybridMultilevel"/>
    <w:numStyleLink w:val="Imported Style 11"/>
  </w:abstractNum>
  <w:abstractNum w:abstractNumId="21">
    <w:multiLevelType w:val="hybridMultilevel"/>
    <w:styleLink w:val="Imported Style 11"/>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2">
    <w:multiLevelType w:val="hybridMultilevel"/>
    <w:numStyleLink w:val="Imported Style 12"/>
  </w:abstractNum>
  <w:abstractNum w:abstractNumId="23">
    <w:multiLevelType w:val="hybridMultilevel"/>
    <w:styleLink w:val="Imported Style 12"/>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 w:numId="15">
    <w:abstractNumId w:val="15"/>
  </w:num>
  <w:num w:numId="16">
    <w:abstractNumId w:val="14"/>
  </w:num>
  <w:num w:numId="17">
    <w:abstractNumId w:val="17"/>
  </w:num>
  <w:num w:numId="18">
    <w:abstractNumId w:val="16"/>
  </w:num>
  <w:num w:numId="19">
    <w:abstractNumId w:val="19"/>
  </w:num>
  <w:num w:numId="20">
    <w:abstractNumId w:val="18"/>
  </w:num>
  <w:num w:numId="21">
    <w:abstractNumId w:val="21"/>
  </w:num>
  <w:num w:numId="22">
    <w:abstractNumId w:val="20"/>
  </w:num>
  <w:num w:numId="23">
    <w:abstractNumId w:val="23"/>
  </w:num>
  <w:num w:numId="24">
    <w:abstractNumId w:val="2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6" w:lineRule="auto"/>
      <w:ind w:left="22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360" w:lineRule="auto"/>
      <w:ind w:left="0" w:right="0" w:firstLine="0"/>
      <w:jc w:val="both"/>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
      </w:numPr>
    </w:pPr>
  </w:style>
  <w:style w:type="character" w:styleId="None">
    <w:name w:val="None"/>
  </w:style>
  <w:style w:type="character" w:styleId="Hyperlink.0">
    <w:name w:val="Hyperlink.0"/>
    <w:basedOn w:val="None"/>
    <w:next w:val="Hyperlink.0"/>
    <w:rPr>
      <w:rFonts w:ascii="Times New Roman" w:cs="Times New Roman" w:hAnsi="Times New Roman" w:eastAsia="Times New Roman"/>
      <w:sz w:val="24"/>
      <w:szCs w:val="24"/>
    </w:r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numbering" w:styleId="Imported Style 6">
    <w:name w:val="Imported Style 6"/>
    <w:pPr>
      <w:numPr>
        <w:numId w:val="11"/>
      </w:numPr>
    </w:pPr>
  </w:style>
  <w:style w:type="numbering" w:styleId="Imported Style 7">
    <w:name w:val="Imported Style 7"/>
    <w:pPr>
      <w:numPr>
        <w:numId w:val="13"/>
      </w:numPr>
    </w:pPr>
  </w:style>
  <w:style w:type="numbering" w:styleId="Imported Style 8">
    <w:name w:val="Imported Style 8"/>
    <w:pPr>
      <w:numPr>
        <w:numId w:val="15"/>
      </w:numPr>
    </w:pPr>
  </w:style>
  <w:style w:type="numbering" w:styleId="Imported Style 9">
    <w:name w:val="Imported Style 9"/>
    <w:pPr>
      <w:numPr>
        <w:numId w:val="17"/>
      </w:numPr>
    </w:pPr>
  </w:style>
  <w:style w:type="numbering" w:styleId="Imported Style 10">
    <w:name w:val="Imported Style 10"/>
    <w:pPr>
      <w:numPr>
        <w:numId w:val="19"/>
      </w:numPr>
    </w:pPr>
  </w:style>
  <w:style w:type="numbering" w:styleId="Imported Style 11">
    <w:name w:val="Imported Style 11"/>
    <w:pPr>
      <w:numPr>
        <w:numId w:val="21"/>
      </w:numPr>
    </w:pPr>
  </w:style>
  <w:style w:type="numbering" w:styleId="Imported Style 12">
    <w:name w:val="Imported Style 12"/>
    <w:pPr>
      <w:numPr>
        <w:numId w:val="23"/>
      </w:numPr>
    </w:pPr>
  </w:style>
  <w:style w:type="character" w:styleId="Hyperlink.1">
    <w:name w:val="Hyperlink.1"/>
    <w:basedOn w:val="None"/>
    <w:next w:val="Hyperlink.1"/>
    <w:rPr>
      <w:rFonts w:ascii="Times New Roman" w:cs="Times New Roman" w:hAnsi="Times New Roman" w:eastAsia="Times New Roman"/>
      <w:sz w:val="24"/>
      <w:szCs w:val="24"/>
      <w:u w:val="single"/>
      <w:shd w:val="clear" w:color="auto" w:fill="ffffff"/>
    </w:rPr>
  </w:style>
  <w:style w:type="character" w:styleId="Hyperlink.2">
    <w:name w:val="Hyperlink.2"/>
    <w:basedOn w:val="None"/>
    <w:next w:val="Hyperlink.2"/>
    <w:rPr>
      <w:sz w:val="20"/>
      <w:szCs w:val="20"/>
      <w:u w:val="single"/>
      <w:shd w:val="clear" w:color="auto" w:fill="ffffff"/>
    </w:rPr>
  </w:style>
  <w:style w:type="character" w:styleId="Hyperlink.3">
    <w:name w:val="Hyperlink.3"/>
    <w:basedOn w:val="None"/>
    <w:next w:val="Hyperlink.3"/>
    <w:rPr>
      <w:rFonts w:ascii="Times New Roman" w:cs="Times New Roman" w:hAnsi="Times New Roman" w:eastAsia="Times New Roman"/>
      <w:i w:val="1"/>
      <w:iCs w:val="1"/>
      <w:sz w:val="24"/>
      <w:szCs w:val="24"/>
    </w:rPr>
  </w:style>
  <w:style w:type="character" w:styleId="Hyperlink.4">
    <w:name w:val="Hyperlink.4"/>
    <w:basedOn w:val="None"/>
    <w:next w:val="Hyperlink.4"/>
    <w:rPr>
      <w:rFonts w:ascii="Times New Roman" w:cs="Times New Roman" w:hAnsi="Times New Roman" w:eastAsia="Times New Roman"/>
      <w:sz w:val="24"/>
      <w:szCs w:val="24"/>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numbering" Target="numbering.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