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331B02" w14:textId="77777777" w:rsidR="00E04748" w:rsidRDefault="00581DF0">
      <w:pPr>
        <w:spacing w:line="360" w:lineRule="auto"/>
      </w:pPr>
      <w:r>
        <w:rPr>
          <w:b/>
          <w:bCs/>
        </w:rPr>
        <w:t>Lenuta Raducanu</w:t>
      </w:r>
    </w:p>
    <w:p w14:paraId="5DA005E6" w14:textId="6382A021" w:rsidR="00E04748" w:rsidRDefault="00581DF0">
      <w:pPr>
        <w:spacing w:line="360" w:lineRule="auto"/>
      </w:pPr>
      <w:r>
        <w:t xml:space="preserve">Module: HPRS5907 </w:t>
      </w:r>
      <w:r w:rsidR="00553240">
        <w:t>-</w:t>
      </w:r>
      <w:r>
        <w:t xml:space="preserve"> Interpreting the Hebrew Bible from a Contemporary Perspective</w:t>
      </w:r>
    </w:p>
    <w:p w14:paraId="5F0F3127" w14:textId="77777777" w:rsidR="00E04748" w:rsidRDefault="00581DF0">
      <w:pPr>
        <w:spacing w:after="320" w:line="360" w:lineRule="auto"/>
      </w:pPr>
      <w:r>
        <w:t>Assessment Two</w:t>
      </w:r>
    </w:p>
    <w:p w14:paraId="64DD94E2" w14:textId="77777777" w:rsidR="00E04748" w:rsidRDefault="00581DF0">
      <w:pPr>
        <w:spacing w:after="320"/>
        <w:jc w:val="center"/>
      </w:pPr>
      <w:r>
        <w:rPr>
          <w:b/>
          <w:bCs/>
          <w:sz w:val="28"/>
          <w:szCs w:val="28"/>
        </w:rPr>
        <w:t>How Effective Are Social-Scientific Methods for Interpreting Biblical Texts?</w:t>
      </w:r>
    </w:p>
    <w:p w14:paraId="23A59BA3" w14:textId="77777777" w:rsidR="00E04748" w:rsidRDefault="00581DF0">
      <w:pPr>
        <w:pStyle w:val="Heading1"/>
        <w:spacing w:before="320" w:after="160"/>
      </w:pPr>
      <w:r>
        <w:rPr>
          <w:b/>
          <w:bCs/>
          <w:color w:val="000000"/>
          <w:sz w:val="26"/>
          <w:szCs w:val="26"/>
        </w:rPr>
        <w:t>Introduction</w:t>
      </w:r>
    </w:p>
    <w:p w14:paraId="5F4DA4C2" w14:textId="77777777" w:rsidR="00E04748" w:rsidRDefault="00581DF0">
      <w:pPr>
        <w:spacing w:after="160" w:line="360" w:lineRule="auto"/>
        <w:jc w:val="both"/>
      </w:pPr>
      <w:r>
        <w:t>Most readers meet the Hebrew Bible first as a religious book, and second as a historical one. Social-scientific criticism asks us to look at it a third way: as the product of a living society, with its own farming year, its own family obligations, and its own ideas about status and disgrace. The method grew out of a frustration. Historical and literary criticism had explained a great deal about sources, editors and genres, but rather less about ordinary life</w:t>
      </w:r>
      <w:r w:rsidR="008F5EA7" w:rsidRPr="008F5EA7">
        <w:t>,</w:t>
      </w:r>
      <w:r>
        <w:t xml:space="preserve"> who worked the land, who owed what to whom, and how a village held together.</w:t>
      </w:r>
      <w:r>
        <w:rPr>
          <w:vertAlign w:val="superscript"/>
        </w:rPr>
        <w:t>1</w:t>
      </w:r>
      <w:r>
        <w:t xml:space="preserve"> Borrowing tools from sociology and anthropology, scholars such as Norman Gottwald, Bruce Malina and Philip Esler argued that these questions could </w:t>
      </w:r>
      <w:r w:rsidR="008F5EA7" w:rsidRPr="008F5EA7">
        <w:t>be asked more directly</w:t>
      </w:r>
      <w:r>
        <w:t>.</w:t>
      </w:r>
      <w:r>
        <w:rPr>
          <w:vertAlign w:val="superscript"/>
        </w:rPr>
        <w:t>2</w:t>
      </w:r>
      <w:r>
        <w:t xml:space="preserve"> Not everyone was convinced. If the models come from modern research on modern societies, can they safely explain a world we know only through fragments?</w:t>
      </w:r>
      <w:r>
        <w:rPr>
          <w:vertAlign w:val="superscript"/>
        </w:rPr>
        <w:t>3</w:t>
      </w:r>
    </w:p>
    <w:p w14:paraId="636BC1D8" w14:textId="77777777" w:rsidR="00E04748" w:rsidRDefault="00581DF0">
      <w:pPr>
        <w:spacing w:after="160" w:line="360" w:lineRule="auto"/>
        <w:jc w:val="both"/>
      </w:pPr>
      <w:r>
        <w:t>This essay asks how effective these methods really are for reading the Hebrew Bible. It begins with a short account of where the approach came from. It then looks closely at two examples: Gottwald's sociological account of Israel's origins, and the use of honour-and-shame models to read the family stories in Genesis. After that it sets out the main objections, and considers what happens when social-scientific work is put alongside feminist, postcolonial and ethical readings. My argument is that these method</w:t>
      </w:r>
      <w:r>
        <w:t xml:space="preserve">s do genuinely </w:t>
      </w:r>
      <w:proofErr w:type="gramStart"/>
      <w:r>
        <w:t>open up</w:t>
      </w:r>
      <w:proofErr w:type="gramEnd"/>
      <w:r>
        <w:t xml:space="preserve"> new meaning in the text, but only when the interpreter stays aware of what the evidence can bear and is willing to borrow from other approaches rather than working alone.</w:t>
      </w:r>
    </w:p>
    <w:p w14:paraId="37F87514" w14:textId="77777777" w:rsidR="00E04748" w:rsidRDefault="00581DF0">
      <w:pPr>
        <w:pStyle w:val="Heading1"/>
        <w:spacing w:before="320" w:after="160"/>
      </w:pPr>
      <w:r>
        <w:rPr>
          <w:b/>
          <w:bCs/>
          <w:color w:val="000000"/>
          <w:sz w:val="26"/>
          <w:szCs w:val="26"/>
        </w:rPr>
        <w:t>Where the Approach Came From</w:t>
      </w:r>
    </w:p>
    <w:p w14:paraId="51B05289" w14:textId="77777777" w:rsidR="00E04748" w:rsidRDefault="00581DF0">
      <w:pPr>
        <w:spacing w:after="160" w:line="360" w:lineRule="auto"/>
        <w:jc w:val="both"/>
      </w:pPr>
      <w:r>
        <w:t>The idea of reading the Bible sociologically is older than it may appear. Max Weber was writing about ancient Israel in the early twentieth century, treating prophecy as a form of charismatic authority and asking how Israelite society was layered.</w:t>
      </w:r>
      <w:r>
        <w:rPr>
          <w:vertAlign w:val="superscript"/>
        </w:rPr>
        <w:t>4</w:t>
      </w:r>
      <w:r>
        <w:t xml:space="preserve"> His work was not widely taken up at the time. The real growth came in the 1970s and 1980s, through Gottwald, who used Marxist social theory to rethink how Israel began in Canaan, and Malina, who described </w:t>
      </w:r>
      <w:r>
        <w:lastRenderedPageBreak/>
        <w:t>the ancient Mediterranean as a world organised around honour and shame. Malina wrote for New Testament studies, but Hebrew Bible scholars borrowed the model quickly.</w:t>
      </w:r>
      <w:r>
        <w:rPr>
          <w:vertAlign w:val="superscript"/>
        </w:rPr>
        <w:t>5</w:t>
      </w:r>
    </w:p>
    <w:p w14:paraId="6B7FFF7E" w14:textId="1C2D6A3B" w:rsidR="00E04748" w:rsidRDefault="00581DF0">
      <w:pPr>
        <w:spacing w:after="160" w:line="360" w:lineRule="auto"/>
        <w:jc w:val="both"/>
      </w:pPr>
      <w:r>
        <w:t xml:space="preserve">Esler draws a distinction that is worth keeping in mind. Some social-scientific work is description: gathering what is known about farming, kinship, trade and settlement, and using it to fill in the background of a text. Other work is </w:t>
      </w:r>
      <w:r w:rsidR="00553240">
        <w:t>modelling</w:t>
      </w:r>
      <w:r>
        <w:t xml:space="preserve"> taking a theory developed elsewhere and applying it deliberately to the biblical material.</w:t>
      </w:r>
      <w:r>
        <w:rPr>
          <w:vertAlign w:val="superscript"/>
        </w:rPr>
        <w:t>6</w:t>
      </w:r>
      <w:r>
        <w:t xml:space="preserve"> Description is largely uncontroversial. Modelling is where the arguments begin, because it assumes that a pattern found in one society will hold in another.</w:t>
      </w:r>
      <w:r>
        <w:rPr>
          <w:vertAlign w:val="superscript"/>
        </w:rPr>
        <w:t>7</w:t>
      </w:r>
      <w:r>
        <w:t xml:space="preserve"> David Chalcraft puts the question sharply: are ancient and modern social categories really comparable at all?</w:t>
      </w:r>
      <w:r>
        <w:rPr>
          <w:vertAlign w:val="superscript"/>
        </w:rPr>
        <w:t>8</w:t>
      </w:r>
      <w:r>
        <w:t xml:space="preserve"> Even so, the </w:t>
      </w:r>
      <w:r w:rsidR="00FB2ACF" w:rsidRPr="00FB2ACF">
        <w:t>wide range</w:t>
      </w:r>
      <w:r>
        <w:t xml:space="preserve"> of work produced since the 1990s</w:t>
      </w:r>
      <w:r w:rsidR="00FB2ACF" w:rsidRPr="00FB2ACF">
        <w:t>,</w:t>
      </w:r>
      <w:r>
        <w:t xml:space="preserve"> Victor Matthews and Don Benjamin's survey of the social world of ancient Israel is a good example</w:t>
      </w:r>
      <w:r w:rsidR="00FB2ACF" w:rsidRPr="00FB2ACF">
        <w:t>,</w:t>
      </w:r>
      <w:r>
        <w:t xml:space="preserve"> suggests that many scholars have judged the risk worth taking.</w:t>
      </w:r>
      <w:r>
        <w:rPr>
          <w:vertAlign w:val="superscript"/>
        </w:rPr>
        <w:t>9</w:t>
      </w:r>
    </w:p>
    <w:p w14:paraId="6B2E741D" w14:textId="77777777" w:rsidR="00E04748" w:rsidRDefault="00581DF0">
      <w:pPr>
        <w:pStyle w:val="Heading1"/>
        <w:spacing w:before="320" w:after="160"/>
      </w:pPr>
      <w:r>
        <w:rPr>
          <w:b/>
          <w:bCs/>
          <w:color w:val="000000"/>
          <w:sz w:val="26"/>
          <w:szCs w:val="26"/>
        </w:rPr>
        <w:t>Case Study One: Gottwald and the Beginnings of Israel</w:t>
      </w:r>
    </w:p>
    <w:p w14:paraId="756740FF" w14:textId="77777777" w:rsidR="00E04748" w:rsidRDefault="00581DF0">
      <w:pPr>
        <w:spacing w:after="160" w:line="360" w:lineRule="auto"/>
        <w:jc w:val="both"/>
      </w:pPr>
      <w:r>
        <w:t xml:space="preserve">Gottwald's </w:t>
      </w:r>
      <w:r>
        <w:rPr>
          <w:i/>
          <w:iCs/>
        </w:rPr>
        <w:t>The Tribes of Yahweh</w:t>
      </w:r>
      <w:r>
        <w:t xml:space="preserve"> (1979) remains the best-known application of the method to the Hebrew Bible, and the most argued over. Two explanations of how Israel came to be in Canaan were on offer at the time: a military conquest, or a slow and peaceful migration. Gottwald proposed a third. Israel, he argued, came from inside Canaan. Peasant communities living under the Canaanite city-states withdrew from them, shook off their obligations to the ruling elite, and reorganised themselves into a loose tribal society held together by the</w:t>
      </w:r>
      <w:r>
        <w:t xml:space="preserve"> worship of Yahweh.</w:t>
      </w:r>
      <w:r>
        <w:rPr>
          <w:vertAlign w:val="superscript"/>
        </w:rPr>
        <w:t>10</w:t>
      </w:r>
      <w:r>
        <w:t xml:space="preserve"> He called this process retribalisation, and he described the resulting society as deliberately egalitarian</w:t>
      </w:r>
      <w:r w:rsidR="00517937" w:rsidRPr="00517937">
        <w:t>,</w:t>
      </w:r>
      <w:r>
        <w:t xml:space="preserve"> a rejection of centralised power rather than an accident of circumstance.</w:t>
      </w:r>
      <w:r>
        <w:rPr>
          <w:vertAlign w:val="superscript"/>
        </w:rPr>
        <w:t>11</w:t>
      </w:r>
    </w:p>
    <w:p w14:paraId="00F9C38D" w14:textId="77777777" w:rsidR="00E04748" w:rsidRDefault="00581DF0">
      <w:pPr>
        <w:spacing w:after="160" w:line="360" w:lineRule="auto"/>
        <w:jc w:val="both"/>
      </w:pPr>
      <w:r>
        <w:t>Whatever one makes of the conclusion, the approach achieved something useful. It made the material conditions of the text visible. Reading Joshua and the opening chapters of Judges as documents about land, labour and power, rather than only about faith and conquest, raises questions a theological reading rarely reaches: who benefited from these stories, and what sort of community needed them? That is a real gain, and it came directly from the method.</w:t>
      </w:r>
    </w:p>
    <w:p w14:paraId="08CFAE66" w14:textId="77777777" w:rsidR="00E04748" w:rsidRDefault="00581DF0">
      <w:pPr>
        <w:spacing w:after="160" w:line="360" w:lineRule="auto"/>
        <w:jc w:val="both"/>
      </w:pPr>
      <w:r>
        <w:t>The criticism, however, has been heavy. Niels Peter Lemche, himself sympathetic to sociological work, argued that Gottwald had fitted the evidence to the theory rather than the other way round, and that the archaeological record does not support a peasant revolt.</w:t>
      </w:r>
      <w:r>
        <w:rPr>
          <w:vertAlign w:val="superscript"/>
        </w:rPr>
        <w:t>12</w:t>
      </w:r>
      <w:r>
        <w:t xml:space="preserve"> Mark Sneed raises a different worry. If religion is treated as a reflection of economic conditions, then Yahwism becomes a by-product rather than a cause, and the possibility that people were genuinely moved by what they believed quietly disappears from the account.</w:t>
      </w:r>
      <w:r>
        <w:rPr>
          <w:vertAlign w:val="superscript"/>
        </w:rPr>
        <w:t>13</w:t>
      </w:r>
      <w:r>
        <w:t xml:space="preserve"> Both criticisms </w:t>
      </w:r>
      <w:r>
        <w:lastRenderedPageBreak/>
        <w:t>seem to me fair. Neither shows that the method fails. They show what happens when a model is held too tightly.</w:t>
      </w:r>
    </w:p>
    <w:p w14:paraId="22623F0C" w14:textId="77777777" w:rsidR="00E04748" w:rsidRDefault="00581DF0">
      <w:pPr>
        <w:pStyle w:val="Heading1"/>
        <w:spacing w:before="320" w:after="160"/>
      </w:pPr>
      <w:r>
        <w:rPr>
          <w:b/>
          <w:bCs/>
          <w:color w:val="000000"/>
          <w:sz w:val="26"/>
          <w:szCs w:val="26"/>
        </w:rPr>
        <w:t>Case Study Two: Honour and Shame in Genesis</w:t>
      </w:r>
    </w:p>
    <w:p w14:paraId="2E1972FC" w14:textId="77777777" w:rsidR="00E04748" w:rsidRDefault="00581DF0">
      <w:pPr>
        <w:spacing w:after="160" w:line="360" w:lineRule="auto"/>
        <w:jc w:val="both"/>
      </w:pPr>
      <w:r>
        <w:t>The second example concerns honour and shame. Malina described the ancient Mediterranean as a culture in which reputation was the central social good: honour was won, defended and lost in public, and a family's standing depended on it.</w:t>
      </w:r>
      <w:r>
        <w:rPr>
          <w:vertAlign w:val="superscript"/>
        </w:rPr>
        <w:t>14</w:t>
      </w:r>
      <w:r>
        <w:t xml:space="preserve"> The model has proved especially useful for narratives about reputation, deception and relations between men and women.</w:t>
      </w:r>
    </w:p>
    <w:p w14:paraId="215CF18C" w14:textId="77777777" w:rsidR="00E04748" w:rsidRDefault="00581DF0">
      <w:pPr>
        <w:spacing w:after="160" w:line="360" w:lineRule="auto"/>
        <w:jc w:val="both"/>
      </w:pPr>
      <w:r>
        <w:t>Take the story of Tamar and Judah in Genesis 38. Read as a moral tale, Tamar's deception looks like a sexual scandal that somehow turns out well. Read through honour and shame, it becomes something else: a contest over standing. Judah has failed in his obligation to provide her with a husband from his family, and by that failure has left her without a place. Her deception is the only route back to the position she is owed. When Judah acknowledges in public that she has been more in the right than he has (Ge</w:t>
      </w:r>
      <w:r>
        <w:t>nesis 38:26), he is not simply making a moral judgement; he is conceding, in front of witnesses, that she has won her standing back. Saul Olyan's work on ritual and social distinction shows how much of the Hebrew Bible turns on this same logic of who is included and who is pushed out.</w:t>
      </w:r>
      <w:r>
        <w:rPr>
          <w:vertAlign w:val="superscript"/>
        </w:rPr>
        <w:t>15</w:t>
      </w:r>
    </w:p>
    <w:p w14:paraId="05AB4857" w14:textId="77777777" w:rsidR="00E04748" w:rsidRDefault="00581DF0">
      <w:pPr>
        <w:spacing w:after="160" w:line="360" w:lineRule="auto"/>
        <w:jc w:val="both"/>
      </w:pPr>
      <w:r>
        <w:t>The gain here is considerable. The model makes visible a social logic that modern Western readers, formed by individualism, tend not to see at all. Thomas Overholt nevertheless warns against leaning on any single anthropological model, since ancient Israel was not one society but many, changing across centuries and regions; honour and shame can flatten that variety.</w:t>
      </w:r>
      <w:r>
        <w:rPr>
          <w:vertAlign w:val="superscript"/>
        </w:rPr>
        <w:t>16</w:t>
      </w:r>
      <w:r>
        <w:t xml:space="preserve"> The model works best, then, as a lens that generates questions rather than a template that settles them in advance.</w:t>
      </w:r>
    </w:p>
    <w:p w14:paraId="1702DD7B" w14:textId="77777777" w:rsidR="00E04748" w:rsidRDefault="00581DF0">
      <w:pPr>
        <w:pStyle w:val="Heading1"/>
        <w:spacing w:before="320" w:after="160"/>
      </w:pPr>
      <w:r>
        <w:rPr>
          <w:b/>
          <w:bCs/>
          <w:color w:val="000000"/>
          <w:sz w:val="26"/>
          <w:szCs w:val="26"/>
        </w:rPr>
        <w:t>The Main Objections</w:t>
      </w:r>
    </w:p>
    <w:p w14:paraId="63F7656D" w14:textId="77777777" w:rsidR="00E04748" w:rsidRDefault="00581DF0">
      <w:pPr>
        <w:spacing w:after="160" w:line="360" w:lineRule="auto"/>
        <w:jc w:val="both"/>
      </w:pPr>
      <w:r>
        <w:t>The objections fall under three headings. The first is anachronism. Every model in use was built by modern Western social scientists studying societies they could visit and observe. Ancient Israel cannot be visited. Sneed notes the standing temptation to treat such models as universally valid rather than as tools shaped by a particular time and place.</w:t>
      </w:r>
      <w:r>
        <w:rPr>
          <w:vertAlign w:val="superscript"/>
        </w:rPr>
        <w:t>17</w:t>
      </w:r>
    </w:p>
    <w:p w14:paraId="24FAEF76" w14:textId="77777777" w:rsidR="00E04748" w:rsidRDefault="00581DF0">
      <w:pPr>
        <w:spacing w:after="160" w:line="360" w:lineRule="auto"/>
        <w:jc w:val="both"/>
      </w:pPr>
      <w:r>
        <w:t xml:space="preserve">The second is thin evidence. The society behind the text </w:t>
      </w:r>
      <w:proofErr w:type="gramStart"/>
      <w:r>
        <w:t>has to</w:t>
      </w:r>
      <w:proofErr w:type="gramEnd"/>
      <w:r>
        <w:t xml:space="preserve"> be reconstructed from a limited body of writing and archaeology, much of it ambiguous, and almost all of it produced by or about a narrow slice of the population. That places a firm ceiling on how confident any reconstruction can be.</w:t>
      </w:r>
      <w:r>
        <w:rPr>
          <w:vertAlign w:val="superscript"/>
        </w:rPr>
        <w:t>18</w:t>
      </w:r>
    </w:p>
    <w:p w14:paraId="49C15064" w14:textId="77777777" w:rsidR="00E04748" w:rsidRDefault="00581DF0">
      <w:pPr>
        <w:spacing w:after="160" w:line="360" w:lineRule="auto"/>
        <w:jc w:val="both"/>
      </w:pPr>
      <w:r>
        <w:lastRenderedPageBreak/>
        <w:t>The third, and to my mind the most serious, is reductionism. Social-scientific approaches naturally push material and social factors to the front, and theology, literary craft and beauty to the back. This concern has been raised not only by theological critics but from inside the tradition itself: Chalcraft argues that the strongest social-scientific work is the work that knows its own limits and does not claim to have explained a text whose meaning was never going to be single.</w:t>
      </w:r>
      <w:r>
        <w:rPr>
          <w:vertAlign w:val="superscript"/>
        </w:rPr>
        <w:t>19</w:t>
      </w:r>
    </w:p>
    <w:p w14:paraId="1835F3F5" w14:textId="77777777" w:rsidR="00E04748" w:rsidRDefault="00581DF0">
      <w:pPr>
        <w:spacing w:after="160" w:line="360" w:lineRule="auto"/>
        <w:jc w:val="both"/>
      </w:pPr>
      <w:r>
        <w:t>These are serious objections, but they are not fatal. Every method has limits. The sensible response is not to abandon it, but to use it carefully and in company with others.</w:t>
      </w:r>
    </w:p>
    <w:p w14:paraId="68DCB97F" w14:textId="77777777" w:rsidR="00E04748" w:rsidRDefault="00581DF0">
      <w:pPr>
        <w:pStyle w:val="Heading1"/>
        <w:spacing w:before="320" w:after="160"/>
      </w:pPr>
      <w:r>
        <w:rPr>
          <w:b/>
          <w:bCs/>
          <w:color w:val="000000"/>
          <w:sz w:val="26"/>
          <w:szCs w:val="26"/>
        </w:rPr>
        <w:t>Working Alongside Other Approaches</w:t>
      </w:r>
    </w:p>
    <w:p w14:paraId="2BACB715" w14:textId="77777777" w:rsidR="00E04748" w:rsidRDefault="00581DF0">
      <w:pPr>
        <w:spacing w:after="160" w:line="360" w:lineRule="auto"/>
        <w:jc w:val="both"/>
      </w:pPr>
      <w:r>
        <w:t>Social-scientific methods are at their most effective when they are not working alone. Gale Yee's intersectional readings show how analysis of class, gender and ethnicity can be joined to feminist interpretation, producing readings that are grounded in social conditions and attentive to the people at the margins of them.</w:t>
      </w:r>
      <w:r>
        <w:rPr>
          <w:vertAlign w:val="superscript"/>
        </w:rPr>
        <w:t>20</w:t>
      </w:r>
      <w:r>
        <w:t xml:space="preserve"> Her treatment of the 'foreign woman' in Proverbs is a good illustration: she combines class analysis with gender criticism to argue that the strange woman gives literary shape to anxieties about social and economic boundaries in Judah after the exile.</w:t>
      </w:r>
      <w:r>
        <w:rPr>
          <w:vertAlign w:val="superscript"/>
        </w:rPr>
        <w:t>21</w:t>
      </w:r>
    </w:p>
    <w:p w14:paraId="33424679" w14:textId="77777777" w:rsidR="00E04748" w:rsidRDefault="00581DF0">
      <w:pPr>
        <w:spacing w:after="160" w:line="360" w:lineRule="auto"/>
        <w:jc w:val="both"/>
      </w:pPr>
      <w:r>
        <w:t>Postcolonial critics have made similar use of the method. Fernando Segovia argues for an interpretation that attends at once to the social world of the text and to the social position of the person reading it</w:t>
      </w:r>
      <w:r w:rsidR="00887ED8" w:rsidRPr="00887ED8">
        <w:t>,</w:t>
      </w:r>
      <w:r>
        <w:t xml:space="preserve"> a natural meeting point between postcolonial and social-scientific concerns.</w:t>
      </w:r>
      <w:r>
        <w:rPr>
          <w:vertAlign w:val="superscript"/>
        </w:rPr>
        <w:t>22</w:t>
      </w:r>
      <w:r>
        <w:t xml:space="preserve"> Elisabeth Schüssler Fiorenza presses the point further: all biblical scholarship is written from somewhere, and interpreters have an ethical duty to say where. Methods that foreground the social dimension of texts are well placed to help with that task, provided they turn the same attention on themselves.</w:t>
      </w:r>
      <w:r>
        <w:rPr>
          <w:vertAlign w:val="superscript"/>
        </w:rPr>
        <w:t>23</w:t>
      </w:r>
    </w:p>
    <w:p w14:paraId="362093B5" w14:textId="77777777" w:rsidR="00E04748" w:rsidRDefault="00581DF0">
      <w:pPr>
        <w:spacing w:after="160" w:line="360" w:lineRule="auto"/>
        <w:jc w:val="both"/>
      </w:pPr>
      <w:r>
        <w:t>It is worth adding that this work need not sit awkwardly with Jewish interpretation. Jonathan Magonet observes that rabbinic tradition has long been comfortable with a text holding several meanings at once</w:t>
      </w:r>
      <w:r w:rsidR="00A5122F" w:rsidRPr="00A5122F">
        <w:t>. This</w:t>
      </w:r>
      <w:r>
        <w:t xml:space="preserve"> is not </w:t>
      </w:r>
      <w:r>
        <w:t xml:space="preserve">the </w:t>
      </w:r>
      <w:r w:rsidR="00A5122F" w:rsidRPr="00A5122F">
        <w:t xml:space="preserve">same as </w:t>
      </w:r>
      <w:r>
        <w:t xml:space="preserve">social-scientific </w:t>
      </w:r>
      <w:r w:rsidR="00A5122F" w:rsidRPr="00A5122F">
        <w:t>criticism, but it does share the sense</w:t>
      </w:r>
      <w:r>
        <w:t xml:space="preserve"> that </w:t>
      </w:r>
      <w:r w:rsidR="00A5122F" w:rsidRPr="00A5122F">
        <w:t>meaning is shaped by context</w:t>
      </w:r>
      <w:r>
        <w:t xml:space="preserve"> and </w:t>
      </w:r>
      <w:r w:rsidR="00A5122F" w:rsidRPr="00A5122F">
        <w:t>by the reader's position</w:t>
      </w:r>
      <w:r>
        <w:t>.</w:t>
      </w:r>
      <w:r>
        <w:rPr>
          <w:vertAlign w:val="superscript"/>
        </w:rPr>
        <w:t>24</w:t>
      </w:r>
      <w:r>
        <w:t xml:space="preserve"> That range of possible partners says something about the method itself: it is flexible enough to be useful to readers who disagree about almost everything else.</w:t>
      </w:r>
    </w:p>
    <w:p w14:paraId="4203B599" w14:textId="77777777" w:rsidR="00E04748" w:rsidRDefault="00581DF0">
      <w:pPr>
        <w:pStyle w:val="Heading1"/>
        <w:spacing w:before="320" w:after="160"/>
      </w:pPr>
      <w:r>
        <w:rPr>
          <w:b/>
          <w:bCs/>
          <w:color w:val="000000"/>
          <w:sz w:val="26"/>
          <w:szCs w:val="26"/>
        </w:rPr>
        <w:t>Conclusion</w:t>
      </w:r>
    </w:p>
    <w:p w14:paraId="235A8EDE" w14:textId="77777777" w:rsidR="00E04748" w:rsidRDefault="00581DF0">
      <w:pPr>
        <w:spacing w:after="160" w:line="360" w:lineRule="auto"/>
        <w:jc w:val="both"/>
      </w:pPr>
      <w:r>
        <w:lastRenderedPageBreak/>
        <w:t>Social-scientific methods are effective for interpreting biblical texts, but their effectiveness has conditions attached. Gottwald's reading of Israel's origins and the honour-and-shame reading of Genesis both show what the approach can do: bring the social, economic and cultural life behind the text into view, and generate readings that other methods would not have produced. The objections of anachronism, thin evidence and reductionism are real, and they limit how far any single reconstruction can be press</w:t>
      </w:r>
      <w:r>
        <w:t>ed.</w:t>
      </w:r>
    </w:p>
    <w:p w14:paraId="6BDEB1A0" w14:textId="77777777" w:rsidR="00E04748" w:rsidRDefault="00581DF0">
      <w:pPr>
        <w:spacing w:after="160" w:line="360" w:lineRule="auto"/>
        <w:jc w:val="both"/>
      </w:pPr>
      <w:r>
        <w:t>What emerges from both case studies is that the method works best when it is held lightly and used in conversation with others</w:t>
      </w:r>
      <w:r w:rsidR="00553240" w:rsidRPr="00553240">
        <w:t>,</w:t>
      </w:r>
      <w:r>
        <w:t xml:space="preserve"> feminist, postcolonial, ethical and Jewish readings among them. Used this way, social-scientific criticism is not a master key but one good tool among several. As Sneed puts it, its value lies in its capacity to unsettle assumptions and widen the conversation.</w:t>
      </w:r>
      <w:r>
        <w:rPr>
          <w:vertAlign w:val="superscript"/>
        </w:rPr>
        <w:t>25</w:t>
      </w:r>
      <w:r>
        <w:t xml:space="preserve"> That, rather than any promise of final answers, is the most honest measure of its success: it makes for a reading of the Hebrew Bible that is more socially aware, and more responsible about its own position, than it would otherwise have been.</w:t>
      </w:r>
    </w:p>
    <w:p w14:paraId="5EDCF844" w14:textId="77777777" w:rsidR="00E04748" w:rsidRDefault="00581DF0">
      <w:pPr>
        <w:pStyle w:val="Heading1"/>
        <w:spacing w:before="320" w:after="160"/>
      </w:pPr>
      <w:r>
        <w:rPr>
          <w:b/>
          <w:bCs/>
          <w:color w:val="000000"/>
          <w:sz w:val="26"/>
          <w:szCs w:val="26"/>
        </w:rPr>
        <w:t>Notes</w:t>
      </w:r>
    </w:p>
    <w:p w14:paraId="5E2D3725" w14:textId="77777777" w:rsidR="00E04748" w:rsidRDefault="00581DF0">
      <w:pPr>
        <w:spacing w:after="100" w:line="260" w:lineRule="auto"/>
        <w:ind w:left="360" w:hanging="360"/>
      </w:pPr>
      <w:r>
        <w:rPr>
          <w:sz w:val="22"/>
          <w:szCs w:val="22"/>
        </w:rPr>
        <w:t xml:space="preserve">1. </w:t>
      </w:r>
      <w:r>
        <w:rPr>
          <w:sz w:val="22"/>
          <w:szCs w:val="22"/>
        </w:rPr>
        <w:t xml:space="preserve">Norman K. Gottwald, </w:t>
      </w:r>
      <w:r>
        <w:rPr>
          <w:i/>
          <w:iCs/>
          <w:sz w:val="22"/>
          <w:szCs w:val="22"/>
        </w:rPr>
        <w:t>The Tribes of Yahweh: A Sociology of the Religion of Liberated Israel, 1250–1050 B.C.E.</w:t>
      </w:r>
      <w:r>
        <w:rPr>
          <w:sz w:val="22"/>
          <w:szCs w:val="22"/>
        </w:rPr>
        <w:t xml:space="preserve"> (Maryknoll, NY: Orbis Books, 1979), pp. 1–17.</w:t>
      </w:r>
    </w:p>
    <w:p w14:paraId="07A97C9B" w14:textId="77777777" w:rsidR="00E04748" w:rsidRDefault="00581DF0">
      <w:pPr>
        <w:spacing w:after="100" w:line="260" w:lineRule="auto"/>
        <w:ind w:left="360" w:hanging="360"/>
      </w:pPr>
      <w:r>
        <w:rPr>
          <w:sz w:val="22"/>
          <w:szCs w:val="22"/>
        </w:rPr>
        <w:t xml:space="preserve">2. </w:t>
      </w:r>
      <w:r>
        <w:rPr>
          <w:sz w:val="22"/>
          <w:szCs w:val="22"/>
        </w:rPr>
        <w:t xml:space="preserve">Bruce J. Malina, </w:t>
      </w:r>
      <w:r>
        <w:rPr>
          <w:i/>
          <w:iCs/>
          <w:sz w:val="22"/>
          <w:szCs w:val="22"/>
        </w:rPr>
        <w:t>The New Testament World: Insights from Cultural Anthropology</w:t>
      </w:r>
      <w:r>
        <w:rPr>
          <w:sz w:val="22"/>
          <w:szCs w:val="22"/>
        </w:rPr>
        <w:t xml:space="preserve">, 3rd </w:t>
      </w:r>
      <w:proofErr w:type="spellStart"/>
      <w:r>
        <w:rPr>
          <w:sz w:val="22"/>
          <w:szCs w:val="22"/>
        </w:rPr>
        <w:t>edn</w:t>
      </w:r>
      <w:proofErr w:type="spellEnd"/>
      <w:r>
        <w:rPr>
          <w:sz w:val="22"/>
          <w:szCs w:val="22"/>
        </w:rPr>
        <w:t xml:space="preserve"> (Louisville, KY: Westminster John Knox Press, 2001), pp. 27–57.</w:t>
      </w:r>
    </w:p>
    <w:p w14:paraId="0C1E0AF2" w14:textId="77777777" w:rsidR="00E04748" w:rsidRDefault="00581DF0">
      <w:pPr>
        <w:spacing w:after="100" w:line="260" w:lineRule="auto"/>
        <w:ind w:left="360" w:hanging="360"/>
      </w:pPr>
      <w:r>
        <w:rPr>
          <w:sz w:val="22"/>
          <w:szCs w:val="22"/>
        </w:rPr>
        <w:t xml:space="preserve">3. </w:t>
      </w:r>
      <w:r>
        <w:rPr>
          <w:sz w:val="22"/>
          <w:szCs w:val="22"/>
        </w:rPr>
        <w:t xml:space="preserve">Mark Sneed, 'Teaching &amp; Learning Guide for: Social Science Approach to the Hebrew Bible', </w:t>
      </w:r>
      <w:r>
        <w:rPr>
          <w:i/>
          <w:iCs/>
          <w:sz w:val="22"/>
          <w:szCs w:val="22"/>
        </w:rPr>
        <w:t>Religion Compass</w:t>
      </w:r>
      <w:r>
        <w:rPr>
          <w:sz w:val="22"/>
          <w:szCs w:val="22"/>
        </w:rPr>
        <w:t>, 4.2 (2010), 124–29 (p. 124).</w:t>
      </w:r>
    </w:p>
    <w:p w14:paraId="7796A813" w14:textId="77777777" w:rsidR="00E04748" w:rsidRDefault="00581DF0">
      <w:pPr>
        <w:spacing w:after="100" w:line="260" w:lineRule="auto"/>
        <w:ind w:left="360" w:hanging="360"/>
      </w:pPr>
      <w:r>
        <w:rPr>
          <w:sz w:val="22"/>
          <w:szCs w:val="22"/>
        </w:rPr>
        <w:t xml:space="preserve">4. </w:t>
      </w:r>
      <w:r>
        <w:rPr>
          <w:sz w:val="22"/>
          <w:szCs w:val="22"/>
        </w:rPr>
        <w:t xml:space="preserve">Max Weber, </w:t>
      </w:r>
      <w:r>
        <w:rPr>
          <w:i/>
          <w:iCs/>
          <w:sz w:val="22"/>
          <w:szCs w:val="22"/>
        </w:rPr>
        <w:t>Ancient Judaism</w:t>
      </w:r>
      <w:r>
        <w:rPr>
          <w:sz w:val="22"/>
          <w:szCs w:val="22"/>
        </w:rPr>
        <w:t>, trans. by Hans H. Gerth and Don Martindale (New York: Free Press, 1952), pp. 61–89.</w:t>
      </w:r>
    </w:p>
    <w:p w14:paraId="69BAC9A6" w14:textId="77777777" w:rsidR="00E04748" w:rsidRDefault="00581DF0">
      <w:pPr>
        <w:spacing w:after="100" w:line="260" w:lineRule="auto"/>
        <w:ind w:left="360" w:hanging="360"/>
      </w:pPr>
      <w:r>
        <w:rPr>
          <w:sz w:val="22"/>
          <w:szCs w:val="22"/>
        </w:rPr>
        <w:t xml:space="preserve">5. </w:t>
      </w:r>
      <w:r>
        <w:rPr>
          <w:sz w:val="22"/>
          <w:szCs w:val="22"/>
        </w:rPr>
        <w:t xml:space="preserve">Malina, </w:t>
      </w:r>
      <w:r>
        <w:rPr>
          <w:i/>
          <w:iCs/>
          <w:sz w:val="22"/>
          <w:szCs w:val="22"/>
        </w:rPr>
        <w:t>The New Testament World</w:t>
      </w:r>
      <w:r>
        <w:rPr>
          <w:sz w:val="22"/>
          <w:szCs w:val="22"/>
        </w:rPr>
        <w:t>, pp. 28–32.</w:t>
      </w:r>
    </w:p>
    <w:p w14:paraId="3DD6E31C" w14:textId="77777777" w:rsidR="00E04748" w:rsidRDefault="00581DF0">
      <w:pPr>
        <w:spacing w:after="100" w:line="260" w:lineRule="auto"/>
        <w:ind w:left="360" w:hanging="360"/>
      </w:pPr>
      <w:r>
        <w:rPr>
          <w:sz w:val="22"/>
          <w:szCs w:val="22"/>
        </w:rPr>
        <w:t xml:space="preserve">6. </w:t>
      </w:r>
      <w:r>
        <w:rPr>
          <w:sz w:val="22"/>
          <w:szCs w:val="22"/>
        </w:rPr>
        <w:t xml:space="preserve">Philip F. Esler, 'Social-Scientific Models in Biblical Interpretation', in </w:t>
      </w:r>
      <w:r>
        <w:rPr>
          <w:i/>
          <w:iCs/>
          <w:sz w:val="22"/>
          <w:szCs w:val="22"/>
        </w:rPr>
        <w:t>Ancient Israel: The Old Testament in Its Social Context</w:t>
      </w:r>
      <w:r>
        <w:rPr>
          <w:sz w:val="22"/>
          <w:szCs w:val="22"/>
        </w:rPr>
        <w:t>, ed. by Philip F. Esler (London: SCM Press, 2005), pp. 3–14 (p. 5).</w:t>
      </w:r>
    </w:p>
    <w:p w14:paraId="77D38209" w14:textId="77777777" w:rsidR="00E04748" w:rsidRDefault="00581DF0">
      <w:pPr>
        <w:spacing w:after="100" w:line="260" w:lineRule="auto"/>
        <w:ind w:left="360" w:hanging="360"/>
      </w:pPr>
      <w:r>
        <w:rPr>
          <w:sz w:val="22"/>
          <w:szCs w:val="22"/>
        </w:rPr>
        <w:t xml:space="preserve">7. </w:t>
      </w:r>
      <w:r>
        <w:rPr>
          <w:sz w:val="22"/>
          <w:szCs w:val="22"/>
        </w:rPr>
        <w:t>Esler, 'Social-Scientific Models', pp. 6–7.</w:t>
      </w:r>
    </w:p>
    <w:p w14:paraId="08307D72" w14:textId="77777777" w:rsidR="00E04748" w:rsidRDefault="00581DF0">
      <w:pPr>
        <w:spacing w:after="100" w:line="260" w:lineRule="auto"/>
        <w:ind w:left="360" w:hanging="360"/>
      </w:pPr>
      <w:r>
        <w:rPr>
          <w:sz w:val="22"/>
          <w:szCs w:val="22"/>
        </w:rPr>
        <w:t xml:space="preserve">8. </w:t>
      </w:r>
      <w:r>
        <w:rPr>
          <w:sz w:val="22"/>
          <w:szCs w:val="22"/>
        </w:rPr>
        <w:t xml:space="preserve">David J. Chalcraft, 'Bringing the Social Sciences to Biblical Studies', in </w:t>
      </w:r>
      <w:r>
        <w:rPr>
          <w:i/>
          <w:iCs/>
          <w:sz w:val="22"/>
          <w:szCs w:val="22"/>
        </w:rPr>
        <w:t>Social-Scientific Old Testament Criticism</w:t>
      </w:r>
      <w:r>
        <w:rPr>
          <w:sz w:val="22"/>
          <w:szCs w:val="22"/>
        </w:rPr>
        <w:t>, ed. by David J. Chalcraft (Sheffield: Sheffield Academic Press, 1997), pp. 15–43 (p. 21).</w:t>
      </w:r>
    </w:p>
    <w:p w14:paraId="474940BA" w14:textId="77777777" w:rsidR="00E04748" w:rsidRDefault="00581DF0">
      <w:pPr>
        <w:spacing w:after="100" w:line="260" w:lineRule="auto"/>
        <w:ind w:left="360" w:hanging="360"/>
      </w:pPr>
      <w:r>
        <w:rPr>
          <w:sz w:val="22"/>
          <w:szCs w:val="22"/>
        </w:rPr>
        <w:t xml:space="preserve">9. </w:t>
      </w:r>
      <w:r>
        <w:rPr>
          <w:sz w:val="22"/>
          <w:szCs w:val="22"/>
        </w:rPr>
        <w:t xml:space="preserve">Victor H. Matthews and Don C. Benjamin, </w:t>
      </w:r>
      <w:r>
        <w:rPr>
          <w:i/>
          <w:iCs/>
          <w:sz w:val="22"/>
          <w:szCs w:val="22"/>
        </w:rPr>
        <w:t>Social World of Ancient Israel, 1250–587 BCE</w:t>
      </w:r>
      <w:r>
        <w:rPr>
          <w:sz w:val="22"/>
          <w:szCs w:val="22"/>
        </w:rPr>
        <w:t xml:space="preserve"> (Peabody, MA: Hendrickson, 1993), pp. 1–25.</w:t>
      </w:r>
    </w:p>
    <w:p w14:paraId="6044EFE4" w14:textId="77777777" w:rsidR="00E04748" w:rsidRDefault="00581DF0">
      <w:pPr>
        <w:spacing w:after="100" w:line="260" w:lineRule="auto"/>
        <w:ind w:left="360" w:hanging="360"/>
      </w:pPr>
      <w:r>
        <w:rPr>
          <w:sz w:val="22"/>
          <w:szCs w:val="22"/>
        </w:rPr>
        <w:t xml:space="preserve">10. </w:t>
      </w:r>
      <w:r>
        <w:rPr>
          <w:sz w:val="22"/>
          <w:szCs w:val="22"/>
        </w:rPr>
        <w:t xml:space="preserve">Gottwald, </w:t>
      </w:r>
      <w:r>
        <w:rPr>
          <w:i/>
          <w:iCs/>
          <w:sz w:val="22"/>
          <w:szCs w:val="22"/>
        </w:rPr>
        <w:t>The Tribes of Yahweh</w:t>
      </w:r>
      <w:r>
        <w:rPr>
          <w:sz w:val="22"/>
          <w:szCs w:val="22"/>
        </w:rPr>
        <w:t>, pp. 489–97.</w:t>
      </w:r>
    </w:p>
    <w:p w14:paraId="4FB3F33D" w14:textId="77777777" w:rsidR="00E04748" w:rsidRDefault="00581DF0">
      <w:pPr>
        <w:spacing w:after="100" w:line="260" w:lineRule="auto"/>
        <w:ind w:left="360" w:hanging="360"/>
      </w:pPr>
      <w:r>
        <w:rPr>
          <w:sz w:val="22"/>
          <w:szCs w:val="22"/>
        </w:rPr>
        <w:t xml:space="preserve">11. </w:t>
      </w:r>
      <w:r>
        <w:rPr>
          <w:sz w:val="22"/>
          <w:szCs w:val="22"/>
        </w:rPr>
        <w:t xml:space="preserve">Gottwald, </w:t>
      </w:r>
      <w:r>
        <w:rPr>
          <w:i/>
          <w:iCs/>
          <w:sz w:val="22"/>
          <w:szCs w:val="22"/>
        </w:rPr>
        <w:t>The Tribes of Yahweh</w:t>
      </w:r>
      <w:r>
        <w:rPr>
          <w:sz w:val="22"/>
          <w:szCs w:val="22"/>
        </w:rPr>
        <w:t>, pp. 210–19.</w:t>
      </w:r>
    </w:p>
    <w:p w14:paraId="45875D33" w14:textId="77777777" w:rsidR="00E04748" w:rsidRDefault="00581DF0">
      <w:pPr>
        <w:spacing w:after="100" w:line="260" w:lineRule="auto"/>
        <w:ind w:left="360" w:hanging="360"/>
      </w:pPr>
      <w:r>
        <w:rPr>
          <w:sz w:val="22"/>
          <w:szCs w:val="22"/>
        </w:rPr>
        <w:t xml:space="preserve">12. </w:t>
      </w:r>
      <w:r>
        <w:rPr>
          <w:sz w:val="22"/>
          <w:szCs w:val="22"/>
        </w:rPr>
        <w:t xml:space="preserve">Niels Peter Lemche, </w:t>
      </w:r>
      <w:r>
        <w:rPr>
          <w:i/>
          <w:iCs/>
          <w:sz w:val="22"/>
          <w:szCs w:val="22"/>
        </w:rPr>
        <w:t>Early Israel: Anthropological and Historical Studies on the Israelite Society Before the Monarchy</w:t>
      </w:r>
      <w:r>
        <w:rPr>
          <w:sz w:val="22"/>
          <w:szCs w:val="22"/>
        </w:rPr>
        <w:t xml:space="preserve"> (Leiden: Brill, 1985), pp. 291–315.</w:t>
      </w:r>
    </w:p>
    <w:p w14:paraId="750F58E6" w14:textId="77777777" w:rsidR="00E04748" w:rsidRDefault="00581DF0">
      <w:pPr>
        <w:spacing w:after="100" w:line="260" w:lineRule="auto"/>
        <w:ind w:left="360" w:hanging="360"/>
      </w:pPr>
      <w:r>
        <w:rPr>
          <w:sz w:val="22"/>
          <w:szCs w:val="22"/>
        </w:rPr>
        <w:t xml:space="preserve">13. </w:t>
      </w:r>
      <w:r>
        <w:rPr>
          <w:sz w:val="22"/>
          <w:szCs w:val="22"/>
        </w:rPr>
        <w:t>Sneed, 'Teaching &amp; Learning Guide', pp. 125–26.</w:t>
      </w:r>
    </w:p>
    <w:p w14:paraId="68D2548E" w14:textId="77777777" w:rsidR="00E04748" w:rsidRDefault="00581DF0">
      <w:pPr>
        <w:spacing w:after="100" w:line="260" w:lineRule="auto"/>
        <w:ind w:left="360" w:hanging="360"/>
      </w:pPr>
      <w:r>
        <w:rPr>
          <w:sz w:val="22"/>
          <w:szCs w:val="22"/>
        </w:rPr>
        <w:lastRenderedPageBreak/>
        <w:t xml:space="preserve">14. </w:t>
      </w:r>
      <w:r>
        <w:rPr>
          <w:sz w:val="22"/>
          <w:szCs w:val="22"/>
        </w:rPr>
        <w:t xml:space="preserve">Malina, </w:t>
      </w:r>
      <w:r>
        <w:rPr>
          <w:i/>
          <w:iCs/>
          <w:sz w:val="22"/>
          <w:szCs w:val="22"/>
        </w:rPr>
        <w:t>The New Testament World</w:t>
      </w:r>
      <w:r>
        <w:rPr>
          <w:sz w:val="22"/>
          <w:szCs w:val="22"/>
        </w:rPr>
        <w:t>, pp. 33–40.</w:t>
      </w:r>
    </w:p>
    <w:p w14:paraId="6802C617" w14:textId="77777777" w:rsidR="00E04748" w:rsidRDefault="00581DF0">
      <w:pPr>
        <w:spacing w:after="100" w:line="260" w:lineRule="auto"/>
        <w:ind w:left="360" w:hanging="360"/>
      </w:pPr>
      <w:r>
        <w:rPr>
          <w:sz w:val="22"/>
          <w:szCs w:val="22"/>
        </w:rPr>
        <w:t xml:space="preserve">15. </w:t>
      </w:r>
      <w:r>
        <w:rPr>
          <w:sz w:val="22"/>
          <w:szCs w:val="22"/>
        </w:rPr>
        <w:t xml:space="preserve">Saul M. Olyan, </w:t>
      </w:r>
      <w:r>
        <w:rPr>
          <w:i/>
          <w:iCs/>
          <w:sz w:val="22"/>
          <w:szCs w:val="22"/>
        </w:rPr>
        <w:t>Social Inequality in the World of the Text: The Significance of Ritual and Social Distinctions in the Hebrew Bible</w:t>
      </w:r>
      <w:r>
        <w:rPr>
          <w:sz w:val="22"/>
          <w:szCs w:val="22"/>
        </w:rPr>
        <w:t xml:space="preserve"> (Göttingen: </w:t>
      </w:r>
      <w:proofErr w:type="spellStart"/>
      <w:r>
        <w:rPr>
          <w:sz w:val="22"/>
          <w:szCs w:val="22"/>
        </w:rPr>
        <w:t>Vandenhoeck</w:t>
      </w:r>
      <w:proofErr w:type="spellEnd"/>
      <w:r>
        <w:rPr>
          <w:sz w:val="22"/>
          <w:szCs w:val="22"/>
        </w:rPr>
        <w:t xml:space="preserve"> &amp; Ruprecht, 2011), pp. 13–30.</w:t>
      </w:r>
    </w:p>
    <w:p w14:paraId="4D765FE2" w14:textId="77777777" w:rsidR="00E04748" w:rsidRDefault="00581DF0">
      <w:pPr>
        <w:spacing w:after="100" w:line="260" w:lineRule="auto"/>
        <w:ind w:left="360" w:hanging="360"/>
      </w:pPr>
      <w:r>
        <w:rPr>
          <w:sz w:val="22"/>
          <w:szCs w:val="22"/>
        </w:rPr>
        <w:t xml:space="preserve">16. </w:t>
      </w:r>
      <w:r>
        <w:rPr>
          <w:sz w:val="22"/>
          <w:szCs w:val="22"/>
        </w:rPr>
        <w:t xml:space="preserve">Thomas W. Overholt, </w:t>
      </w:r>
      <w:r>
        <w:rPr>
          <w:i/>
          <w:iCs/>
          <w:sz w:val="22"/>
          <w:szCs w:val="22"/>
        </w:rPr>
        <w:t>Cultural Anthropology and the Old Testament</w:t>
      </w:r>
      <w:r>
        <w:rPr>
          <w:sz w:val="22"/>
          <w:szCs w:val="22"/>
        </w:rPr>
        <w:t xml:space="preserve"> (Minneapolis: Fortress Press, 1996), pp. 3–18.</w:t>
      </w:r>
    </w:p>
    <w:p w14:paraId="514940C9" w14:textId="77777777" w:rsidR="00E04748" w:rsidRDefault="00581DF0">
      <w:pPr>
        <w:spacing w:after="100" w:line="260" w:lineRule="auto"/>
        <w:ind w:left="360" w:hanging="360"/>
      </w:pPr>
      <w:r>
        <w:rPr>
          <w:sz w:val="22"/>
          <w:szCs w:val="22"/>
        </w:rPr>
        <w:t xml:space="preserve">17. </w:t>
      </w:r>
      <w:r>
        <w:rPr>
          <w:sz w:val="22"/>
          <w:szCs w:val="22"/>
        </w:rPr>
        <w:t>Sneed, 'Teaching &amp; Learning Guide', p. 126.</w:t>
      </w:r>
    </w:p>
    <w:p w14:paraId="02473724" w14:textId="77777777" w:rsidR="00E04748" w:rsidRDefault="00581DF0">
      <w:pPr>
        <w:spacing w:after="100" w:line="260" w:lineRule="auto"/>
        <w:ind w:left="360" w:hanging="360"/>
      </w:pPr>
      <w:r>
        <w:rPr>
          <w:sz w:val="22"/>
          <w:szCs w:val="22"/>
        </w:rPr>
        <w:t xml:space="preserve">18. </w:t>
      </w:r>
      <w:r>
        <w:rPr>
          <w:sz w:val="22"/>
          <w:szCs w:val="22"/>
        </w:rPr>
        <w:t>Esler, 'Social-Scientific Models', pp. 8–10.</w:t>
      </w:r>
    </w:p>
    <w:p w14:paraId="011B0493" w14:textId="77777777" w:rsidR="00E04748" w:rsidRDefault="00581DF0">
      <w:pPr>
        <w:spacing w:after="100" w:line="260" w:lineRule="auto"/>
        <w:ind w:left="360" w:hanging="360"/>
      </w:pPr>
      <w:r>
        <w:rPr>
          <w:sz w:val="22"/>
          <w:szCs w:val="22"/>
        </w:rPr>
        <w:t xml:space="preserve">19. </w:t>
      </w:r>
      <w:r>
        <w:rPr>
          <w:sz w:val="22"/>
          <w:szCs w:val="22"/>
        </w:rPr>
        <w:t>Chalcraft, 'Bringing the Social Sciences', pp. 35–38.</w:t>
      </w:r>
    </w:p>
    <w:p w14:paraId="048B1A21" w14:textId="77777777" w:rsidR="00E04748" w:rsidRDefault="00581DF0">
      <w:pPr>
        <w:spacing w:after="100" w:line="260" w:lineRule="auto"/>
        <w:ind w:left="360" w:hanging="360"/>
      </w:pPr>
      <w:r>
        <w:rPr>
          <w:sz w:val="22"/>
          <w:szCs w:val="22"/>
        </w:rPr>
        <w:t xml:space="preserve">20. </w:t>
      </w:r>
      <w:r>
        <w:rPr>
          <w:sz w:val="22"/>
          <w:szCs w:val="22"/>
        </w:rPr>
        <w:t xml:space="preserve">Gale A. Yee, </w:t>
      </w:r>
      <w:r>
        <w:rPr>
          <w:i/>
          <w:iCs/>
          <w:sz w:val="22"/>
          <w:szCs w:val="22"/>
        </w:rPr>
        <w:t>The Hebrew Bible: Feminist and Intersectional Perspectives</w:t>
      </w:r>
      <w:r>
        <w:rPr>
          <w:sz w:val="22"/>
          <w:szCs w:val="22"/>
        </w:rPr>
        <w:t xml:space="preserve"> (Minneapolis: Fortress Press, 2018), pp. 71–98.</w:t>
      </w:r>
    </w:p>
    <w:p w14:paraId="67761A3A" w14:textId="77777777" w:rsidR="00E04748" w:rsidRDefault="00581DF0">
      <w:pPr>
        <w:spacing w:after="100" w:line="260" w:lineRule="auto"/>
        <w:ind w:left="360" w:hanging="360"/>
      </w:pPr>
      <w:r>
        <w:rPr>
          <w:sz w:val="22"/>
          <w:szCs w:val="22"/>
        </w:rPr>
        <w:t xml:space="preserve">21. </w:t>
      </w:r>
      <w:r>
        <w:rPr>
          <w:sz w:val="22"/>
          <w:szCs w:val="22"/>
        </w:rPr>
        <w:t xml:space="preserve">Yee, </w:t>
      </w:r>
      <w:r>
        <w:rPr>
          <w:i/>
          <w:iCs/>
          <w:sz w:val="22"/>
          <w:szCs w:val="22"/>
        </w:rPr>
        <w:t>Feminist and Intersectional Perspectives</w:t>
      </w:r>
      <w:r>
        <w:rPr>
          <w:sz w:val="22"/>
          <w:szCs w:val="22"/>
        </w:rPr>
        <w:t>, pp. 102–15.</w:t>
      </w:r>
    </w:p>
    <w:p w14:paraId="38D923A1" w14:textId="77777777" w:rsidR="00E04748" w:rsidRDefault="00581DF0">
      <w:pPr>
        <w:spacing w:after="100" w:line="260" w:lineRule="auto"/>
        <w:ind w:left="360" w:hanging="360"/>
      </w:pPr>
      <w:r>
        <w:rPr>
          <w:sz w:val="22"/>
          <w:szCs w:val="22"/>
        </w:rPr>
        <w:t xml:space="preserve">22. </w:t>
      </w:r>
      <w:r>
        <w:rPr>
          <w:sz w:val="22"/>
          <w:szCs w:val="22"/>
        </w:rPr>
        <w:t xml:space="preserve">Fernando F. Segovia, 'Biblical Studies and Postcolonial Studies', in </w:t>
      </w:r>
      <w:r>
        <w:rPr>
          <w:i/>
          <w:iCs/>
          <w:sz w:val="22"/>
          <w:szCs w:val="22"/>
        </w:rPr>
        <w:t>The Postcolonial Biblical Reader</w:t>
      </w:r>
      <w:r>
        <w:rPr>
          <w:sz w:val="22"/>
          <w:szCs w:val="22"/>
        </w:rPr>
        <w:t>, ed. by R. S. Sugirtharajah (Oxford: Blackwell, 2006), pp. 33–44 (pp. 37–38).</w:t>
      </w:r>
    </w:p>
    <w:p w14:paraId="7D38AD81" w14:textId="77777777" w:rsidR="00E04748" w:rsidRDefault="00581DF0">
      <w:pPr>
        <w:spacing w:after="100" w:line="260" w:lineRule="auto"/>
        <w:ind w:left="360" w:hanging="360"/>
      </w:pPr>
      <w:r>
        <w:rPr>
          <w:sz w:val="22"/>
          <w:szCs w:val="22"/>
        </w:rPr>
        <w:t xml:space="preserve">23. </w:t>
      </w:r>
      <w:r>
        <w:rPr>
          <w:sz w:val="22"/>
          <w:szCs w:val="22"/>
        </w:rPr>
        <w:t xml:space="preserve">Elisabeth Schüssler Fiorenza, 'The Ethics of Biblical Interpretation: </w:t>
      </w:r>
      <w:proofErr w:type="spellStart"/>
      <w:r>
        <w:rPr>
          <w:sz w:val="22"/>
          <w:szCs w:val="22"/>
        </w:rPr>
        <w:t>Decentering</w:t>
      </w:r>
      <w:proofErr w:type="spellEnd"/>
      <w:r>
        <w:rPr>
          <w:sz w:val="22"/>
          <w:szCs w:val="22"/>
        </w:rPr>
        <w:t xml:space="preserve"> Biblical Scholarship', </w:t>
      </w:r>
      <w:r>
        <w:rPr>
          <w:i/>
          <w:iCs/>
          <w:sz w:val="22"/>
          <w:szCs w:val="22"/>
        </w:rPr>
        <w:t>Journal of Biblical Literature</w:t>
      </w:r>
      <w:r>
        <w:rPr>
          <w:sz w:val="22"/>
          <w:szCs w:val="22"/>
        </w:rPr>
        <w:t>, 107.1 (1988), 3–17 (pp. 9–11).</w:t>
      </w:r>
    </w:p>
    <w:p w14:paraId="02651BCA" w14:textId="77777777" w:rsidR="00E04748" w:rsidRDefault="00581DF0">
      <w:pPr>
        <w:spacing w:after="100" w:line="260" w:lineRule="auto"/>
        <w:ind w:left="360" w:hanging="360"/>
      </w:pPr>
      <w:r>
        <w:rPr>
          <w:sz w:val="22"/>
          <w:szCs w:val="22"/>
        </w:rPr>
        <w:t xml:space="preserve">24. </w:t>
      </w:r>
      <w:r>
        <w:rPr>
          <w:sz w:val="22"/>
          <w:szCs w:val="22"/>
        </w:rPr>
        <w:t xml:space="preserve">Jonathan Magonet, 'Jewish Interpretation of the Bible', in </w:t>
      </w:r>
      <w:r>
        <w:rPr>
          <w:i/>
          <w:iCs/>
          <w:sz w:val="22"/>
          <w:szCs w:val="22"/>
        </w:rPr>
        <w:t>The Oxford Handbook of Biblical Studies</w:t>
      </w:r>
      <w:r>
        <w:rPr>
          <w:sz w:val="22"/>
          <w:szCs w:val="22"/>
        </w:rPr>
        <w:t>, ed. by J. W. Rogerson and Judith M. Lieu (Oxford: Oxford University Press, 2006), pp. 754–74 (p. 756).</w:t>
      </w:r>
    </w:p>
    <w:p w14:paraId="7BE7B37A" w14:textId="77777777" w:rsidR="00E04748" w:rsidRDefault="00581DF0">
      <w:pPr>
        <w:spacing w:after="100" w:line="260" w:lineRule="auto"/>
        <w:ind w:left="360" w:hanging="360"/>
      </w:pPr>
      <w:r>
        <w:rPr>
          <w:sz w:val="22"/>
          <w:szCs w:val="22"/>
        </w:rPr>
        <w:t xml:space="preserve">25. </w:t>
      </w:r>
      <w:r>
        <w:rPr>
          <w:sz w:val="22"/>
          <w:szCs w:val="22"/>
        </w:rPr>
        <w:t>Sneed, 'Teaching &amp; Learning Guide', pp. 127–28.</w:t>
      </w:r>
    </w:p>
    <w:p w14:paraId="02DD37C7" w14:textId="77777777" w:rsidR="00E04748" w:rsidRDefault="00581DF0">
      <w:pPr>
        <w:pStyle w:val="Heading1"/>
        <w:spacing w:before="320" w:after="160"/>
      </w:pPr>
      <w:r>
        <w:rPr>
          <w:b/>
          <w:bCs/>
          <w:color w:val="000000"/>
          <w:sz w:val="26"/>
          <w:szCs w:val="26"/>
        </w:rPr>
        <w:t>Bibliography</w:t>
      </w:r>
    </w:p>
    <w:p w14:paraId="7BB1796C" w14:textId="77777777" w:rsidR="00E04748" w:rsidRDefault="00581DF0">
      <w:pPr>
        <w:spacing w:after="120" w:line="260" w:lineRule="auto"/>
        <w:ind w:left="720" w:hanging="720"/>
      </w:pPr>
      <w:r>
        <w:rPr>
          <w:sz w:val="22"/>
          <w:szCs w:val="22"/>
        </w:rPr>
        <w:t xml:space="preserve">Chalcraft, David J., 'Bringing the Social Sciences to Biblical Studies', in </w:t>
      </w:r>
      <w:r>
        <w:rPr>
          <w:i/>
          <w:iCs/>
          <w:sz w:val="22"/>
          <w:szCs w:val="22"/>
        </w:rPr>
        <w:t>Social-Scientific Old Testament Criticism</w:t>
      </w:r>
      <w:r>
        <w:rPr>
          <w:sz w:val="22"/>
          <w:szCs w:val="22"/>
        </w:rPr>
        <w:t>, ed. by David J. Chalcraft (Sheffield: Sheffield Academic Press, 1997), pp. 15–43</w:t>
      </w:r>
    </w:p>
    <w:p w14:paraId="628C23EA" w14:textId="77777777" w:rsidR="00E04748" w:rsidRDefault="00581DF0">
      <w:pPr>
        <w:spacing w:after="120" w:line="260" w:lineRule="auto"/>
        <w:ind w:left="720" w:hanging="720"/>
      </w:pPr>
      <w:r>
        <w:rPr>
          <w:sz w:val="22"/>
          <w:szCs w:val="22"/>
        </w:rPr>
        <w:t xml:space="preserve">Esler, Philip F., 'Social-Scientific Models in Biblical Interpretation', in </w:t>
      </w:r>
      <w:r>
        <w:rPr>
          <w:i/>
          <w:iCs/>
          <w:sz w:val="22"/>
          <w:szCs w:val="22"/>
        </w:rPr>
        <w:t>Ancient Israel: The Old Testament in Its Social Context</w:t>
      </w:r>
      <w:r>
        <w:rPr>
          <w:sz w:val="22"/>
          <w:szCs w:val="22"/>
        </w:rPr>
        <w:t>, ed. by Philip F. Esler (London: SCM Press, 2005), pp. 3–14</w:t>
      </w:r>
    </w:p>
    <w:p w14:paraId="354AA658" w14:textId="77777777" w:rsidR="00E04748" w:rsidRDefault="00581DF0">
      <w:pPr>
        <w:spacing w:after="120" w:line="260" w:lineRule="auto"/>
        <w:ind w:left="720" w:hanging="720"/>
      </w:pPr>
      <w:r>
        <w:rPr>
          <w:sz w:val="22"/>
          <w:szCs w:val="22"/>
        </w:rPr>
        <w:t xml:space="preserve">Fiorenza, Elisabeth Schüssler, 'The Ethics of Biblical Interpretation: </w:t>
      </w:r>
      <w:proofErr w:type="spellStart"/>
      <w:r>
        <w:rPr>
          <w:sz w:val="22"/>
          <w:szCs w:val="22"/>
        </w:rPr>
        <w:t>Decentering</w:t>
      </w:r>
      <w:proofErr w:type="spellEnd"/>
      <w:r>
        <w:rPr>
          <w:sz w:val="22"/>
          <w:szCs w:val="22"/>
        </w:rPr>
        <w:t xml:space="preserve"> Biblical Scholarship', </w:t>
      </w:r>
      <w:r>
        <w:rPr>
          <w:i/>
          <w:iCs/>
          <w:sz w:val="22"/>
          <w:szCs w:val="22"/>
        </w:rPr>
        <w:t>Journal of Biblical Literature</w:t>
      </w:r>
      <w:r>
        <w:rPr>
          <w:sz w:val="22"/>
          <w:szCs w:val="22"/>
        </w:rPr>
        <w:t>, 107.1 (1988), 3–17</w:t>
      </w:r>
    </w:p>
    <w:p w14:paraId="0BDC4BBF" w14:textId="77777777" w:rsidR="00E04748" w:rsidRDefault="00581DF0">
      <w:pPr>
        <w:spacing w:after="120" w:line="260" w:lineRule="auto"/>
        <w:ind w:left="720" w:hanging="720"/>
      </w:pPr>
      <w:r>
        <w:rPr>
          <w:sz w:val="22"/>
          <w:szCs w:val="22"/>
        </w:rPr>
        <w:t xml:space="preserve">Gottwald, Norman K., </w:t>
      </w:r>
      <w:r>
        <w:rPr>
          <w:i/>
          <w:iCs/>
          <w:sz w:val="22"/>
          <w:szCs w:val="22"/>
        </w:rPr>
        <w:t>The Tribes of Yahweh: A Sociology of the Religion of Liberated Israel, 1250–1050 B.C.E.</w:t>
      </w:r>
      <w:r>
        <w:rPr>
          <w:sz w:val="22"/>
          <w:szCs w:val="22"/>
        </w:rPr>
        <w:t xml:space="preserve"> (Maryknoll, NY: Orbis Books, 1979)</w:t>
      </w:r>
    </w:p>
    <w:p w14:paraId="1D52A6B2" w14:textId="77777777" w:rsidR="00E04748" w:rsidRDefault="00581DF0">
      <w:pPr>
        <w:spacing w:after="120" w:line="260" w:lineRule="auto"/>
        <w:ind w:left="720" w:hanging="720"/>
      </w:pPr>
      <w:r>
        <w:rPr>
          <w:sz w:val="22"/>
          <w:szCs w:val="22"/>
        </w:rPr>
        <w:t xml:space="preserve">Lemche, Niels Peter, </w:t>
      </w:r>
      <w:r>
        <w:rPr>
          <w:i/>
          <w:iCs/>
          <w:sz w:val="22"/>
          <w:szCs w:val="22"/>
        </w:rPr>
        <w:t>Early Israel: Anthropological and Historical Studies on the Israelite Society Before the Monarchy</w:t>
      </w:r>
      <w:r>
        <w:rPr>
          <w:sz w:val="22"/>
          <w:szCs w:val="22"/>
        </w:rPr>
        <w:t xml:space="preserve"> (Leiden: Brill, 1985)</w:t>
      </w:r>
    </w:p>
    <w:p w14:paraId="06D1B902" w14:textId="77777777" w:rsidR="00E04748" w:rsidRDefault="00581DF0">
      <w:pPr>
        <w:spacing w:after="120" w:line="260" w:lineRule="auto"/>
        <w:ind w:left="720" w:hanging="720"/>
      </w:pPr>
      <w:proofErr w:type="spellStart"/>
      <w:r>
        <w:rPr>
          <w:sz w:val="22"/>
          <w:szCs w:val="22"/>
        </w:rPr>
        <w:t>Magonet</w:t>
      </w:r>
      <w:proofErr w:type="spellEnd"/>
      <w:r>
        <w:rPr>
          <w:sz w:val="22"/>
          <w:szCs w:val="22"/>
        </w:rPr>
        <w:t xml:space="preserve">, Jonathan, 'Jewish Interpretation of the Bible', in </w:t>
      </w:r>
      <w:r>
        <w:rPr>
          <w:i/>
          <w:iCs/>
          <w:sz w:val="22"/>
          <w:szCs w:val="22"/>
        </w:rPr>
        <w:t>The Oxford Handbook of Biblical Studies</w:t>
      </w:r>
      <w:r>
        <w:rPr>
          <w:sz w:val="22"/>
          <w:szCs w:val="22"/>
        </w:rPr>
        <w:t>, ed. by J. W. Rogerson and Judith M. Lieu (Oxford: Oxford University Press, 2006), pp. 754–74</w:t>
      </w:r>
    </w:p>
    <w:p w14:paraId="36B33A00" w14:textId="77777777" w:rsidR="00E04748" w:rsidRDefault="00581DF0">
      <w:pPr>
        <w:spacing w:after="120" w:line="260" w:lineRule="auto"/>
        <w:ind w:left="720" w:hanging="720"/>
      </w:pPr>
      <w:r>
        <w:rPr>
          <w:sz w:val="22"/>
          <w:szCs w:val="22"/>
        </w:rPr>
        <w:t xml:space="preserve">Malina, Bruce J., </w:t>
      </w:r>
      <w:r>
        <w:rPr>
          <w:i/>
          <w:iCs/>
          <w:sz w:val="22"/>
          <w:szCs w:val="22"/>
        </w:rPr>
        <w:t>The New Testament World: Insights from Cultural Anthropology</w:t>
      </w:r>
      <w:r>
        <w:rPr>
          <w:sz w:val="22"/>
          <w:szCs w:val="22"/>
        </w:rPr>
        <w:t xml:space="preserve">, 3rd </w:t>
      </w:r>
      <w:proofErr w:type="spellStart"/>
      <w:r>
        <w:rPr>
          <w:sz w:val="22"/>
          <w:szCs w:val="22"/>
        </w:rPr>
        <w:t>edn</w:t>
      </w:r>
      <w:proofErr w:type="spellEnd"/>
      <w:r>
        <w:rPr>
          <w:sz w:val="22"/>
          <w:szCs w:val="22"/>
        </w:rPr>
        <w:t xml:space="preserve"> (Louisville, KY: Westminster John Knox Press, 2001)</w:t>
      </w:r>
    </w:p>
    <w:p w14:paraId="14C4D54A" w14:textId="77777777" w:rsidR="00E04748" w:rsidRDefault="00581DF0">
      <w:pPr>
        <w:spacing w:after="120" w:line="260" w:lineRule="auto"/>
        <w:ind w:left="720" w:hanging="720"/>
      </w:pPr>
      <w:r>
        <w:rPr>
          <w:sz w:val="22"/>
          <w:szCs w:val="22"/>
        </w:rPr>
        <w:t xml:space="preserve">Matthews, Victor H., and Don C. Benjamin, </w:t>
      </w:r>
      <w:r>
        <w:rPr>
          <w:i/>
          <w:iCs/>
          <w:sz w:val="22"/>
          <w:szCs w:val="22"/>
        </w:rPr>
        <w:t>Social World of Ancient Israel, 1250–587 BCE</w:t>
      </w:r>
      <w:r>
        <w:rPr>
          <w:sz w:val="22"/>
          <w:szCs w:val="22"/>
        </w:rPr>
        <w:t xml:space="preserve"> (Peabody, MA: Hendrickson, 1993)</w:t>
      </w:r>
    </w:p>
    <w:p w14:paraId="5E372FB4" w14:textId="77777777" w:rsidR="00E04748" w:rsidRDefault="00581DF0">
      <w:pPr>
        <w:spacing w:after="120" w:line="260" w:lineRule="auto"/>
        <w:ind w:left="720" w:hanging="720"/>
      </w:pPr>
      <w:r>
        <w:rPr>
          <w:sz w:val="22"/>
          <w:szCs w:val="22"/>
        </w:rPr>
        <w:t xml:space="preserve">Olyan, Saul M., </w:t>
      </w:r>
      <w:r>
        <w:rPr>
          <w:i/>
          <w:iCs/>
          <w:sz w:val="22"/>
          <w:szCs w:val="22"/>
        </w:rPr>
        <w:t>Social Inequality in the World of the Text: The Significance of Ritual and Social Distinctions in the Hebrew Bible</w:t>
      </w:r>
      <w:r>
        <w:rPr>
          <w:sz w:val="22"/>
          <w:szCs w:val="22"/>
        </w:rPr>
        <w:t xml:space="preserve"> (Göttingen: </w:t>
      </w:r>
      <w:proofErr w:type="spellStart"/>
      <w:r>
        <w:rPr>
          <w:sz w:val="22"/>
          <w:szCs w:val="22"/>
        </w:rPr>
        <w:t>Vandenhoeck</w:t>
      </w:r>
      <w:proofErr w:type="spellEnd"/>
      <w:r>
        <w:rPr>
          <w:sz w:val="22"/>
          <w:szCs w:val="22"/>
        </w:rPr>
        <w:t xml:space="preserve"> &amp; Ruprecht, 2011)</w:t>
      </w:r>
    </w:p>
    <w:p w14:paraId="062DF299" w14:textId="77777777" w:rsidR="00E04748" w:rsidRDefault="00581DF0">
      <w:pPr>
        <w:spacing w:after="120" w:line="260" w:lineRule="auto"/>
        <w:ind w:left="720" w:hanging="720"/>
      </w:pPr>
      <w:r>
        <w:rPr>
          <w:sz w:val="22"/>
          <w:szCs w:val="22"/>
        </w:rPr>
        <w:lastRenderedPageBreak/>
        <w:t xml:space="preserve">Overholt, Thomas W., </w:t>
      </w:r>
      <w:r>
        <w:rPr>
          <w:i/>
          <w:iCs/>
          <w:sz w:val="22"/>
          <w:szCs w:val="22"/>
        </w:rPr>
        <w:t>Cultural Anthropology and the Old Testament</w:t>
      </w:r>
      <w:r>
        <w:rPr>
          <w:sz w:val="22"/>
          <w:szCs w:val="22"/>
        </w:rPr>
        <w:t xml:space="preserve"> (Minneapolis: Fortress Press, 1996)</w:t>
      </w:r>
    </w:p>
    <w:p w14:paraId="2BC081C5" w14:textId="77777777" w:rsidR="00E04748" w:rsidRDefault="00581DF0">
      <w:pPr>
        <w:spacing w:after="120" w:line="260" w:lineRule="auto"/>
        <w:ind w:left="720" w:hanging="720"/>
      </w:pPr>
      <w:r>
        <w:rPr>
          <w:sz w:val="22"/>
          <w:szCs w:val="22"/>
        </w:rPr>
        <w:t xml:space="preserve">Segovia, Fernando F., 'Biblical Studies and Postcolonial Studies', in </w:t>
      </w:r>
      <w:r>
        <w:rPr>
          <w:i/>
          <w:iCs/>
          <w:sz w:val="22"/>
          <w:szCs w:val="22"/>
        </w:rPr>
        <w:t>The Postcolonial Biblical Reader</w:t>
      </w:r>
      <w:r>
        <w:rPr>
          <w:sz w:val="22"/>
          <w:szCs w:val="22"/>
        </w:rPr>
        <w:t>, ed. by R. S. Sugirtharajah (Oxford: Blackwell, 2006), pp. 33–44</w:t>
      </w:r>
    </w:p>
    <w:p w14:paraId="133F2029" w14:textId="77777777" w:rsidR="00E04748" w:rsidRDefault="00581DF0">
      <w:pPr>
        <w:spacing w:after="120" w:line="260" w:lineRule="auto"/>
        <w:ind w:left="720" w:hanging="720"/>
      </w:pPr>
      <w:r>
        <w:rPr>
          <w:sz w:val="22"/>
          <w:szCs w:val="22"/>
        </w:rPr>
        <w:t xml:space="preserve">Sneed, Mark, 'Teaching &amp; Learning Guide for: Social Science Approach to the Hebrew Bible', </w:t>
      </w:r>
      <w:r>
        <w:rPr>
          <w:i/>
          <w:iCs/>
          <w:sz w:val="22"/>
          <w:szCs w:val="22"/>
        </w:rPr>
        <w:t>Religion Compass</w:t>
      </w:r>
      <w:r>
        <w:rPr>
          <w:sz w:val="22"/>
          <w:szCs w:val="22"/>
        </w:rPr>
        <w:t>, 4.2 (2010), 124–29</w:t>
      </w:r>
    </w:p>
    <w:p w14:paraId="77C18435" w14:textId="77777777" w:rsidR="00E04748" w:rsidRDefault="00581DF0">
      <w:pPr>
        <w:spacing w:after="120" w:line="260" w:lineRule="auto"/>
        <w:ind w:left="720" w:hanging="720"/>
      </w:pPr>
      <w:r>
        <w:rPr>
          <w:sz w:val="22"/>
          <w:szCs w:val="22"/>
        </w:rPr>
        <w:t xml:space="preserve">Weber, Max, </w:t>
      </w:r>
      <w:r>
        <w:rPr>
          <w:i/>
          <w:iCs/>
          <w:sz w:val="22"/>
          <w:szCs w:val="22"/>
        </w:rPr>
        <w:t>Ancient Judaism</w:t>
      </w:r>
      <w:r>
        <w:rPr>
          <w:sz w:val="22"/>
          <w:szCs w:val="22"/>
        </w:rPr>
        <w:t>, trans. by Hans H. Gerth and Don Martindale (New York: Free Press, 1952)</w:t>
      </w:r>
    </w:p>
    <w:p w14:paraId="55F9D1C0" w14:textId="77777777" w:rsidR="00E04748" w:rsidRDefault="00581DF0">
      <w:pPr>
        <w:spacing w:after="120" w:line="260" w:lineRule="auto"/>
        <w:ind w:left="720" w:hanging="720"/>
      </w:pPr>
      <w:r>
        <w:rPr>
          <w:sz w:val="22"/>
          <w:szCs w:val="22"/>
        </w:rPr>
        <w:t xml:space="preserve">Yee, Gale A., </w:t>
      </w:r>
      <w:r>
        <w:rPr>
          <w:i/>
          <w:iCs/>
          <w:sz w:val="22"/>
          <w:szCs w:val="22"/>
        </w:rPr>
        <w:t>The Hebrew Bible: Feminist and Intersectional Perspectives</w:t>
      </w:r>
      <w:r>
        <w:rPr>
          <w:sz w:val="22"/>
          <w:szCs w:val="22"/>
        </w:rPr>
        <w:t xml:space="preserve"> (Minneapolis: Fortress Press, 2018)</w:t>
      </w:r>
    </w:p>
    <w:sectPr w:rsidR="00E0474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2A49A" w14:textId="77777777" w:rsidR="00581DF0" w:rsidRDefault="00581DF0" w:rsidP="0089155E">
      <w:r>
        <w:separator/>
      </w:r>
    </w:p>
  </w:endnote>
  <w:endnote w:type="continuationSeparator" w:id="0">
    <w:p w14:paraId="6CF48B40" w14:textId="77777777" w:rsidR="00581DF0" w:rsidRDefault="00581DF0" w:rsidP="00891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ED2240" w14:textId="77777777" w:rsidR="00581DF0" w:rsidRDefault="00581DF0" w:rsidP="0089155E">
      <w:r>
        <w:separator/>
      </w:r>
    </w:p>
  </w:footnote>
  <w:footnote w:type="continuationSeparator" w:id="0">
    <w:p w14:paraId="1FB132BC" w14:textId="77777777" w:rsidR="00581DF0" w:rsidRDefault="00581DF0" w:rsidP="008915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1111F"/>
    <w:multiLevelType w:val="hybridMultilevel"/>
    <w:tmpl w:val="8946E92E"/>
    <w:lvl w:ilvl="0" w:tplc="1A4634FC">
      <w:start w:val="1"/>
      <w:numFmt w:val="bullet"/>
      <w:lvlText w:val="●"/>
      <w:lvlJc w:val="left"/>
      <w:pPr>
        <w:ind w:left="720" w:hanging="360"/>
      </w:pPr>
    </w:lvl>
    <w:lvl w:ilvl="1" w:tplc="F7C2772A">
      <w:start w:val="1"/>
      <w:numFmt w:val="bullet"/>
      <w:lvlText w:val="○"/>
      <w:lvlJc w:val="left"/>
      <w:pPr>
        <w:ind w:left="1440" w:hanging="360"/>
      </w:pPr>
    </w:lvl>
    <w:lvl w:ilvl="2" w:tplc="FE6E59F6">
      <w:start w:val="1"/>
      <w:numFmt w:val="bullet"/>
      <w:lvlText w:val="■"/>
      <w:lvlJc w:val="left"/>
      <w:pPr>
        <w:ind w:left="2160" w:hanging="360"/>
      </w:pPr>
    </w:lvl>
    <w:lvl w:ilvl="3" w:tplc="888CD7C6">
      <w:start w:val="1"/>
      <w:numFmt w:val="bullet"/>
      <w:lvlText w:val="●"/>
      <w:lvlJc w:val="left"/>
      <w:pPr>
        <w:ind w:left="2880" w:hanging="360"/>
      </w:pPr>
    </w:lvl>
    <w:lvl w:ilvl="4" w:tplc="8448296C">
      <w:start w:val="1"/>
      <w:numFmt w:val="bullet"/>
      <w:lvlText w:val="○"/>
      <w:lvlJc w:val="left"/>
      <w:pPr>
        <w:ind w:left="3600" w:hanging="360"/>
      </w:pPr>
    </w:lvl>
    <w:lvl w:ilvl="5" w:tplc="5C767BB2">
      <w:start w:val="1"/>
      <w:numFmt w:val="bullet"/>
      <w:lvlText w:val="■"/>
      <w:lvlJc w:val="left"/>
      <w:pPr>
        <w:ind w:left="4320" w:hanging="360"/>
      </w:pPr>
    </w:lvl>
    <w:lvl w:ilvl="6" w:tplc="C8CE28D2">
      <w:start w:val="1"/>
      <w:numFmt w:val="bullet"/>
      <w:lvlText w:val="●"/>
      <w:lvlJc w:val="left"/>
      <w:pPr>
        <w:ind w:left="5040" w:hanging="360"/>
      </w:pPr>
    </w:lvl>
    <w:lvl w:ilvl="7" w:tplc="6A1871D6">
      <w:start w:val="1"/>
      <w:numFmt w:val="bullet"/>
      <w:lvlText w:val="●"/>
      <w:lvlJc w:val="left"/>
      <w:pPr>
        <w:ind w:left="5760" w:hanging="360"/>
      </w:pPr>
    </w:lvl>
    <w:lvl w:ilvl="8" w:tplc="A9D877BA">
      <w:start w:val="1"/>
      <w:numFmt w:val="bullet"/>
      <w:lvlText w:val="●"/>
      <w:lvlJc w:val="left"/>
      <w:pPr>
        <w:ind w:left="6480" w:hanging="360"/>
      </w:pPr>
    </w:lvl>
  </w:abstractNum>
  <w:num w:numId="1" w16cid:durableId="138664097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4748"/>
    <w:rsid w:val="00517937"/>
    <w:rsid w:val="00553240"/>
    <w:rsid w:val="00566E8D"/>
    <w:rsid w:val="00581DF0"/>
    <w:rsid w:val="0068069D"/>
    <w:rsid w:val="00887ED8"/>
    <w:rsid w:val="0089155E"/>
    <w:rsid w:val="008F5EA7"/>
    <w:rsid w:val="009B4D56"/>
    <w:rsid w:val="00A5122F"/>
    <w:rsid w:val="00E04748"/>
    <w:rsid w:val="00FB2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933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68069D"/>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68069D"/>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8069D"/>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BookTitle">
    <w:name w:val="Book Title"/>
    <w:basedOn w:val="DefaultParagraphFont"/>
    <w:uiPriority w:val="33"/>
    <w:qFormat/>
    <w:rsid w:val="0068069D"/>
    <w:rPr>
      <w:b/>
      <w:bCs/>
      <w:i/>
      <w:iCs/>
      <w:spacing w:val="5"/>
    </w:rPr>
  </w:style>
  <w:style w:type="paragraph" w:styleId="Caption">
    <w:name w:val="caption"/>
    <w:basedOn w:val="Normal"/>
    <w:next w:val="Normal"/>
    <w:uiPriority w:val="35"/>
    <w:semiHidden/>
    <w:unhideWhenUsed/>
    <w:qFormat/>
    <w:rsid w:val="0068069D"/>
    <w:pPr>
      <w:spacing w:after="200"/>
    </w:pPr>
    <w:rPr>
      <w:i/>
      <w:iCs/>
      <w:color w:val="0E2841" w:themeColor="text2"/>
      <w:sz w:val="18"/>
      <w:szCs w:val="18"/>
    </w:rPr>
  </w:style>
  <w:style w:type="character" w:styleId="Emphasis">
    <w:name w:val="Emphasis"/>
    <w:basedOn w:val="DefaultParagraphFont"/>
    <w:uiPriority w:val="20"/>
    <w:qFormat/>
    <w:rsid w:val="0068069D"/>
    <w:rPr>
      <w:i/>
      <w:iCs/>
    </w:rPr>
  </w:style>
  <w:style w:type="character" w:customStyle="1" w:styleId="Heading7Char">
    <w:name w:val="Heading 7 Char"/>
    <w:basedOn w:val="DefaultParagraphFont"/>
    <w:link w:val="Heading7"/>
    <w:uiPriority w:val="9"/>
    <w:semiHidden/>
    <w:rsid w:val="0068069D"/>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68069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8069D"/>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68069D"/>
    <w:rPr>
      <w:i/>
      <w:iCs/>
      <w:color w:val="156082" w:themeColor="accent1"/>
    </w:rPr>
  </w:style>
  <w:style w:type="paragraph" w:styleId="IntenseQuote">
    <w:name w:val="Intense Quote"/>
    <w:basedOn w:val="Normal"/>
    <w:next w:val="Normal"/>
    <w:link w:val="IntenseQuoteChar"/>
    <w:uiPriority w:val="30"/>
    <w:qFormat/>
    <w:rsid w:val="0068069D"/>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68069D"/>
    <w:rPr>
      <w:i/>
      <w:iCs/>
      <w:color w:val="156082" w:themeColor="accent1"/>
    </w:rPr>
  </w:style>
  <w:style w:type="character" w:styleId="IntenseReference">
    <w:name w:val="Intense Reference"/>
    <w:basedOn w:val="DefaultParagraphFont"/>
    <w:uiPriority w:val="32"/>
    <w:qFormat/>
    <w:rsid w:val="0068069D"/>
    <w:rPr>
      <w:b/>
      <w:bCs/>
      <w:smallCaps/>
      <w:color w:val="156082" w:themeColor="accent1"/>
      <w:spacing w:val="5"/>
    </w:rPr>
  </w:style>
  <w:style w:type="paragraph" w:styleId="NoSpacing">
    <w:name w:val="No Spacing"/>
    <w:uiPriority w:val="1"/>
    <w:qFormat/>
    <w:rsid w:val="0068069D"/>
  </w:style>
  <w:style w:type="paragraph" w:styleId="Quote">
    <w:name w:val="Quote"/>
    <w:basedOn w:val="Normal"/>
    <w:next w:val="Normal"/>
    <w:link w:val="QuoteChar"/>
    <w:uiPriority w:val="29"/>
    <w:qFormat/>
    <w:rsid w:val="0068069D"/>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68069D"/>
    <w:rPr>
      <w:i/>
      <w:iCs/>
      <w:color w:val="404040" w:themeColor="text1" w:themeTint="BF"/>
    </w:rPr>
  </w:style>
  <w:style w:type="character" w:styleId="Strong">
    <w:name w:val="Strong"/>
    <w:basedOn w:val="DefaultParagraphFont"/>
    <w:uiPriority w:val="22"/>
    <w:qFormat/>
    <w:rsid w:val="0068069D"/>
    <w:rPr>
      <w:b/>
      <w:bCs/>
    </w:rPr>
  </w:style>
  <w:style w:type="paragraph" w:styleId="Subtitle">
    <w:name w:val="Subtitle"/>
    <w:basedOn w:val="Normal"/>
    <w:next w:val="Normal"/>
    <w:link w:val="SubtitleChar"/>
    <w:uiPriority w:val="11"/>
    <w:qFormat/>
    <w:rsid w:val="0068069D"/>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8069D"/>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68069D"/>
    <w:rPr>
      <w:i/>
      <w:iCs/>
      <w:color w:val="404040" w:themeColor="text1" w:themeTint="BF"/>
    </w:rPr>
  </w:style>
  <w:style w:type="character" w:styleId="SubtleReference">
    <w:name w:val="Subtle Reference"/>
    <w:basedOn w:val="DefaultParagraphFont"/>
    <w:uiPriority w:val="31"/>
    <w:qFormat/>
    <w:rsid w:val="0068069D"/>
    <w:rPr>
      <w:smallCaps/>
      <w:color w:val="5A5A5A" w:themeColor="text1" w:themeTint="A5"/>
    </w:rPr>
  </w:style>
  <w:style w:type="paragraph" w:styleId="TOCHeading">
    <w:name w:val="TOC Heading"/>
    <w:basedOn w:val="Heading1"/>
    <w:next w:val="Normal"/>
    <w:uiPriority w:val="39"/>
    <w:semiHidden/>
    <w:unhideWhenUsed/>
    <w:qFormat/>
    <w:rsid w:val="0068069D"/>
    <w:pPr>
      <w:keepNext/>
      <w:keepLines/>
      <w:spacing w:before="240"/>
      <w:outlineLvl w:val="9"/>
    </w:pPr>
    <w:rPr>
      <w:rFonts w:asciiTheme="majorHAnsi" w:eastAsiaTheme="majorEastAsia" w:hAnsiTheme="majorHAnsi" w:cstheme="majorBidi"/>
      <w:color w:val="0F4761" w:themeColor="accent1" w:themeShade="BF"/>
    </w:rPr>
  </w:style>
  <w:style w:type="paragraph" w:styleId="Header">
    <w:name w:val="header"/>
    <w:basedOn w:val="Normal"/>
    <w:link w:val="HeaderChar"/>
    <w:uiPriority w:val="99"/>
    <w:unhideWhenUsed/>
    <w:rsid w:val="0089155E"/>
    <w:pPr>
      <w:tabs>
        <w:tab w:val="center" w:pos="4513"/>
        <w:tab w:val="right" w:pos="9026"/>
      </w:tabs>
    </w:pPr>
  </w:style>
  <w:style w:type="character" w:customStyle="1" w:styleId="HeaderChar">
    <w:name w:val="Header Char"/>
    <w:basedOn w:val="DefaultParagraphFont"/>
    <w:link w:val="Header"/>
    <w:uiPriority w:val="99"/>
    <w:rsid w:val="0089155E"/>
  </w:style>
  <w:style w:type="paragraph" w:styleId="Footer">
    <w:name w:val="footer"/>
    <w:basedOn w:val="Normal"/>
    <w:link w:val="FooterChar"/>
    <w:uiPriority w:val="99"/>
    <w:unhideWhenUsed/>
    <w:rsid w:val="0089155E"/>
    <w:pPr>
      <w:tabs>
        <w:tab w:val="center" w:pos="4513"/>
        <w:tab w:val="right" w:pos="9026"/>
      </w:tabs>
    </w:pPr>
  </w:style>
  <w:style w:type="character" w:customStyle="1" w:styleId="FooterChar">
    <w:name w:val="Footer Char"/>
    <w:basedOn w:val="DefaultParagraphFont"/>
    <w:link w:val="Footer"/>
    <w:uiPriority w:val="99"/>
    <w:rsid w:val="008915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2386</Words>
  <Characters>13606</Characters>
  <Application>Microsoft Office Word</Application>
  <DocSecurity>0</DocSecurity>
  <Lines>113</Lines>
  <Paragraphs>31</Paragraphs>
  <ScaleCrop>false</ScaleCrop>
  <Company/>
  <LinksUpToDate>false</LinksUpToDate>
  <CharactersWithSpaces>15961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2026-08-19T17:53:00Z</dcterms:created>
  <dcterms:modified xsi:type="dcterms:W3CDTF">2026-08-19T17:53:00Z</dcterms:modified>
</cp:coreProperties>
</file>