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r>
        <w:rPr>
          <w:b/>
          <w:sz w:val="32"/>
          <w:szCs w:val="32"/>
          <w:lang w:val="en-GB"/>
        </w:rPr>
        <w:t>IMPROVEMENT OF AN HR PRIORITY AREA</w:t>
      </w:r>
    </w:p>
    <w:p>
      <w:pPr>
        <w:jc w:val="center"/>
        <w:rPr>
          <w:b/>
          <w:sz w:val="32"/>
          <w:szCs w:val="32"/>
          <w:lang w:val="en-GB"/>
        </w:rPr>
      </w:pPr>
    </w:p>
    <w:p>
      <w:pPr>
        <w:jc w:val="center"/>
        <w:rPr>
          <w:b/>
          <w:sz w:val="32"/>
          <w:szCs w:val="32"/>
          <w:lang w:val="en-GB"/>
        </w:rPr>
      </w:pPr>
    </w:p>
    <w:p>
      <w:pPr>
        <w:jc w:val="center"/>
        <w:rPr>
          <w:rFonts w:hint="default" w:eastAsia="宋体"/>
          <w:b/>
          <w:sz w:val="32"/>
          <w:szCs w:val="32"/>
          <w:lang w:val="en-US" w:eastAsia="zh-CN"/>
        </w:rPr>
      </w:pPr>
      <w:r>
        <w:rPr>
          <w:rFonts w:hint="eastAsia" w:eastAsia="宋体"/>
          <w:b/>
          <w:sz w:val="32"/>
          <w:szCs w:val="32"/>
          <w:lang w:val="en-US" w:eastAsia="zh-CN"/>
        </w:rPr>
        <w:t>Guo Haotian</w:t>
      </w:r>
    </w:p>
    <w:p>
      <w:pPr>
        <w:spacing w:after="200" w:line="276" w:lineRule="auto"/>
        <w:jc w:val="left"/>
        <w:rPr>
          <w:rFonts w:eastAsia="Times New Roman" w:cs="Times New Roman"/>
          <w:szCs w:val="24"/>
          <w:lang w:val="en-GB" w:eastAsia="en-US"/>
        </w:rPr>
      </w:pPr>
      <w:r>
        <w:rPr>
          <w:lang w:val="en-GB"/>
        </w:rPr>
        <w:br w:type="page"/>
      </w:r>
    </w:p>
    <w:p>
      <w:pPr>
        <w:pStyle w:val="12"/>
        <w:jc w:val="center"/>
        <w:rPr>
          <w:b/>
          <w:lang w:val="en-GB"/>
        </w:rPr>
      </w:pPr>
      <w:r>
        <w:rPr>
          <w:b/>
          <w:lang w:val="en-GB"/>
        </w:rPr>
        <w:t>Executive summary</w:t>
      </w:r>
    </w:p>
    <w:p>
      <w:pPr>
        <w:rPr>
          <w:rFonts w:eastAsia="Times New Roman" w:cs="Times New Roman"/>
          <w:szCs w:val="24"/>
          <w:lang w:val="en-GB" w:eastAsia="en-US"/>
        </w:rPr>
      </w:pPr>
      <w:r>
        <w:rPr>
          <w:lang w:val="en-GB"/>
        </w:rPr>
        <w:t>The study is demonstrating the performance of HRM in the firm for enhancing their performance in the domestic and international workplace. The HRM system of Unilever is determined here with the growth of priority areas of managing equity, diversity and equity. Diversity and equality are more than policies, programs and people. The study is focus on how the firm manage their diversity in different business operation and what areas need improvement to gain large revenue. An impartial employer outperforms its competitors by respecting the unique needs, perspectives and potential of each team member. As a result, a diverse and equity workplace like Unilever deserves greater trust and engagement from employees.  </w:t>
      </w:r>
      <w:r>
        <w:rPr>
          <w:lang w:val="en-GB"/>
        </w:rPr>
        <w:br w:type="page"/>
      </w:r>
    </w:p>
    <w:sdt>
      <w:sdtPr>
        <w:rPr>
          <w:rFonts w:ascii="Times New Roman" w:hAnsi="Times New Roman" w:eastAsia="Arial" w:cs="Arial"/>
          <w:b w:val="0"/>
          <w:bCs w:val="0"/>
          <w:color w:val="auto"/>
          <w:sz w:val="24"/>
          <w:szCs w:val="22"/>
          <w:lang w:val="en-GB" w:eastAsia="en-IN"/>
        </w:rPr>
        <w:id w:val="711110"/>
        <w:docPartObj>
          <w:docPartGallery w:val="Table of Contents"/>
          <w:docPartUnique/>
        </w:docPartObj>
      </w:sdtPr>
      <w:sdtEndPr>
        <w:rPr>
          <w:rFonts w:ascii="Times New Roman" w:hAnsi="Times New Roman" w:eastAsia="Arial" w:cs="Arial"/>
          <w:b w:val="0"/>
          <w:bCs w:val="0"/>
          <w:color w:val="auto"/>
          <w:sz w:val="24"/>
          <w:szCs w:val="22"/>
          <w:lang w:val="en-GB" w:eastAsia="en-IN"/>
        </w:rPr>
      </w:sdtEndPr>
      <w:sdtContent>
        <w:p>
          <w:pPr>
            <w:pStyle w:val="22"/>
            <w:jc w:val="center"/>
            <w:rPr>
              <w:lang w:val="en-GB"/>
            </w:rPr>
          </w:pPr>
          <w:r>
            <w:rPr>
              <w:rFonts w:ascii="Times New Roman" w:hAnsi="Times New Roman" w:cs="Times New Roman"/>
              <w:color w:val="auto"/>
              <w:sz w:val="24"/>
              <w:szCs w:val="24"/>
              <w:lang w:val="en-GB"/>
            </w:rPr>
            <w:t>Table of Contents</w:t>
          </w:r>
        </w:p>
        <w:p>
          <w:pPr>
            <w:pStyle w:val="9"/>
            <w:tabs>
              <w:tab w:val="right" w:leader="dot" w:pos="9350"/>
            </w:tabs>
            <w:rPr>
              <w:rFonts w:asciiTheme="minorHAnsi" w:hAnsiTheme="minorHAnsi" w:eastAsiaTheme="minorEastAsia" w:cstheme="minorBidi"/>
              <w:sz w:val="22"/>
              <w:lang w:eastAsia="en-US"/>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"_Toc130290745" </w:instrText>
          </w:r>
          <w:r>
            <w:fldChar w:fldCharType="separate"/>
          </w:r>
          <w:r>
            <w:rPr>
              <w:rStyle w:val="17"/>
              <w:lang w:val="en-GB"/>
            </w:rPr>
            <w:t>1.0 Introduction</w:t>
          </w:r>
          <w:r>
            <w:tab/>
          </w:r>
          <w:r>
            <w:fldChar w:fldCharType="begin"/>
          </w:r>
          <w:r>
            <w:instrText xml:space="preserve"> PAGEREF _Toc130290745 \h </w:instrText>
          </w:r>
          <w:r>
            <w:fldChar w:fldCharType="separate"/>
          </w:r>
          <w:r>
            <w:t>5</w:t>
          </w:r>
          <w:r>
            <w:fldChar w:fldCharType="end"/>
          </w:r>
          <w:r>
            <w:fldChar w:fldCharType="end"/>
          </w:r>
        </w:p>
        <w:p>
          <w:pPr>
            <w:pStyle w:val="9"/>
            <w:tabs>
              <w:tab w:val="right" w:leader="dot" w:pos="9350"/>
            </w:tabs>
            <w:rPr>
              <w:rFonts w:asciiTheme="minorHAnsi" w:hAnsiTheme="minorHAnsi" w:eastAsiaTheme="minorEastAsia" w:cstheme="minorBidi"/>
              <w:sz w:val="22"/>
              <w:lang w:eastAsia="en-US"/>
            </w:rPr>
          </w:pPr>
          <w:r>
            <w:fldChar w:fldCharType="begin"/>
          </w:r>
          <w:r>
            <w:instrText xml:space="preserve"> HYPERLINK \l "_Toc130290746" </w:instrText>
          </w:r>
          <w:r>
            <w:fldChar w:fldCharType="separate"/>
          </w:r>
          <w:r>
            <w:rPr>
              <w:rStyle w:val="17"/>
              <w:lang w:val="en-GB"/>
            </w:rPr>
            <w:t>2.0 Organisational overview</w:t>
          </w:r>
          <w:r>
            <w:tab/>
          </w:r>
          <w:r>
            <w:fldChar w:fldCharType="begin"/>
          </w:r>
          <w:r>
            <w:instrText xml:space="preserve"> PAGEREF _Toc130290746 \h </w:instrText>
          </w:r>
          <w:r>
            <w:fldChar w:fldCharType="separate"/>
          </w:r>
          <w:r>
            <w:t>5</w:t>
          </w:r>
          <w:r>
            <w:fldChar w:fldCharType="end"/>
          </w:r>
          <w:r>
            <w:fldChar w:fldCharType="end"/>
          </w:r>
        </w:p>
        <w:p>
          <w:pPr>
            <w:pStyle w:val="9"/>
            <w:tabs>
              <w:tab w:val="right" w:leader="dot" w:pos="9350"/>
            </w:tabs>
            <w:rPr>
              <w:rFonts w:asciiTheme="minorHAnsi" w:hAnsiTheme="minorHAnsi" w:eastAsiaTheme="minorEastAsia" w:cstheme="minorBidi"/>
              <w:sz w:val="22"/>
              <w:lang w:eastAsia="en-US"/>
            </w:rPr>
          </w:pPr>
          <w:r>
            <w:fldChar w:fldCharType="begin"/>
          </w:r>
          <w:r>
            <w:instrText xml:space="preserve"> HYPERLINK \l "_Toc130290747" </w:instrText>
          </w:r>
          <w:r>
            <w:fldChar w:fldCharType="separate"/>
          </w:r>
          <w:r>
            <w:rPr>
              <w:rStyle w:val="17"/>
              <w:lang w:val="en-GB"/>
            </w:rPr>
            <w:t>3.0 Main discussion</w:t>
          </w:r>
          <w:r>
            <w:tab/>
          </w:r>
          <w:r>
            <w:fldChar w:fldCharType="begin"/>
          </w:r>
          <w:r>
            <w:instrText xml:space="preserve"> PAGEREF _Toc130290747 \h </w:instrText>
          </w:r>
          <w:r>
            <w:fldChar w:fldCharType="separate"/>
          </w:r>
          <w:r>
            <w:t>6</w:t>
          </w:r>
          <w:r>
            <w:fldChar w:fldCharType="end"/>
          </w:r>
          <w:r>
            <w:fldChar w:fldCharType="end"/>
          </w:r>
        </w:p>
        <w:p>
          <w:pPr>
            <w:pStyle w:val="11"/>
            <w:tabs>
              <w:tab w:val="right" w:leader="dot" w:pos="9350"/>
            </w:tabs>
            <w:rPr>
              <w:rFonts w:asciiTheme="minorHAnsi" w:hAnsiTheme="minorHAnsi" w:eastAsiaTheme="minorEastAsia" w:cstheme="minorBidi"/>
              <w:sz w:val="22"/>
              <w:lang w:eastAsia="en-US"/>
            </w:rPr>
          </w:pPr>
          <w:r>
            <w:fldChar w:fldCharType="begin"/>
          </w:r>
          <w:r>
            <w:instrText xml:space="preserve"> HYPERLINK \l "_Toc130290748" </w:instrText>
          </w:r>
          <w:r>
            <w:fldChar w:fldCharType="separate"/>
          </w:r>
          <w:r>
            <w:rPr>
              <w:rStyle w:val="17"/>
              <w:lang w:val="en-GB"/>
            </w:rPr>
            <w:t>3.1 Priority area that needs improving in Unilever</w:t>
          </w:r>
          <w:r>
            <w:tab/>
          </w:r>
          <w:r>
            <w:fldChar w:fldCharType="begin"/>
          </w:r>
          <w:r>
            <w:instrText xml:space="preserve"> PAGEREF _Toc130290748 \h </w:instrText>
          </w:r>
          <w:r>
            <w:fldChar w:fldCharType="separate"/>
          </w:r>
          <w:r>
            <w:t>6</w:t>
          </w:r>
          <w:r>
            <w:fldChar w:fldCharType="end"/>
          </w:r>
          <w:r>
            <w:fldChar w:fldCharType="end"/>
          </w:r>
        </w:p>
        <w:p>
          <w:pPr>
            <w:pStyle w:val="11"/>
            <w:tabs>
              <w:tab w:val="right" w:leader="dot" w:pos="9350"/>
            </w:tabs>
            <w:rPr>
              <w:rFonts w:asciiTheme="minorHAnsi" w:hAnsiTheme="minorHAnsi" w:eastAsiaTheme="minorEastAsia" w:cstheme="minorBidi"/>
              <w:sz w:val="22"/>
              <w:lang w:eastAsia="en-US"/>
            </w:rPr>
          </w:pPr>
          <w:r>
            <w:fldChar w:fldCharType="begin"/>
          </w:r>
          <w:r>
            <w:instrText xml:space="preserve"> HYPERLINK \l "_Toc130290749" </w:instrText>
          </w:r>
          <w:r>
            <w:fldChar w:fldCharType="separate"/>
          </w:r>
          <w:r>
            <w:rPr>
              <w:rStyle w:val="17"/>
              <w:lang w:val="en-GB"/>
            </w:rPr>
            <w:t>3.2 Reason behind the improvement of priority area</w:t>
          </w:r>
          <w:r>
            <w:tab/>
          </w:r>
          <w:r>
            <w:fldChar w:fldCharType="begin"/>
          </w:r>
          <w:r>
            <w:instrText xml:space="preserve"> PAGEREF _Toc130290749 \h </w:instrText>
          </w:r>
          <w:r>
            <w:fldChar w:fldCharType="separate"/>
          </w:r>
          <w:r>
            <w:t>8</w:t>
          </w:r>
          <w:r>
            <w:fldChar w:fldCharType="end"/>
          </w:r>
          <w:r>
            <w:fldChar w:fldCharType="end"/>
          </w:r>
        </w:p>
        <w:p>
          <w:pPr>
            <w:pStyle w:val="11"/>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"_Toc130290750" </w:instrText>
          </w:r>
          <w:r>
            <w:fldChar w:fldCharType="separate"/>
          </w:r>
          <w:r>
            <w:rPr>
              <w:rStyle w:val="17"/>
              <w:lang w:val="en-GB"/>
            </w:rPr>
            <w:t>3.3 Current shortfalls of priority area</w:t>
          </w:r>
          <w:r>
            <w:tab/>
          </w:r>
          <w:r>
            <w:fldChar w:fldCharType="begin"/>
          </w:r>
          <w:r>
            <w:instrText xml:space="preserve"> PAGEREF _Toc130290750 \h </w:instrText>
          </w:r>
          <w:r>
            <w:fldChar w:fldCharType="separate"/>
          </w:r>
          <w:r>
            <w:t>9</w:t>
          </w:r>
          <w:r>
            <w:fldChar w:fldCharType="end"/>
          </w:r>
          <w:r>
            <w:fldChar w:fldCharType="end"/>
          </w:r>
        </w:p>
        <w:p>
          <w:pPr>
            <w:pStyle w:val="11"/>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"_Toc130290751" </w:instrText>
          </w:r>
          <w:r>
            <w:fldChar w:fldCharType="separate"/>
          </w:r>
          <w:r>
            <w:rPr>
              <w:rStyle w:val="17"/>
              <w:lang w:val="en-GB"/>
            </w:rPr>
            <w:t>3.4 Impact of this deficiency on the performance of organisation</w:t>
          </w:r>
          <w:r>
            <w:tab/>
          </w:r>
          <w:r>
            <w:fldChar w:fldCharType="begin"/>
          </w:r>
          <w:r>
            <w:instrText xml:space="preserve"> PAGEREF _Toc130290751 \h </w:instrText>
          </w:r>
          <w:r>
            <w:fldChar w:fldCharType="separate"/>
          </w:r>
          <w:r>
            <w:t>10</w:t>
          </w:r>
          <w:r>
            <w:fldChar w:fldCharType="end"/>
          </w:r>
          <w:r>
            <w:fldChar w:fldCharType="end"/>
          </w:r>
        </w:p>
        <w:p>
          <w:pPr>
            <w:pStyle w:val="11"/>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"_Toc130290752" </w:instrText>
          </w:r>
          <w:r>
            <w:fldChar w:fldCharType="separate"/>
          </w:r>
          <w:r>
            <w:rPr>
              <w:rStyle w:val="17"/>
              <w:lang w:val="en-GB"/>
            </w:rPr>
            <w:t>3.5 Benefits of improving this priority area for the organisation, the employees and other organisational stakeholders</w:t>
          </w:r>
          <w:r>
            <w:tab/>
          </w:r>
          <w:r>
            <w:fldChar w:fldCharType="begin"/>
          </w:r>
          <w:r>
            <w:instrText xml:space="preserve"> PAGEREF _Toc130290752 \h </w:instrText>
          </w:r>
          <w:r>
            <w:fldChar w:fldCharType="separate"/>
          </w:r>
          <w:r>
            <w:t>11</w:t>
          </w:r>
          <w:r>
            <w:fldChar w:fldCharType="end"/>
          </w:r>
          <w:r>
            <w:fldChar w:fldCharType="end"/>
          </w:r>
        </w:p>
        <w:p>
          <w:pPr>
            <w:pStyle w:val="9"/>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"_Toc130290753" </w:instrText>
          </w:r>
          <w:r>
            <w:fldChar w:fldCharType="separate"/>
          </w:r>
          <w:r>
            <w:rPr>
              <w:rStyle w:val="17"/>
              <w:lang w:val="en-GB"/>
            </w:rPr>
            <w:t>4.0 Conclusions</w:t>
          </w:r>
          <w:r>
            <w:tab/>
          </w:r>
          <w:r>
            <w:fldChar w:fldCharType="begin"/>
          </w:r>
          <w:r>
            <w:instrText xml:space="preserve"> PAGEREF _Toc130290753 \h </w:instrText>
          </w:r>
          <w:r>
            <w:fldChar w:fldCharType="separate"/>
          </w:r>
          <w:r>
            <w:t>12</w:t>
          </w:r>
          <w:r>
            <w:fldChar w:fldCharType="end"/>
          </w:r>
          <w:r>
            <w:fldChar w:fldCharType="end"/>
          </w:r>
        </w:p>
        <w:p>
          <w:pPr>
            <w:pStyle w:val="9"/>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"_Toc130290754" </w:instrText>
          </w:r>
          <w:r>
            <w:fldChar w:fldCharType="separate"/>
          </w:r>
          <w:r>
            <w:rPr>
              <w:rStyle w:val="17"/>
              <w:lang w:val="en-GB"/>
            </w:rPr>
            <w:t>5.0 Recommendations</w:t>
          </w:r>
          <w:r>
            <w:tab/>
          </w:r>
          <w:r>
            <w:fldChar w:fldCharType="begin"/>
          </w:r>
          <w:r>
            <w:instrText xml:space="preserve"> PAGEREF _Toc130290754 \h </w:instrText>
          </w:r>
          <w:r>
            <w:fldChar w:fldCharType="separate"/>
          </w:r>
          <w:r>
            <w:t>12</w:t>
          </w:r>
          <w:r>
            <w:fldChar w:fldCharType="end"/>
          </w:r>
          <w:r>
            <w:fldChar w:fldCharType="end"/>
          </w:r>
        </w:p>
        <w:p>
          <w:pPr>
            <w:pStyle w:val="9"/>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"_Toc130290755" </w:instrText>
          </w:r>
          <w:r>
            <w:fldChar w:fldCharType="separate"/>
          </w:r>
          <w:r>
            <w:rPr>
              <w:rStyle w:val="17"/>
              <w:lang w:val="en-GB"/>
            </w:rPr>
            <w:t>References list</w:t>
          </w:r>
          <w:r>
            <w:tab/>
          </w:r>
          <w:r>
            <w:fldChar w:fldCharType="begin"/>
          </w:r>
          <w:r>
            <w:instrText xml:space="preserve"> PAGEREF _Toc130290755 \h </w:instrText>
          </w:r>
          <w:r>
            <w:fldChar w:fldCharType="separate"/>
          </w:r>
          <w:r>
            <w:t>13</w:t>
          </w:r>
          <w:r>
            <w:fldChar w:fldCharType="end"/>
          </w:r>
          <w:r>
            <w:fldChar w:fldCharType="end"/>
          </w:r>
        </w:p>
        <w:p>
          <w:pPr>
            <w:pStyle w:val="9"/>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"_Toc130290756" </w:instrText>
          </w:r>
          <w:r>
            <w:fldChar w:fldCharType="separate"/>
          </w:r>
          <w:r>
            <w:rPr>
              <w:rStyle w:val="17"/>
              <w:shd w:val="clear" w:color="auto" w:fill="FFFFFF"/>
              <w:lang w:val="en-GB"/>
            </w:rPr>
            <w:t>Ap</w:t>
          </w:r>
          <w:r>
            <w:rPr>
              <w:rStyle w:val="17"/>
            </w:rPr>
            <w:t>p</w:t>
          </w:r>
          <w:r>
            <w:rPr>
              <w:rStyle w:val="17"/>
              <w:shd w:val="clear" w:color="auto" w:fill="FFFFFF"/>
              <w:lang w:val="en-GB"/>
            </w:rPr>
            <w:t>endices</w:t>
          </w:r>
          <w:r>
            <w:tab/>
          </w:r>
          <w:r>
            <w:fldChar w:fldCharType="begin"/>
          </w:r>
          <w:r>
            <w:instrText xml:space="preserve"> PAGEREF _Toc130290756 \h </w:instrText>
          </w:r>
          <w:r>
            <w:fldChar w:fldCharType="separate"/>
          </w:r>
          <w:r>
            <w:t>16</w:t>
          </w:r>
          <w:r>
            <w:fldChar w:fldCharType="end"/>
          </w:r>
          <w:r>
            <w:fldChar w:fldCharType="end"/>
          </w:r>
        </w:p>
        <w:p>
          <w:pPr>
            <w:pStyle w:val="11"/>
            <w:tabs>
              <w:tab w:val="right" w:leader="dot" w:pos="9350"/>
            </w:tabs>
            <w:rPr>
              <w:rFonts w:asciiTheme="minorHAnsi" w:hAnsiTheme="minorHAnsi" w:eastAsiaTheme="minorEastAsia" w:cstheme="minorBidi"/>
              <w:sz w:val="22"/>
              <w:lang w:eastAsia="en-US"/>
            </w:rPr>
          </w:pPr>
          <w:r>
            <w:fldChar w:fldCharType="begin"/>
          </w:r>
          <w:r>
            <w:instrText xml:space="preserve"> HYPERLINK \l "_Toc130290757" </w:instrText>
          </w:r>
          <w:r>
            <w:fldChar w:fldCharType="separate"/>
          </w:r>
          <w:r>
            <w:rPr>
              <w:rStyle w:val="17"/>
              <w:shd w:val="clear" w:color="auto" w:fill="FFFFFF"/>
              <w:lang w:val="en-GB"/>
            </w:rPr>
            <w:t>Appendix 1: Diversity at the workplace of Unilever</w:t>
          </w:r>
          <w:r>
            <w:tab/>
          </w:r>
          <w:r>
            <w:fldChar w:fldCharType="begin"/>
          </w:r>
          <w:r>
            <w:instrText xml:space="preserve"> PAGEREF _Toc130290757 \h </w:instrText>
          </w:r>
          <w:r>
            <w:fldChar w:fldCharType="separate"/>
          </w:r>
          <w:r>
            <w:t>16</w:t>
          </w:r>
          <w:r>
            <w:fldChar w:fldCharType="end"/>
          </w:r>
          <w:r>
            <w:fldChar w:fldCharType="end"/>
          </w:r>
        </w:p>
        <w:p>
          <w:pPr>
            <w:rPr>
              <w:lang w:val="en-GB"/>
            </w:rPr>
          </w:pPr>
          <w:r>
            <w:rPr>
              <w:lang w:val="en-GB"/>
            </w:rPr>
            <w:fldChar w:fldCharType="end"/>
          </w:r>
        </w:p>
      </w:sdtContent>
    </w:sdt>
    <w:p>
      <w:pPr>
        <w:spacing w:after="200" w:line="276" w:lineRule="auto"/>
        <w:jc w:val="left"/>
        <w:rPr>
          <w:rFonts w:eastAsia="Times New Roman" w:cs="Times New Roman"/>
          <w:szCs w:val="24"/>
          <w:lang w:val="en-GB" w:eastAsia="en-US"/>
        </w:rPr>
      </w:pPr>
      <w:r>
        <w:rPr>
          <w:lang w:val="en-GB"/>
        </w:rPr>
        <w:br w:type="page"/>
      </w:r>
    </w:p>
    <w:p>
      <w:pPr>
        <w:jc w:val="center"/>
        <w:rPr>
          <w:b/>
          <w:lang w:val="en-GB"/>
        </w:rPr>
      </w:pPr>
      <w:r>
        <w:rPr>
          <w:b/>
          <w:lang w:val="en-GB"/>
        </w:rPr>
        <w:t>Lists of figures</w:t>
      </w:r>
    </w:p>
    <w:p>
      <w:pPr>
        <w:pStyle w:val="10"/>
        <w:tabs>
          <w:tab w:val="right" w:leader="dot" w:pos="9350"/>
        </w:tabs>
        <w:rPr>
          <w:rFonts w:asciiTheme="minorHAnsi" w:hAnsiTheme="minorHAnsi" w:eastAsiaTheme="minorEastAsia" w:cstheme="minorBidi"/>
          <w:sz w:val="22"/>
          <w:lang w:val="en-GB" w:eastAsia="en-US"/>
        </w:rPr>
      </w:pPr>
      <w:r>
        <w:rPr>
          <w:b/>
          <w:lang w:val="en-GB"/>
        </w:rPr>
        <w:fldChar w:fldCharType="begin"/>
      </w:r>
      <w:r>
        <w:rPr>
          <w:b/>
          <w:lang w:val="en-GB"/>
        </w:rPr>
        <w:instrText xml:space="preserve"> TOC \h \z \t "Heading 4" \c </w:instrText>
      </w:r>
      <w:r>
        <w:rPr>
          <w:b/>
          <w:lang w:val="en-GB"/>
        </w:rPr>
        <w:fldChar w:fldCharType="separate"/>
      </w:r>
      <w:r>
        <w:fldChar w:fldCharType="begin"/>
      </w:r>
      <w:r>
        <w:instrText xml:space="preserve"> HYPERLINK \l "_Toc130281427" </w:instrText>
      </w:r>
      <w:r>
        <w:fldChar w:fldCharType="separate"/>
      </w:r>
      <w:r>
        <w:rPr>
          <w:rStyle w:val="17"/>
          <w:lang w:val="en-GB"/>
        </w:rPr>
        <w:t>Figure 1: Total number of Unilever employees in the world</w:t>
      </w:r>
      <w:r>
        <w:rPr>
          <w:lang w:val="en-GB"/>
        </w:rPr>
        <w:tab/>
      </w:r>
      <w:r>
        <w:rPr>
          <w:lang w:val="en-GB"/>
        </w:rPr>
        <w:fldChar w:fldCharType="begin"/>
      </w:r>
      <w:r>
        <w:rPr>
          <w:lang w:val="en-GB"/>
        </w:rPr>
        <w:instrText xml:space="preserve"> PAGEREF _Toc130281427 \h </w:instrText>
      </w:r>
      <w:r>
        <w:rPr>
          <w:lang w:val="en-GB"/>
        </w:rPr>
        <w:fldChar w:fldCharType="separate"/>
      </w:r>
      <w:r>
        <w:rPr>
          <w:lang w:val="en-GB"/>
        </w:rPr>
        <w:t>6</w:t>
      </w:r>
      <w:r>
        <w:rPr>
          <w:lang w:val="en-GB"/>
        </w:rPr>
        <w:fldChar w:fldCharType="end"/>
      </w:r>
      <w:r>
        <w:rPr>
          <w:lang w:val="en-GB"/>
        </w:rPr>
        <w:fldChar w:fldCharType="end"/>
      </w:r>
    </w:p>
    <w:p>
      <w:pPr>
        <w:pStyle w:val="10"/>
        <w:tabs>
          <w:tab w:val="right" w:leader="dot" w:pos="9350"/>
        </w:tabs>
        <w:rPr>
          <w:rFonts w:asciiTheme="minorHAnsi" w:hAnsiTheme="minorHAnsi" w:eastAsiaTheme="minorEastAsia" w:cstheme="minorBidi"/>
          <w:sz w:val="22"/>
          <w:lang w:val="en-GB" w:eastAsia="en-US"/>
        </w:rPr>
      </w:pPr>
      <w:r>
        <w:fldChar w:fldCharType="begin"/>
      </w:r>
      <w:r>
        <w:instrText xml:space="preserve"> HYPERLINK \l "_Toc130281428" </w:instrText>
      </w:r>
      <w:r>
        <w:fldChar w:fldCharType="separate"/>
      </w:r>
      <w:r>
        <w:rPr>
          <w:rStyle w:val="17"/>
          <w:lang w:val="en-GB"/>
        </w:rPr>
        <w:t>Figure 2: Role of HR</w:t>
      </w:r>
      <w:r>
        <w:rPr>
          <w:lang w:val="en-GB"/>
        </w:rPr>
        <w:tab/>
      </w:r>
      <w:r>
        <w:rPr>
          <w:lang w:val="en-GB"/>
        </w:rPr>
        <w:fldChar w:fldCharType="begin"/>
      </w:r>
      <w:r>
        <w:rPr>
          <w:lang w:val="en-GB"/>
        </w:rPr>
        <w:instrText xml:space="preserve"> PAGEREF _Toc130281428 \h </w:instrText>
      </w:r>
      <w:r>
        <w:rPr>
          <w:lang w:val="en-GB"/>
        </w:rPr>
        <w:fldChar w:fldCharType="separate"/>
      </w:r>
      <w:r>
        <w:rPr>
          <w:lang w:val="en-GB"/>
        </w:rPr>
        <w:t>8</w:t>
      </w:r>
      <w:r>
        <w:rPr>
          <w:lang w:val="en-GB"/>
        </w:rPr>
        <w:fldChar w:fldCharType="end"/>
      </w:r>
      <w:r>
        <w:rPr>
          <w:lang w:val="en-GB"/>
        </w:rPr>
        <w:fldChar w:fldCharType="end"/>
      </w:r>
    </w:p>
    <w:p>
      <w:pPr>
        <w:spacing w:after="200" w:line="276" w:lineRule="auto"/>
        <w:jc w:val="left"/>
        <w:rPr>
          <w:b/>
          <w:lang w:val="en-GB"/>
        </w:rPr>
      </w:pPr>
      <w:r>
        <w:rPr>
          <w:b/>
          <w:lang w:val="en-GB"/>
        </w:rPr>
        <w:fldChar w:fldCharType="end"/>
      </w:r>
    </w:p>
    <w:p>
      <w:pPr>
        <w:spacing w:after="200" w:line="276" w:lineRule="auto"/>
        <w:jc w:val="left"/>
        <w:rPr>
          <w:b/>
          <w:lang w:val="en-GB"/>
        </w:rPr>
      </w:pPr>
      <w:r>
        <w:rPr>
          <w:b/>
          <w:lang w:val="en-GB"/>
        </w:rPr>
        <w:br w:type="page"/>
      </w:r>
    </w:p>
    <w:p>
      <w:pPr>
        <w:pStyle w:val="2"/>
        <w:rPr>
          <w:lang w:val="en-GB"/>
        </w:rPr>
      </w:pPr>
      <w:bookmarkStart w:id="0" w:name="_Toc130290745"/>
      <w:r>
        <w:rPr>
          <w:lang w:val="en-GB"/>
        </w:rPr>
        <w:t>1.0 Introduction</w:t>
      </w:r>
      <w:bookmarkEnd w:id="0"/>
    </w:p>
    <w:p>
      <w:pPr>
        <w:rPr>
          <w:lang w:val="en-GB"/>
        </w:rPr>
      </w:pPr>
      <w:r>
        <w:rPr>
          <w:lang w:val="en-GB"/>
        </w:rPr>
        <w:t>Human Resources Manager (HRM) leads and directs routine functions for a department of the firm involving interviewing and hiring staff, benefits, administering pay, enforcing company policies, and leave policy. HR managers have the ability to meet all demands of the employees with effective policies in the workplace. HRM is the practice of managing people to achieve better performance and optimising the performance of the company. Managing equality, diversity and equity are selected priorities of the HR department that are going to derive in the study. The HR area of Unilever with the reason for the improvement is going to cover in this section. </w:t>
      </w:r>
    </w:p>
    <w:p>
      <w:pPr>
        <w:pStyle w:val="2"/>
        <w:rPr>
          <w:lang w:val="en-GB"/>
        </w:rPr>
      </w:pPr>
      <w:bookmarkStart w:id="1" w:name="_Toc130290746"/>
      <w:r>
        <w:rPr>
          <w:lang w:val="en-GB"/>
        </w:rPr>
        <w:t>2.0 Organisational overview</w:t>
      </w:r>
      <w:bookmarkEnd w:id="1"/>
    </w:p>
    <w:p>
      <w:pPr>
        <w:rPr>
          <w:lang w:val="en-GB"/>
        </w:rPr>
      </w:pPr>
      <w:r>
        <w:rPr>
          <w:lang w:val="en-GB"/>
        </w:rPr>
        <w:t>Unilever is the supplier and manufacturer of fast-moving consumer goods in the domestic and international marketplace. The product portfolio of the firm comprises beauty, food products, personal care products, home care products, minerals, vitamins and supplements. Lifebuoy, Sunsilk, Dove, Hellmann's and Magnum and so on are the largest brands of the organisation in the marketplace. Unilever announced the intention to establish a new sustainable site in the UK in the year 2020 (Unilever.co.uk, 2023). The company serves 190 countries with 400 brands of different categories in the world from the London headquarter. On the other hand, 58% of males and 42% of females are working in the workplace of Unilever. </w:t>
      </w:r>
    </w:p>
    <w:p>
      <w:pPr>
        <w:jc w:val="center"/>
        <w:rPr>
          <w:b/>
          <w:lang w:val="en-GB"/>
        </w:rPr>
      </w:pPr>
      <w:r>
        <w:rPr>
          <w:b/>
          <w:lang w:eastAsia="en-US"/>
        </w:rPr>
        <w:drawing>
          <wp:inline distT="0" distB="0" distL="0" distR="0">
            <wp:extent cx="5943600" cy="3785870"/>
            <wp:effectExtent l="38100" t="57150" r="114300" b="10009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a:xfrm>
                      <a:off x="0" y="0"/>
                      <a:ext cx="5943600" cy="378610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5"/>
        <w:rPr>
          <w:lang w:val="en-GB"/>
        </w:rPr>
      </w:pPr>
      <w:bookmarkStart w:id="2" w:name="_Toc130281427"/>
      <w:r>
        <w:rPr>
          <w:lang w:val="en-GB"/>
        </w:rPr>
        <w:t>Figure 1: Total number of Unilever employees in the world</w:t>
      </w:r>
      <w:bookmarkEnd w:id="2"/>
    </w:p>
    <w:p>
      <w:pPr>
        <w:jc w:val="center"/>
        <w:rPr>
          <w:lang w:val="en-GB"/>
        </w:rPr>
      </w:pPr>
      <w:r>
        <w:rPr>
          <w:lang w:val="en-GB"/>
        </w:rPr>
        <w:t>(Source: Sabanoglu, 2023)</w:t>
      </w:r>
    </w:p>
    <w:p>
      <w:pPr>
        <w:spacing w:before="240"/>
        <w:rPr>
          <w:lang w:val="en-GB"/>
        </w:rPr>
      </w:pPr>
      <w:r>
        <w:rPr>
          <w:lang w:val="en-GB"/>
        </w:rPr>
        <w:t xml:space="preserve">The operating profit of the firm was 9.7 billion dollars up 0.5% versus prior years and this is the operating margin reduced by 230bpd. The turnover of Unilever in the year 2022 is 60.1bn dollars underlying 9% of sales growth (Unilever, 2023). The company outlined significant roles of the HR department with the pool and source of the talents of people that make innovation. Taking the example of Unilever's HR department, employees benefited from the HR policy in the workplace during the pandemic Covid-19. The HR department of Unilever provides discrimination, trafficked, forced and child labour to health and safety conditions for business growth. </w:t>
      </w:r>
    </w:p>
    <w:p>
      <w:pPr>
        <w:pStyle w:val="2"/>
        <w:rPr>
          <w:lang w:val="en-GB"/>
        </w:rPr>
      </w:pPr>
      <w:bookmarkStart w:id="3" w:name="_Toc130290747"/>
      <w:r>
        <w:rPr>
          <w:lang w:val="en-GB"/>
        </w:rPr>
        <w:t>3.0 Main discussion</w:t>
      </w:r>
      <w:bookmarkEnd w:id="3"/>
    </w:p>
    <w:p>
      <w:pPr>
        <w:pStyle w:val="3"/>
        <w:rPr>
          <w:lang w:val="en-GB"/>
        </w:rPr>
      </w:pPr>
      <w:bookmarkStart w:id="4" w:name="_Toc130290748"/>
      <w:r>
        <w:rPr>
          <w:lang w:val="en-GB"/>
        </w:rPr>
        <w:t>3.1 Priority area that needs improving in Unilever</w:t>
      </w:r>
      <w:bookmarkEnd w:id="4"/>
    </w:p>
    <w:p>
      <w:pPr>
        <w:spacing w:before="240"/>
        <w:rPr>
          <w:b/>
          <w:i/>
          <w:lang w:val="en-GB"/>
        </w:rPr>
      </w:pPr>
      <w:r>
        <w:rPr>
          <w:lang w:val="en-GB"/>
        </w:rPr>
        <w:t xml:space="preserve">HRM has important functions in the firm that involve performance management, recruitment, development and learning and so on. Supervising, planning, and coordinating the employment of new workers is the responsibility of the HR department. Through a strong employer brand and effective sourcing strategies, the management of HR of Unilever can enhance the performance of the firm in the international marketplace. The priority areas of HR at Unilever are managing equality, diversity and equity that they have to develop. As per the view of Gümüş </w:t>
      </w:r>
      <w:r>
        <w:rPr>
          <w:i/>
          <w:lang w:val="en-GB"/>
        </w:rPr>
        <w:t>et al</w:t>
      </w:r>
      <w:r>
        <w:rPr>
          <w:lang w:val="en-GB"/>
        </w:rPr>
        <w:t xml:space="preserve">. (2021), organisations should provide equal opportunities and resources to female and male employees in the workplace. Performance management is an important factor for ensuring the effective growth of the organisational reputation.  Leena Nair is the head of HR of the company and leads consumer products giants' return to work strategy. The HR department is responsible for maintaining an appropriate and healthy workplace structure, which helps in meeting the basic requirements of its employees. </w:t>
      </w:r>
      <w:r>
        <w:rPr>
          <w:b/>
          <w:i/>
          <w:lang w:val="en-GB"/>
        </w:rPr>
        <w:t>[Refer to Appendix 1]</w:t>
      </w:r>
    </w:p>
    <w:p>
      <w:pPr>
        <w:spacing w:before="240"/>
        <w:rPr>
          <w:lang w:val="en-GB"/>
        </w:rPr>
      </w:pPr>
      <w:r>
        <w:rPr>
          <w:lang w:val="en-GB"/>
        </w:rPr>
        <w:t>Functional evaluation is the technical aspect of HR that involves comparing various parts of the operations of the HR department. The department of Unilever has to improve its management equality, equity and diversity. These priority areas can enhance the performance of the organisation with the best quality of products and services for the customers. According to Gigauri (2020), HR managers play a major role in the efforts of the organisation to operate through the crisis of Covid-19. Through cultural inclusion and fairness, HR managers can improve their managing equality area in the workplace of Unilever. Moreover, HR managers can cultivate and maintain relationships with the labour union and collective members of the company. </w:t>
      </w:r>
    </w:p>
    <w:p>
      <w:pPr>
        <w:jc w:val="center"/>
        <w:rPr>
          <w:lang w:val="en-GB"/>
        </w:rPr>
      </w:pPr>
      <w:r>
        <w:rPr>
          <w:lang w:eastAsia="en-US"/>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pPr>
        <w:pStyle w:val="5"/>
        <w:rPr>
          <w:lang w:val="en-GB"/>
        </w:rPr>
      </w:pPr>
      <w:bookmarkStart w:id="5" w:name="_Toc130281428"/>
      <w:r>
        <w:rPr>
          <w:lang w:val="en-GB"/>
        </w:rPr>
        <w:t>Figure 2: Role of HR</w:t>
      </w:r>
      <w:bookmarkEnd w:id="5"/>
    </w:p>
    <w:p>
      <w:pPr>
        <w:jc w:val="center"/>
        <w:rPr>
          <w:lang w:val="en-GB"/>
        </w:rPr>
      </w:pPr>
      <w:r>
        <w:rPr>
          <w:lang w:val="en-GB"/>
        </w:rPr>
        <w:t>(Source: Self-created)</w:t>
      </w:r>
    </w:p>
    <w:p>
      <w:pPr>
        <w:spacing w:before="240"/>
        <w:rPr>
          <w:lang w:val="en-GB"/>
        </w:rPr>
      </w:pPr>
      <w:r>
        <w:rPr>
          <w:lang w:val="en-GB"/>
        </w:rPr>
        <w:t>Employees need to be informed on various topics of the firm that is relevant for the growth of the profit margin and production of the firm. Moreover, HR managers have a role in the growth of the health and safety policy for the employees in the workplace. Employees have strategic assets for the firm with a focus on skills and experiences are managed, retained and preserved (Elsafty and Ragheb, 2020). HR professionals take care of and assist the employees in the workplace that run into issues of them in the workplace. </w:t>
      </w:r>
    </w:p>
    <w:p>
      <w:pPr>
        <w:pStyle w:val="3"/>
        <w:rPr>
          <w:lang w:val="en-GB"/>
        </w:rPr>
      </w:pPr>
      <w:bookmarkStart w:id="6" w:name="_Toc130290749"/>
      <w:r>
        <w:rPr>
          <w:lang w:val="en-GB"/>
        </w:rPr>
        <w:t>3.2 Reason behind the improvement of priority area</w:t>
      </w:r>
      <w:bookmarkEnd w:id="6"/>
    </w:p>
    <w:p>
      <w:pPr>
        <w:spacing w:before="240"/>
        <w:rPr>
          <w:lang w:val="en-GB"/>
        </w:rPr>
      </w:pPr>
      <w:r>
        <w:rPr>
          <w:lang w:val="en-GB"/>
        </w:rPr>
        <w:t xml:space="preserve">Diversity and inclusion are important factors of the firm in the best practices of people management started for the success of the business. Equality makes equal opportunity for the employees motivated in the workplace. The main reason for the improvement of the priority area is </w:t>
      </w:r>
      <w:r>
        <w:rPr>
          <w:b/>
          <w:i/>
          <w:lang w:val="en-GB"/>
        </w:rPr>
        <w:t>drastic changes in the organisation</w:t>
      </w:r>
      <w:r>
        <w:rPr>
          <w:lang w:val="en-GB"/>
        </w:rPr>
        <w:t xml:space="preserve"> that operates in various working cultures. This crucial transformation is continued to help the people with the attained individual goals. Khan </w:t>
      </w:r>
      <w:r>
        <w:rPr>
          <w:i/>
          <w:lang w:val="en-GB"/>
        </w:rPr>
        <w:t>et al</w:t>
      </w:r>
      <w:r>
        <w:rPr>
          <w:lang w:val="en-GB"/>
        </w:rPr>
        <w:t>. (2019) stated that the HR manager focuses on the vital strategic activity in the workplace of the firm so they have an important role in the improvement of the organisational performance. They contribute to the success of the firm and work tirelessly for the growth of the firm. The skilled professionals in the HRM control various responsibilities and work closely with the valuable assets in the workplace. </w:t>
      </w:r>
    </w:p>
    <w:p>
      <w:pPr>
        <w:spacing w:before="240"/>
        <w:rPr>
          <w:lang w:val="en-GB"/>
        </w:rPr>
      </w:pPr>
      <w:r>
        <w:rPr>
          <w:lang w:val="en-GB"/>
        </w:rPr>
        <w:t xml:space="preserve">The HR manager can enhance relations with employees with the development of the managing equality area. HR enables Unilever to get most of its workforce and have a wide range of skills to perform in the workplace with the core HR functions. Diversity and inclusion training is a good idea for managers in the workplace to put paper policies in real-life scenarios and get the benefits of team working. The improved area of diversity can mitigate the efforts of the managers in the workplace (Zeebaree </w:t>
      </w:r>
      <w:r>
        <w:rPr>
          <w:i/>
          <w:lang w:val="en-GB"/>
        </w:rPr>
        <w:t>et al</w:t>
      </w:r>
      <w:r>
        <w:rPr>
          <w:lang w:val="en-GB"/>
        </w:rPr>
        <w:t>. 2019). In order to improve the clarifying hiring practices, HR managers need to develop these priority areas. </w:t>
      </w:r>
    </w:p>
    <w:p>
      <w:pPr>
        <w:spacing w:before="240"/>
        <w:rPr>
          <w:lang w:val="en-GB"/>
        </w:rPr>
      </w:pPr>
      <w:r>
        <w:rPr>
          <w:lang w:val="en-GB"/>
        </w:rPr>
        <w:t xml:space="preserve">The creation of the HR strategy can improve the operations of the workplace, which helps Unilever to identify the engagement of employees. This method of business is improving the track of business and interactions with the other members. As per the view of McCartney </w:t>
      </w:r>
      <w:r>
        <w:rPr>
          <w:i/>
          <w:lang w:val="en-GB"/>
        </w:rPr>
        <w:t>et al</w:t>
      </w:r>
      <w:r>
        <w:rPr>
          <w:lang w:val="en-GB"/>
        </w:rPr>
        <w:t xml:space="preserve">. (2021), the digitalisation of HR systems has driven the widespread adoption of information technology with a significant contribution to the business. Unilever can improve the operational efficiency of the firm with the active working performance of the employees. The HR manager can improve the skills of employees with motivation and management of equality.  </w:t>
      </w:r>
    </w:p>
    <w:p>
      <w:pPr>
        <w:pStyle w:val="3"/>
        <w:rPr>
          <w:lang w:val="en-GB"/>
        </w:rPr>
      </w:pPr>
      <w:bookmarkStart w:id="7" w:name="_Toc130290750"/>
      <w:r>
        <w:rPr>
          <w:lang w:val="en-GB"/>
        </w:rPr>
        <w:t>3.3 Current shortfalls of priority area</w:t>
      </w:r>
      <w:bookmarkEnd w:id="7"/>
    </w:p>
    <w:p>
      <w:pPr>
        <w:rPr>
          <w:rFonts w:cs="Times New Roman"/>
          <w:lang w:val="en-GB"/>
        </w:rPr>
      </w:pPr>
      <w:r>
        <w:rPr>
          <w:rFonts w:cs="Times New Roman"/>
          <w:lang w:val="en-GB"/>
        </w:rPr>
        <w:t xml:space="preserve">Unilever in the UK deals with many challenges in managing equality, diversity and equity that support individual employees to share views and promote cultural awareness. As argued by </w:t>
      </w:r>
      <w:r>
        <w:rPr>
          <w:rFonts w:cs="Times New Roman"/>
          <w:color w:val="000000" w:themeColor="text1"/>
          <w:sz w:val="22"/>
          <w:szCs w:val="20"/>
          <w:shd w:val="clear" w:color="auto" w:fill="FFFFFF"/>
          <w:lang w:val="en-GB"/>
        </w:rPr>
        <w:t>Lieu</w:t>
      </w:r>
      <w:r>
        <w:rPr>
          <w:rFonts w:cs="Times New Roman"/>
          <w:lang w:val="en-GB"/>
        </w:rPr>
        <w:t xml:space="preserve"> </w:t>
      </w:r>
      <w:r>
        <w:rPr>
          <w:rFonts w:cs="Times New Roman"/>
          <w:i/>
          <w:lang w:val="en-GB"/>
        </w:rPr>
        <w:t>et al.</w:t>
      </w:r>
      <w:r>
        <w:rPr>
          <w:rFonts w:cs="Times New Roman"/>
          <w:lang w:val="en-GB"/>
        </w:rPr>
        <w:t xml:space="preserve"> (2021), there are many key issues that the brand faces while implementing diversity in the workplace. All these things include building an environment where each employee works in a comfortable position and respected others. The market analysis finds that hiring a diverse workforce in Unilever's culture has become a top priority for higher authorities. As per the views of </w:t>
      </w:r>
      <w:r>
        <w:rPr>
          <w:rFonts w:cs="Times New Roman"/>
          <w:color w:val="000000" w:themeColor="text1"/>
          <w:sz w:val="22"/>
          <w:szCs w:val="20"/>
          <w:shd w:val="clear" w:color="auto" w:fill="FFFFFF"/>
          <w:lang w:val="en-GB"/>
        </w:rPr>
        <w:t>Gorvie</w:t>
      </w:r>
      <w:r>
        <w:rPr>
          <w:rFonts w:cs="Times New Roman"/>
          <w:lang w:val="en-GB"/>
        </w:rPr>
        <w:t xml:space="preserve"> (2019), it is a feature of the pure legal requirements that assists the business to make an essential business model. Along with this, it can state that diversity has evolved in these competitive markets to make the business imperative. Moreover, it can state that the challenge of moving beyond diversity to inclusion also forces the firm to manage a variety of shortfalls.</w:t>
      </w:r>
    </w:p>
    <w:p>
      <w:pPr>
        <w:spacing w:before="240"/>
        <w:rPr>
          <w:rFonts w:cs="Times New Roman"/>
          <w:lang w:val="en-GB"/>
        </w:rPr>
      </w:pPr>
      <w:r>
        <w:rPr>
          <w:rFonts w:cs="Times New Roman"/>
          <w:lang w:val="en-GB"/>
        </w:rPr>
        <w:t xml:space="preserve">In this case, scenario, it seems that the most priority area of Unilever is </w:t>
      </w:r>
      <w:r>
        <w:rPr>
          <w:rStyle w:val="16"/>
          <w:rFonts w:cs="Times New Roman"/>
          <w:lang w:val="en-GB"/>
        </w:rPr>
        <w:t>"managing equality, diversity and equity"</w:t>
      </w:r>
      <w:r>
        <w:rPr>
          <w:rFonts w:cs="Times New Roman"/>
          <w:lang w:val="en-GB"/>
        </w:rPr>
        <w:t xml:space="preserve">, which deals with many shortfalls to become a successful workplace. In order to maintain diversity in workplace structure need to maintain spiritual, cultural and political beliefs. As stated by </w:t>
      </w:r>
      <w:r>
        <w:rPr>
          <w:rFonts w:cs="Times New Roman"/>
          <w:color w:val="000000" w:themeColor="text1"/>
          <w:sz w:val="22"/>
          <w:szCs w:val="20"/>
          <w:shd w:val="clear" w:color="auto" w:fill="FFFFFF"/>
          <w:lang w:val="en-GB"/>
        </w:rPr>
        <w:t>Osho</w:t>
      </w:r>
      <w:r>
        <w:rPr>
          <w:rFonts w:cs="Times New Roman"/>
          <w:lang w:val="en-GB"/>
        </w:rPr>
        <w:t xml:space="preserve"> (2022), most of the time these things pose a challenge in a diverse workplace and workers need to remember that they do not force others to focus on their beliefs. After analysing Unilever's workplace structure, it seems that a fundamental value of the firm contributes to the success of workplace diversity and shows respect to workers and employees. Another side it seems that, non-acceptance of different cultures and beliefs among workers can lead to conflict (</w:t>
      </w:r>
      <w:r>
        <w:rPr>
          <w:rFonts w:cs="Times New Roman"/>
          <w:color w:val="000000" w:themeColor="text1"/>
          <w:szCs w:val="20"/>
          <w:shd w:val="clear" w:color="auto" w:fill="FFFFFF"/>
          <w:lang w:val="en-GB"/>
        </w:rPr>
        <w:t>Baragiola</w:t>
      </w:r>
      <w:r>
        <w:rPr>
          <w:rFonts w:cs="Times New Roman"/>
          <w:color w:val="000000" w:themeColor="text1"/>
          <w:sz w:val="22"/>
          <w:szCs w:val="20"/>
          <w:shd w:val="clear" w:color="auto" w:fill="FFFFFF"/>
          <w:lang w:val="en-GB"/>
        </w:rPr>
        <w:t xml:space="preserve"> and Mauri</w:t>
      </w:r>
      <w:r>
        <w:rPr>
          <w:rFonts w:cs="Times New Roman"/>
          <w:color w:val="000000" w:themeColor="text1"/>
          <w:szCs w:val="20"/>
          <w:shd w:val="clear" w:color="auto" w:fill="FFFFFF"/>
          <w:lang w:val="en-GB"/>
        </w:rPr>
        <w:t>, 2022)</w:t>
      </w:r>
      <w:r>
        <w:rPr>
          <w:rFonts w:cs="Times New Roman"/>
          <w:lang w:val="en-GB"/>
        </w:rPr>
        <w:t>. Business professionals state that acceptance in the company culture promotes mutual respect, which also assists to prevents conflict. Diversity in training and workplace management, support employees to understand, accept and respect individuals' differences.</w:t>
      </w:r>
    </w:p>
    <w:p>
      <w:pPr>
        <w:spacing w:before="240"/>
        <w:rPr>
          <w:rFonts w:cs="Times New Roman"/>
          <w:b/>
          <w:sz w:val="36"/>
          <w:lang w:val="en-GB"/>
        </w:rPr>
      </w:pPr>
      <w:r>
        <w:rPr>
          <w:rFonts w:cs="Times New Roman"/>
          <w:lang w:val="en-GB"/>
        </w:rPr>
        <w:t>According to a recent market investigation, it finds that 40% of workers in Unilever believe that in order to maintain workplace diversity the brand would hire men over women (Unilever, 2023). This is also identified by another investigation, that men have more than 30% chances to be promoted compared to women in managerial positions. Along with this, it finds that older generations of employees may find it difficult to adapt to the changes in the workplace and work culture that bring by younger generations.</w:t>
      </w:r>
    </w:p>
    <w:p>
      <w:pPr>
        <w:pStyle w:val="3"/>
        <w:rPr>
          <w:lang w:val="en-GB"/>
        </w:rPr>
      </w:pPr>
      <w:bookmarkStart w:id="8" w:name="_Toc130290751"/>
      <w:r>
        <w:rPr>
          <w:lang w:val="en-GB"/>
        </w:rPr>
        <w:t>3.4 Impact of this deficiency on the performance of organisation</w:t>
      </w:r>
      <w:bookmarkEnd w:id="8"/>
    </w:p>
    <w:p>
      <w:pPr>
        <w:spacing w:before="240"/>
        <w:rPr>
          <w:rFonts w:cs="Times New Roman"/>
          <w:lang w:val="en-GB"/>
        </w:rPr>
      </w:pPr>
      <w:r>
        <w:rPr>
          <w:rFonts w:cs="Times New Roman"/>
          <w:lang w:val="en-GB"/>
        </w:rPr>
        <w:t xml:space="preserve">Poor workplace design and structure result negatively in the performance of the organisation. As suggested by </w:t>
      </w:r>
      <w:r>
        <w:rPr>
          <w:rFonts w:cs="Times New Roman"/>
          <w:color w:val="000000" w:themeColor="text1"/>
          <w:sz w:val="22"/>
          <w:szCs w:val="20"/>
          <w:shd w:val="clear" w:color="auto" w:fill="FFFFFF"/>
          <w:lang w:val="en-GB"/>
        </w:rPr>
        <w:t>Craven-Matthews</w:t>
      </w:r>
      <w:r>
        <w:rPr>
          <w:rFonts w:cs="Times New Roman"/>
          <w:lang w:val="en-GB"/>
        </w:rPr>
        <w:t xml:space="preserve"> </w:t>
      </w:r>
      <w:r>
        <w:rPr>
          <w:rFonts w:cs="Times New Roman"/>
          <w:i/>
          <w:lang w:val="en-GB"/>
        </w:rPr>
        <w:t>et al.</w:t>
      </w:r>
      <w:r>
        <w:rPr>
          <w:rFonts w:cs="Times New Roman"/>
          <w:lang w:val="en-GB"/>
        </w:rPr>
        <w:t xml:space="preserve"> (2021), the deficiency of poor performance, weak time management, improper scheduling, and workplace diversity bring necessary issues and complexity to Unilever's manager. In this scenario, it seems that employee education, workforce planning, training, and career management, hiring policies within the firm, influence organisational performance. Additionally, technology, organizational policies, purchased materials, and inflation indirectly affects organizational performance (</w:t>
      </w:r>
      <w:r>
        <w:rPr>
          <w:rFonts w:cs="Times New Roman"/>
          <w:color w:val="000000" w:themeColor="text1"/>
          <w:sz w:val="22"/>
          <w:szCs w:val="20"/>
          <w:shd w:val="clear" w:color="auto" w:fill="FFFFFF"/>
          <w:lang w:val="en-GB"/>
        </w:rPr>
        <w:t>Gümüş</w:t>
      </w:r>
      <w:r>
        <w:rPr>
          <w:rFonts w:cs="Times New Roman"/>
          <w:color w:val="000000" w:themeColor="text1"/>
          <w:szCs w:val="20"/>
          <w:shd w:val="clear" w:color="auto" w:fill="FFFFFF"/>
          <w:lang w:val="en-GB"/>
        </w:rPr>
        <w:t xml:space="preserve"> </w:t>
      </w:r>
      <w:r>
        <w:rPr>
          <w:rFonts w:cs="Times New Roman"/>
          <w:i/>
          <w:color w:val="000000" w:themeColor="text1"/>
          <w:szCs w:val="20"/>
          <w:shd w:val="clear" w:color="auto" w:fill="FFFFFF"/>
          <w:lang w:val="en-GB"/>
        </w:rPr>
        <w:t>et al.</w:t>
      </w:r>
      <w:r>
        <w:rPr>
          <w:rFonts w:cs="Times New Roman"/>
          <w:color w:val="000000" w:themeColor="text1"/>
          <w:szCs w:val="20"/>
          <w:shd w:val="clear" w:color="auto" w:fill="FFFFFF"/>
          <w:lang w:val="en-GB"/>
        </w:rPr>
        <w:t xml:space="preserve"> 2021)</w:t>
      </w:r>
      <w:r>
        <w:rPr>
          <w:rFonts w:cs="Times New Roman"/>
          <w:lang w:val="en-GB"/>
        </w:rPr>
        <w:t>. Market analysis on the deficiency of organisations shows that performance barriers include the impact on customer service standards, minimum productivity and more. Organizational performance must focus on working people, human resources, working process, and employees' training, skills and abilities.</w:t>
      </w:r>
    </w:p>
    <w:p>
      <w:pPr>
        <w:rPr>
          <w:rFonts w:cs="Times New Roman"/>
          <w:lang w:val="en-GB"/>
        </w:rPr>
      </w:pPr>
      <w:r>
        <w:rPr>
          <w:rFonts w:cs="Times New Roman"/>
          <w:lang w:val="en-GB"/>
        </w:rPr>
        <w:t>Unilever in the UK faces the challenge of helping employees to improve their skills and autonomy in this changing environment and find security and support. In order to operate effectively, the brand must retain, attract, motivate, influence, and effectively utilize the most talented people on its platform (</w:t>
      </w:r>
      <w:r>
        <w:rPr>
          <w:rFonts w:cs="Times New Roman"/>
          <w:color w:val="000000" w:themeColor="text1"/>
          <w:sz w:val="22"/>
          <w:szCs w:val="20"/>
          <w:shd w:val="clear" w:color="auto" w:fill="FFFFFF"/>
          <w:lang w:val="en-GB"/>
        </w:rPr>
        <w:t>Karakhan</w:t>
      </w:r>
      <w:r>
        <w:rPr>
          <w:rFonts w:cs="Times New Roman"/>
          <w:color w:val="000000" w:themeColor="text1"/>
          <w:szCs w:val="20"/>
          <w:shd w:val="clear" w:color="auto" w:fill="FFFFFF"/>
          <w:lang w:val="en-GB"/>
        </w:rPr>
        <w:t xml:space="preserve"> </w:t>
      </w:r>
      <w:r>
        <w:rPr>
          <w:rFonts w:cs="Times New Roman"/>
          <w:i/>
          <w:color w:val="000000" w:themeColor="text1"/>
          <w:szCs w:val="20"/>
          <w:shd w:val="clear" w:color="auto" w:fill="FFFFFF"/>
          <w:lang w:val="en-GB"/>
        </w:rPr>
        <w:t>et al.</w:t>
      </w:r>
      <w:r>
        <w:rPr>
          <w:rFonts w:cs="Times New Roman"/>
          <w:color w:val="000000" w:themeColor="text1"/>
          <w:szCs w:val="20"/>
          <w:shd w:val="clear" w:color="auto" w:fill="FFFFFF"/>
          <w:lang w:val="en-GB"/>
        </w:rPr>
        <w:t xml:space="preserve"> 2021)</w:t>
      </w:r>
      <w:r>
        <w:rPr>
          <w:rFonts w:cs="Times New Roman"/>
          <w:lang w:val="en-GB"/>
        </w:rPr>
        <w:t xml:space="preserve">. Factors that include working risk management influence the multidivisional structure of the organisation. </w:t>
      </w:r>
      <w:r>
        <w:rPr>
          <w:rStyle w:val="16"/>
          <w:rFonts w:cs="Times New Roman"/>
          <w:lang w:val="en-GB"/>
        </w:rPr>
        <w:t xml:space="preserve">"Managerial practices related to strategies", "innovation and development", "performance measurement", supply chain quality management", "corporate governance", </w:t>
      </w:r>
      <w:r>
        <w:rPr>
          <w:rFonts w:cs="Times New Roman"/>
          <w:lang w:val="en-GB"/>
        </w:rPr>
        <w:t xml:space="preserve">and </w:t>
      </w:r>
      <w:r>
        <w:rPr>
          <w:rStyle w:val="16"/>
          <w:rFonts w:cs="Times New Roman"/>
          <w:lang w:val="en-GB"/>
        </w:rPr>
        <w:t>"knowledge creation"</w:t>
      </w:r>
      <w:r>
        <w:rPr>
          <w:rFonts w:cs="Times New Roman"/>
          <w:lang w:val="en-GB"/>
        </w:rPr>
        <w:t xml:space="preserve"> are the function that left a significant impact on the performance of the organisation. Business professionals of Unilever are often interconnected to the fact of effective workplace systems to solve performance-related issues at their platform (</w:t>
      </w:r>
      <w:r>
        <w:rPr>
          <w:rFonts w:cs="Times New Roman"/>
          <w:color w:val="000000" w:themeColor="text1"/>
          <w:sz w:val="22"/>
          <w:szCs w:val="20"/>
          <w:shd w:val="clear" w:color="auto" w:fill="FFFFFF"/>
          <w:lang w:val="en-GB"/>
        </w:rPr>
        <w:t>Mayer</w:t>
      </w:r>
      <w:r>
        <w:rPr>
          <w:rFonts w:cs="Times New Roman"/>
          <w:color w:val="000000" w:themeColor="text1"/>
          <w:szCs w:val="20"/>
          <w:shd w:val="clear" w:color="auto" w:fill="FFFFFF"/>
          <w:lang w:val="en-GB"/>
        </w:rPr>
        <w:t xml:space="preserve"> </w:t>
      </w:r>
      <w:r>
        <w:rPr>
          <w:rFonts w:cs="Times New Roman"/>
          <w:i/>
          <w:color w:val="000000" w:themeColor="text1"/>
          <w:szCs w:val="20"/>
          <w:shd w:val="clear" w:color="auto" w:fill="FFFFFF"/>
          <w:lang w:val="en-GB"/>
        </w:rPr>
        <w:t>et al.</w:t>
      </w:r>
      <w:r>
        <w:rPr>
          <w:rFonts w:cs="Times New Roman"/>
          <w:color w:val="000000" w:themeColor="text1"/>
          <w:szCs w:val="20"/>
          <w:shd w:val="clear" w:color="auto" w:fill="FFFFFF"/>
          <w:lang w:val="en-GB"/>
        </w:rPr>
        <w:t xml:space="preserve"> 2019)</w:t>
      </w:r>
      <w:r>
        <w:rPr>
          <w:rFonts w:cs="Times New Roman"/>
          <w:lang w:val="en-GB"/>
        </w:rPr>
        <w:t>. However, Unilever maintains "</w:t>
      </w:r>
      <w:r>
        <w:rPr>
          <w:rStyle w:val="16"/>
          <w:rFonts w:cs="Times New Roman"/>
          <w:lang w:val="en-GB"/>
        </w:rPr>
        <w:t>equality, diversity and equity"</w:t>
      </w:r>
      <w:r>
        <w:rPr>
          <w:rFonts w:cs="Times New Roman"/>
          <w:lang w:val="en-GB"/>
        </w:rPr>
        <w:t xml:space="preserve"> in their working environment, organisational performance is influenced greatly at this competitive market.</w:t>
      </w:r>
    </w:p>
    <w:p>
      <w:pPr>
        <w:spacing w:before="240"/>
        <w:rPr>
          <w:rFonts w:cs="Times New Roman"/>
          <w:b/>
          <w:sz w:val="36"/>
          <w:lang w:val="en-GB"/>
        </w:rPr>
      </w:pPr>
      <w:r>
        <w:rPr>
          <w:rFonts w:cs="Times New Roman"/>
          <w:lang w:val="en-GB"/>
        </w:rPr>
        <w:t xml:space="preserve">There are also some different factors including </w:t>
      </w:r>
      <w:r>
        <w:rPr>
          <w:rStyle w:val="16"/>
          <w:rFonts w:cs="Times New Roman"/>
          <w:lang w:val="en-GB"/>
        </w:rPr>
        <w:t>slow responses to employee needs, excessive visiting, misuse of sick leaves, and more influence</w:t>
      </w:r>
      <w:r>
        <w:rPr>
          <w:rFonts w:cs="Times New Roman"/>
          <w:lang w:val="en-GB"/>
        </w:rPr>
        <w:t xml:space="preserve"> on the performance of Unilever (</w:t>
      </w:r>
      <w:r>
        <w:rPr>
          <w:rFonts w:cs="Times New Roman"/>
          <w:spacing w:val="-2"/>
          <w:szCs w:val="18"/>
          <w:lang w:val="en-GB"/>
        </w:rPr>
        <w:t>Cook, 2016)</w:t>
      </w:r>
      <w:r>
        <w:rPr>
          <w:rFonts w:cs="Times New Roman"/>
          <w:lang w:val="en-GB"/>
        </w:rPr>
        <w:t xml:space="preserve">. On the other hand, </w:t>
      </w:r>
      <w:r>
        <w:rPr>
          <w:rFonts w:cs="Times New Roman"/>
          <w:i/>
          <w:lang w:val="en-GB"/>
        </w:rPr>
        <w:t xml:space="preserve">the size of the brand, the total assets of the organisation, production ratio, and level of earnings </w:t>
      </w:r>
      <w:r>
        <w:rPr>
          <w:rFonts w:cs="Times New Roman"/>
          <w:lang w:val="en-GB"/>
        </w:rPr>
        <w:t>and</w:t>
      </w:r>
      <w:r>
        <w:rPr>
          <w:rFonts w:cs="Times New Roman"/>
          <w:i/>
          <w:lang w:val="en-GB"/>
        </w:rPr>
        <w:t xml:space="preserve"> availability of comfortable working capital</w:t>
      </w:r>
      <w:r>
        <w:rPr>
          <w:rFonts w:cs="Times New Roman"/>
          <w:lang w:val="en-GB"/>
        </w:rPr>
        <w:t xml:space="preserve"> highly affects Unilever's culture and market reputation. In order to perform effectively in this competitive market Unilever needs to attract the most talented employees including both men and women to their platform (</w:t>
      </w:r>
      <w:r>
        <w:rPr>
          <w:rFonts w:cs="Times New Roman"/>
          <w:color w:val="000000" w:themeColor="text1"/>
          <w:sz w:val="22"/>
          <w:szCs w:val="20"/>
          <w:shd w:val="clear" w:color="auto" w:fill="FFFFFF"/>
          <w:lang w:val="en-GB"/>
        </w:rPr>
        <w:t>Blessett</w:t>
      </w:r>
      <w:r>
        <w:rPr>
          <w:rFonts w:cs="Times New Roman"/>
          <w:color w:val="000000" w:themeColor="text1"/>
          <w:szCs w:val="20"/>
          <w:shd w:val="clear" w:color="auto" w:fill="FFFFFF"/>
          <w:lang w:val="en-GB"/>
        </w:rPr>
        <w:t xml:space="preserve"> </w:t>
      </w:r>
      <w:r>
        <w:rPr>
          <w:rFonts w:cs="Times New Roman"/>
          <w:i/>
          <w:color w:val="000000" w:themeColor="text1"/>
          <w:szCs w:val="20"/>
          <w:shd w:val="clear" w:color="auto" w:fill="FFFFFF"/>
          <w:lang w:val="en-GB"/>
        </w:rPr>
        <w:t>et al.</w:t>
      </w:r>
      <w:r>
        <w:rPr>
          <w:rFonts w:cs="Times New Roman"/>
          <w:color w:val="000000" w:themeColor="text1"/>
          <w:szCs w:val="20"/>
          <w:shd w:val="clear" w:color="auto" w:fill="FFFFFF"/>
          <w:lang w:val="en-GB"/>
        </w:rPr>
        <w:t xml:space="preserve"> 2019)</w:t>
      </w:r>
      <w:r>
        <w:rPr>
          <w:rFonts w:cs="Times New Roman"/>
          <w:lang w:val="en-GB"/>
        </w:rPr>
        <w:t xml:space="preserve">. Limits include </w:t>
      </w:r>
      <w:r>
        <w:rPr>
          <w:rFonts w:cs="Times New Roman"/>
          <w:b/>
          <w:i/>
          <w:lang w:val="en-GB"/>
        </w:rPr>
        <w:t xml:space="preserve">technical limits, administrative limits, financial limits, </w:t>
      </w:r>
      <w:r>
        <w:rPr>
          <w:rFonts w:cs="Times New Roman"/>
          <w:lang w:val="en-GB"/>
        </w:rPr>
        <w:t>and</w:t>
      </w:r>
      <w:r>
        <w:rPr>
          <w:rFonts w:cs="Times New Roman"/>
          <w:b/>
          <w:i/>
          <w:lang w:val="en-GB"/>
        </w:rPr>
        <w:t xml:space="preserve"> innovation limits</w:t>
      </w:r>
      <w:r>
        <w:rPr>
          <w:rFonts w:cs="Times New Roman"/>
          <w:lang w:val="en-GB"/>
        </w:rPr>
        <w:t xml:space="preserve"> are the function that influences workplace performance.</w:t>
      </w:r>
    </w:p>
    <w:p>
      <w:pPr>
        <w:pStyle w:val="3"/>
        <w:rPr>
          <w:lang w:val="en-GB"/>
        </w:rPr>
      </w:pPr>
      <w:bookmarkStart w:id="9" w:name="_Toc130290752"/>
      <w:r>
        <w:rPr>
          <w:lang w:val="en-GB"/>
        </w:rPr>
        <w:t>3.5 Benefits of improving this priority area for the organisation, the employees and other organisational stakeholders</w:t>
      </w:r>
      <w:bookmarkEnd w:id="9"/>
    </w:p>
    <w:p>
      <w:pPr>
        <w:spacing w:before="240"/>
        <w:rPr>
          <w:rFonts w:cs="Times New Roman"/>
          <w:lang w:val="en-GB"/>
        </w:rPr>
      </w:pPr>
      <w:r>
        <w:rPr>
          <w:rFonts w:cs="Times New Roman"/>
          <w:lang w:val="en-GB"/>
        </w:rPr>
        <w:t>There are many benefits that Unilever faced due to "managing </w:t>
      </w:r>
      <w:r>
        <w:rPr>
          <w:rStyle w:val="16"/>
          <w:rFonts w:cs="Times New Roman"/>
          <w:lang w:val="en-GB"/>
        </w:rPr>
        <w:t>equality, diversity and equity"</w:t>
      </w:r>
      <w:r>
        <w:rPr>
          <w:rFonts w:cs="Times New Roman"/>
          <w:lang w:val="en-GB"/>
        </w:rPr>
        <w:t> at their workplace structure. Business professionals of the brand believe that, however, employees feel that their ideas, contributions, and presence are getting valued at their workplace, which motivates them to bring improvements to their thinking process. In order to manage equality higher authorities of Unilever bring technological and social changes to change the landscape of all business operations (</w:t>
      </w:r>
      <w:r>
        <w:rPr>
          <w:rFonts w:cs="Times New Roman"/>
          <w:szCs w:val="18"/>
          <w:lang w:val="en-GB"/>
        </w:rPr>
        <w:t>Laroche and Rutherford</w:t>
      </w:r>
      <w:r>
        <w:rPr>
          <w:rFonts w:cs="Times New Roman"/>
          <w:i/>
          <w:color w:val="000000" w:themeColor="text1"/>
          <w:szCs w:val="20"/>
          <w:shd w:val="clear" w:color="auto" w:fill="FFFFFF"/>
          <w:lang w:val="en-GB"/>
        </w:rPr>
        <w:t xml:space="preserve">, </w:t>
      </w:r>
      <w:r>
        <w:rPr>
          <w:rFonts w:cs="Times New Roman"/>
          <w:color w:val="000000" w:themeColor="text1"/>
          <w:szCs w:val="20"/>
          <w:shd w:val="clear" w:color="auto" w:fill="FFFFFF"/>
          <w:lang w:val="en-GB"/>
        </w:rPr>
        <w:t>2007)</w:t>
      </w:r>
      <w:r>
        <w:rPr>
          <w:rFonts w:cs="Times New Roman"/>
          <w:lang w:val="en-GB"/>
        </w:rPr>
        <w:t>. After analysing the full potential of new-age technology, employees automatically increase agility and ingenuity to resolve the challenges of an increasingly demanding in this competitive market. The advantages of improving diversity must exercise human judgment and empathy for all employees' passion, and creativity that builds a positive working environment. </w:t>
      </w:r>
      <w:bookmarkStart w:id="15" w:name="_GoBack"/>
      <w:bookmarkEnd w:id="15"/>
    </w:p>
    <w:p>
      <w:pPr>
        <w:spacing w:before="240"/>
        <w:rPr>
          <w:rFonts w:cs="Times New Roman"/>
          <w:lang w:val="en-GB"/>
        </w:rPr>
      </w:pPr>
      <w:r>
        <w:rPr>
          <w:rFonts w:cs="Times New Roman"/>
          <w:lang w:val="en-GB"/>
        </w:rPr>
        <w:t xml:space="preserve">Benefits that Unilever get after managing equality include "making the organisation more populated and successful", "serving a large range of customers", "improving problem-solving ideas", "keeping employees motivated “, “preventing issues like bullying, discrimination and harassment". As per the views of </w:t>
      </w:r>
      <w:r>
        <w:rPr>
          <w:rFonts w:cs="Times New Roman"/>
          <w:color w:val="000000" w:themeColor="text1"/>
          <w:sz w:val="22"/>
          <w:szCs w:val="20"/>
          <w:shd w:val="clear" w:color="auto" w:fill="FFFFFF"/>
          <w:lang w:val="en-GB"/>
        </w:rPr>
        <w:t>Hays-Thomas</w:t>
      </w:r>
      <w:r>
        <w:rPr>
          <w:rFonts w:cs="Times New Roman"/>
          <w:lang w:val="en-GB"/>
        </w:rPr>
        <w:t xml:space="preserve"> (2022), in recent times workplace is more diverse and globally connected to different brands than ever before, which needs to hold equity at its platform. After analysing the complexity of today's work environment, leaders of Unilever must grasp collective surveillance to increase the potential of each individual. As argued by </w:t>
      </w:r>
      <w:r>
        <w:rPr>
          <w:rFonts w:cs="Times New Roman"/>
          <w:spacing w:val="-1"/>
          <w:szCs w:val="18"/>
          <w:lang w:val="en-GB"/>
        </w:rPr>
        <w:t>Edwards and Rees</w:t>
      </w:r>
      <w:r>
        <w:rPr>
          <w:rFonts w:cs="Times New Roman"/>
          <w:i/>
          <w:lang w:val="en-GB"/>
        </w:rPr>
        <w:t xml:space="preserve">, </w:t>
      </w:r>
      <w:r>
        <w:rPr>
          <w:rFonts w:cs="Times New Roman"/>
          <w:lang w:val="en-GB"/>
        </w:rPr>
        <w:t>(2016), maintaining equality in the workplace states it is essential to provide fair job opportunities to candidates based on their technical and educational skills. Another side, being an inclusive workplace Unilever not only has diverse employees but also maintains a diverse workplace management structure, that supports influencing employees to improve their designation.</w:t>
      </w:r>
    </w:p>
    <w:p>
      <w:pPr>
        <w:spacing w:before="240"/>
        <w:rPr>
          <w:rFonts w:cs="Times New Roman"/>
          <w:b/>
          <w:sz w:val="36"/>
          <w:lang w:val="en-GB"/>
        </w:rPr>
      </w:pPr>
      <w:r>
        <w:rPr>
          <w:rFonts w:cs="Times New Roman"/>
          <w:lang w:val="en-GB"/>
        </w:rPr>
        <w:t xml:space="preserve">Focus on "diversity, equity and equality" connect companies with a broad applicant base, which has the potential to hire new candidates. </w:t>
      </w:r>
      <w:r>
        <w:rPr>
          <w:rFonts w:cs="Times New Roman"/>
          <w:color w:val="000000" w:themeColor="text1"/>
          <w:sz w:val="22"/>
          <w:szCs w:val="20"/>
          <w:shd w:val="clear" w:color="auto" w:fill="FFFFFF"/>
          <w:lang w:val="en-GB"/>
        </w:rPr>
        <w:t>Saunders</w:t>
      </w:r>
      <w:r>
        <w:rPr>
          <w:rFonts w:cs="Times New Roman"/>
          <w:lang w:val="en-GB"/>
        </w:rPr>
        <w:t xml:space="preserve"> </w:t>
      </w:r>
      <w:r>
        <w:rPr>
          <w:rFonts w:cs="Times New Roman"/>
          <w:i/>
          <w:lang w:val="en-GB"/>
        </w:rPr>
        <w:t>et al.</w:t>
      </w:r>
      <w:r>
        <w:rPr>
          <w:rFonts w:cs="Times New Roman"/>
          <w:lang w:val="en-GB"/>
        </w:rPr>
        <w:t xml:space="preserve"> (2020) stated that managing diversity is considered a smart business move that capitalises on the competitive advantage of a growing applicant base. The goal of all these priorities is to provide a consistent and reliable work experience to each worker and analyse what they do for the firm.</w:t>
      </w:r>
    </w:p>
    <w:p>
      <w:pPr>
        <w:pStyle w:val="2"/>
        <w:rPr>
          <w:lang w:val="en-GB"/>
        </w:rPr>
      </w:pPr>
      <w:bookmarkStart w:id="10" w:name="_Toc130290753"/>
      <w:r>
        <w:rPr>
          <w:lang w:val="en-GB"/>
        </w:rPr>
        <w:t>4.0 Conclusions</w:t>
      </w:r>
      <w:bookmarkEnd w:id="10"/>
    </w:p>
    <w:p>
      <w:pPr>
        <w:rPr>
          <w:rFonts w:cs="Times New Roman"/>
          <w:b/>
          <w:sz w:val="32"/>
          <w:lang w:val="en-GB"/>
        </w:rPr>
      </w:pPr>
      <w:r>
        <w:rPr>
          <w:rFonts w:cs="Times New Roman"/>
          <w:lang w:val="en-GB"/>
        </w:rPr>
        <w:t>After analysing the workplace diversity, equality and equity of Unilever, it can be concluded that all these functions are very effective in holding the company's reputation and improving annual revenue in this global world. The study suggests that with the improvement of workplace diversity Unilever brand managers can set clear goals for eliminating discrimination in different areas. Along with this, it identifies that maintaining diversity and equality is more effective to make the business stronger in this socially inclusive world. All these functions provide opportunities for candidates to manage different cultures in this competitive world. Moreover, it seems those to promote diversity in the workplace managers need to be aware of unconscious bias and promote pay equity.</w:t>
      </w:r>
    </w:p>
    <w:p>
      <w:pPr>
        <w:pStyle w:val="2"/>
        <w:rPr>
          <w:lang w:val="en-GB"/>
        </w:rPr>
      </w:pPr>
      <w:bookmarkStart w:id="11" w:name="_Toc130290754"/>
      <w:r>
        <w:rPr>
          <w:lang w:val="en-GB"/>
        </w:rPr>
        <w:t>5.0 Recommendations</w:t>
      </w:r>
      <w:bookmarkEnd w:id="11"/>
    </w:p>
    <w:p>
      <w:pPr>
        <w:rPr>
          <w:rFonts w:cs="Times New Roman"/>
          <w:lang w:val="en-GB"/>
        </w:rPr>
      </w:pPr>
      <w:r>
        <w:rPr>
          <w:rFonts w:cs="Times New Roman"/>
          <w:lang w:val="en-GB"/>
        </w:rPr>
        <w:t>The market analysis on Unilever finds that the brand deals with the issues of managing sustainability, long-term impact of inflation, minimum employee motivation and more. Due to limited diversification, the brand did not make fast improvements in its production ratio, where other companies duplicate their goods (</w:t>
      </w:r>
      <w:r>
        <w:rPr>
          <w:rFonts w:cs="Times New Roman"/>
          <w:szCs w:val="18"/>
          <w:lang w:val="en-GB"/>
        </w:rPr>
        <w:t>Beardwell and Claydon</w:t>
      </w:r>
      <w:r>
        <w:rPr>
          <w:rFonts w:cs="Times New Roman"/>
          <w:color w:val="000000" w:themeColor="text1"/>
          <w:szCs w:val="20"/>
          <w:shd w:val="clear" w:color="auto" w:fill="FFFFFF"/>
          <w:lang w:val="en-GB"/>
        </w:rPr>
        <w:t>, 2017)</w:t>
      </w:r>
      <w:r>
        <w:rPr>
          <w:rFonts w:cs="Times New Roman"/>
          <w:lang w:val="en-GB"/>
        </w:rPr>
        <w:t>. The market analysis states that when it comes to inclusion, the business case needs to be clear as the moral case to individual employees. While many companies in the UK have been putting diversity, equity and equality as their focus, they also need significant improvement for involving in better problem-solving abilities (</w:t>
      </w:r>
      <w:r>
        <w:rPr>
          <w:rFonts w:cs="Times New Roman"/>
          <w:szCs w:val="18"/>
          <w:lang w:val="en-GB"/>
        </w:rPr>
        <w:t>Gold</w:t>
      </w:r>
      <w:r>
        <w:rPr>
          <w:rFonts w:cs="Times New Roman"/>
          <w:i/>
          <w:color w:val="000000" w:themeColor="text1"/>
          <w:szCs w:val="20"/>
          <w:shd w:val="clear" w:color="auto" w:fill="FFFFFF"/>
          <w:lang w:val="en-GB"/>
        </w:rPr>
        <w:t xml:space="preserve"> et al.</w:t>
      </w:r>
      <w:r>
        <w:rPr>
          <w:rFonts w:cs="Times New Roman"/>
          <w:color w:val="000000" w:themeColor="text1"/>
          <w:szCs w:val="20"/>
          <w:shd w:val="clear" w:color="auto" w:fill="FFFFFF"/>
          <w:lang w:val="en-GB"/>
        </w:rPr>
        <w:t xml:space="preserve"> 2013)</w:t>
      </w:r>
      <w:r>
        <w:rPr>
          <w:rFonts w:cs="Times New Roman"/>
          <w:lang w:val="en-GB"/>
        </w:rPr>
        <w:t>. Business professionals of the firm believe that promoting equity, diversity and equality has to strengthen of business.</w:t>
      </w:r>
    </w:p>
    <w:p>
      <w:pPr>
        <w:spacing w:before="240"/>
        <w:rPr>
          <w:lang w:val="en-GB"/>
        </w:rPr>
      </w:pPr>
      <w:r>
        <w:rPr>
          <w:lang w:val="en-GB"/>
        </w:rPr>
        <w:t>After analysing the above scenario it can be recommended that "making clear communication support workers to managing bias", "promoting pay equity", "facilitating ongoing feedback", "assessing firm policies", "mixing up team members", "developing strategic training program", and "influence employees to participate in business operations" are effective to reduce business threats. Moreover, it can suggest that hiring candidates from diverse backgrounds and promoting diversity initiatives support the brand to meet all levels of leadership (</w:t>
      </w:r>
      <w:r>
        <w:rPr>
          <w:szCs w:val="18"/>
          <w:lang w:val="en-GB"/>
        </w:rPr>
        <w:t>Laroche</w:t>
      </w:r>
      <w:r>
        <w:rPr>
          <w:rFonts w:cs="Times New Roman"/>
          <w:szCs w:val="18"/>
          <w:lang w:val="en-GB"/>
        </w:rPr>
        <w:t xml:space="preserve"> and Rutherford</w:t>
      </w:r>
      <w:r>
        <w:rPr>
          <w:color w:val="000000" w:themeColor="text1"/>
          <w:sz w:val="22"/>
          <w:szCs w:val="20"/>
          <w:shd w:val="clear" w:color="auto" w:fill="FFFFFF"/>
          <w:lang w:val="en-GB"/>
        </w:rPr>
        <w:t>, 2007)</w:t>
      </w:r>
      <w:r>
        <w:rPr>
          <w:lang w:val="en-GB"/>
        </w:rPr>
        <w:t>. Diversity, equity and equality need to achieve true workplace change, where companies must build an innovative workplace culture.</w:t>
      </w:r>
      <w:r>
        <w:rPr>
          <w:lang w:val="en-GB"/>
        </w:rPr>
        <w:br w:type="page"/>
      </w:r>
    </w:p>
    <w:p>
      <w:pPr>
        <w:pStyle w:val="2"/>
        <w:rPr>
          <w:lang w:val="en-GB"/>
        </w:rPr>
      </w:pPr>
      <w:bookmarkStart w:id="12" w:name="_Toc130290755"/>
      <w:r>
        <w:rPr>
          <w:lang w:val="en-GB"/>
        </w:rPr>
        <w:t>References list</w:t>
      </w:r>
      <w:bookmarkEnd w:id="12"/>
    </w:p>
    <w:p>
      <w:pPr>
        <w:spacing w:before="240"/>
        <w:rPr>
          <w:rFonts w:cs="Times New Roman"/>
          <w:b/>
          <w:color w:val="000000" w:themeColor="text1"/>
          <w:szCs w:val="20"/>
          <w:shd w:val="clear" w:color="auto" w:fill="FFFFFF"/>
        </w:rPr>
      </w:pPr>
      <w:r>
        <w:rPr>
          <w:rFonts w:cs="Times New Roman"/>
          <w:b/>
          <w:color w:val="000000" w:themeColor="text1"/>
          <w:szCs w:val="20"/>
          <w:shd w:val="clear" w:color="auto" w:fill="FFFFFF"/>
        </w:rPr>
        <w:t>Taken articles</w:t>
      </w:r>
    </w:p>
    <w:p>
      <w:pPr>
        <w:pStyle w:val="26"/>
        <w:spacing w:before="240" w:line="360" w:lineRule="auto"/>
        <w:jc w:val="both"/>
        <w:rPr>
          <w:rFonts w:ascii="Times New Roman" w:hAnsi="Times New Roman"/>
          <w:spacing w:val="-4"/>
          <w:szCs w:val="18"/>
        </w:rPr>
      </w:pPr>
      <w:r>
        <w:rPr>
          <w:rFonts w:ascii="Times New Roman" w:hAnsi="Times New Roman"/>
          <w:szCs w:val="18"/>
        </w:rPr>
        <w:t xml:space="preserve">Beardwell, J. and Claydon, T. (2017) </w:t>
      </w:r>
      <w:r>
        <w:rPr>
          <w:rFonts w:ascii="Times New Roman" w:hAnsi="Times New Roman"/>
          <w:i/>
          <w:iCs/>
          <w:szCs w:val="18"/>
        </w:rPr>
        <w:t>Human Resource Management: A Contemporary Approach</w:t>
      </w:r>
      <w:r>
        <w:rPr>
          <w:rFonts w:ascii="Times New Roman" w:hAnsi="Times New Roman"/>
          <w:szCs w:val="18"/>
        </w:rPr>
        <w:t>. 8</w:t>
      </w:r>
      <w:r>
        <w:rPr>
          <w:rFonts w:ascii="Times New Roman" w:hAnsi="Times New Roman"/>
          <w:szCs w:val="18"/>
          <w:vertAlign w:val="superscript"/>
        </w:rPr>
        <w:t>th</w:t>
      </w:r>
      <w:r>
        <w:rPr>
          <w:rFonts w:ascii="Times New Roman" w:hAnsi="Times New Roman"/>
          <w:szCs w:val="18"/>
        </w:rPr>
        <w:t xml:space="preserve"> Ed. Edinburgh: </w:t>
      </w:r>
      <w:r>
        <w:rPr>
          <w:rFonts w:ascii="Times New Roman" w:hAnsi="Times New Roman"/>
          <w:spacing w:val="-4"/>
          <w:szCs w:val="18"/>
        </w:rPr>
        <w:t xml:space="preserve">Financial Times Prentice Hall </w:t>
      </w:r>
    </w:p>
    <w:p>
      <w:pPr>
        <w:pStyle w:val="26"/>
        <w:spacing w:before="240" w:line="360" w:lineRule="auto"/>
        <w:jc w:val="both"/>
        <w:rPr>
          <w:rFonts w:ascii="Times New Roman" w:hAnsi="Times New Roman"/>
          <w:spacing w:val="-2"/>
          <w:szCs w:val="18"/>
        </w:rPr>
      </w:pPr>
      <w:r>
        <w:rPr>
          <w:rFonts w:ascii="Times New Roman" w:hAnsi="Times New Roman"/>
          <w:spacing w:val="-2"/>
          <w:szCs w:val="18"/>
        </w:rPr>
        <w:t xml:space="preserve">Cook, M. (2016) </w:t>
      </w:r>
      <w:r>
        <w:rPr>
          <w:rFonts w:ascii="Times New Roman" w:hAnsi="Times New Roman"/>
          <w:i/>
          <w:iCs/>
          <w:spacing w:val="-2"/>
          <w:szCs w:val="18"/>
        </w:rPr>
        <w:t>Personnel selection: adding value through people</w:t>
      </w:r>
      <w:r>
        <w:rPr>
          <w:rFonts w:ascii="Times New Roman" w:hAnsi="Times New Roman"/>
          <w:spacing w:val="-2"/>
          <w:szCs w:val="18"/>
        </w:rPr>
        <w:t>. 5</w:t>
      </w:r>
      <w:r>
        <w:rPr>
          <w:rFonts w:ascii="Times New Roman" w:hAnsi="Times New Roman"/>
          <w:spacing w:val="-2"/>
          <w:szCs w:val="18"/>
          <w:vertAlign w:val="superscript"/>
        </w:rPr>
        <w:t>th</w:t>
      </w:r>
      <w:r>
        <w:rPr>
          <w:rFonts w:ascii="Times New Roman" w:hAnsi="Times New Roman"/>
          <w:spacing w:val="-2"/>
          <w:szCs w:val="18"/>
        </w:rPr>
        <w:t xml:space="preserve"> Ed. Chichester: John Wiley.</w:t>
      </w:r>
    </w:p>
    <w:p>
      <w:pPr>
        <w:pStyle w:val="26"/>
        <w:spacing w:before="240" w:line="360" w:lineRule="auto"/>
        <w:jc w:val="both"/>
        <w:rPr>
          <w:rFonts w:ascii="Times New Roman" w:hAnsi="Times New Roman"/>
          <w:spacing w:val="-2"/>
          <w:szCs w:val="18"/>
        </w:rPr>
      </w:pPr>
      <w:r>
        <w:rPr>
          <w:rFonts w:ascii="Times New Roman" w:hAnsi="Times New Roman"/>
          <w:spacing w:val="-1"/>
          <w:szCs w:val="18"/>
        </w:rPr>
        <w:t>Edwards, T. and Rees, C. (2016)</w:t>
      </w:r>
      <w:r>
        <w:rPr>
          <w:rFonts w:ascii="Times New Roman" w:hAnsi="Times New Roman"/>
          <w:i/>
          <w:iCs/>
          <w:spacing w:val="-1"/>
          <w:szCs w:val="18"/>
        </w:rPr>
        <w:t xml:space="preserve"> International Human Resource Management: globalisation, national </w:t>
      </w:r>
      <w:r>
        <w:rPr>
          <w:rFonts w:ascii="Times New Roman" w:hAnsi="Times New Roman"/>
          <w:i/>
          <w:iCs/>
          <w:spacing w:val="-2"/>
          <w:szCs w:val="18"/>
        </w:rPr>
        <w:t>systems and multinational companies.</w:t>
      </w:r>
      <w:r>
        <w:rPr>
          <w:rFonts w:ascii="Times New Roman" w:hAnsi="Times New Roman"/>
          <w:spacing w:val="-2"/>
          <w:szCs w:val="18"/>
        </w:rPr>
        <w:t xml:space="preserve"> 3</w:t>
      </w:r>
      <w:r>
        <w:rPr>
          <w:rFonts w:ascii="Times New Roman" w:hAnsi="Times New Roman"/>
          <w:spacing w:val="-2"/>
          <w:szCs w:val="18"/>
          <w:vertAlign w:val="superscript"/>
        </w:rPr>
        <w:t>rd</w:t>
      </w:r>
      <w:r>
        <w:rPr>
          <w:rFonts w:ascii="Times New Roman" w:hAnsi="Times New Roman"/>
          <w:spacing w:val="-2"/>
          <w:szCs w:val="18"/>
        </w:rPr>
        <w:t xml:space="preserve"> Ed. Essex: Palgrave </w:t>
      </w:r>
    </w:p>
    <w:p>
      <w:pPr>
        <w:pStyle w:val="26"/>
        <w:spacing w:before="240" w:line="360" w:lineRule="auto"/>
        <w:jc w:val="both"/>
        <w:rPr>
          <w:rFonts w:ascii="Times New Roman" w:hAnsi="Times New Roman"/>
          <w:szCs w:val="18"/>
        </w:rPr>
      </w:pPr>
      <w:r>
        <w:rPr>
          <w:rFonts w:ascii="Times New Roman" w:hAnsi="Times New Roman"/>
          <w:szCs w:val="18"/>
        </w:rPr>
        <w:t>Gold, J., Holden, R., Iles, P., Stewart, J. and Beardwell, J. (2013).</w:t>
      </w:r>
      <w:r>
        <w:rPr>
          <w:rFonts w:ascii="Times New Roman" w:hAnsi="Times New Roman"/>
          <w:i/>
          <w:iCs/>
          <w:szCs w:val="18"/>
        </w:rPr>
        <w:t xml:space="preserve"> Human Resource Development: </w:t>
      </w:r>
      <w:r>
        <w:rPr>
          <w:rFonts w:ascii="Times New Roman" w:hAnsi="Times New Roman"/>
          <w:i/>
          <w:iCs/>
          <w:spacing w:val="-3"/>
          <w:szCs w:val="18"/>
        </w:rPr>
        <w:t xml:space="preserve">Theory and practice. </w:t>
      </w:r>
      <w:r>
        <w:rPr>
          <w:rFonts w:ascii="Times New Roman" w:hAnsi="Times New Roman"/>
          <w:spacing w:val="-3"/>
          <w:szCs w:val="18"/>
        </w:rPr>
        <w:t>5</w:t>
      </w:r>
      <w:r>
        <w:rPr>
          <w:rFonts w:ascii="Times New Roman" w:hAnsi="Times New Roman"/>
          <w:spacing w:val="-3"/>
          <w:szCs w:val="18"/>
          <w:vertAlign w:val="superscript"/>
        </w:rPr>
        <w:t>th</w:t>
      </w:r>
      <w:r>
        <w:rPr>
          <w:rFonts w:ascii="Times New Roman" w:hAnsi="Times New Roman"/>
          <w:spacing w:val="-3"/>
          <w:szCs w:val="18"/>
        </w:rPr>
        <w:t xml:space="preserve"> Ed. London: Palgrave Macmillan.</w:t>
      </w:r>
    </w:p>
    <w:p>
      <w:pPr>
        <w:spacing w:before="240"/>
        <w:rPr>
          <w:rFonts w:cs="Times New Roman"/>
          <w:color w:val="000000" w:themeColor="text1"/>
          <w:sz w:val="28"/>
        </w:rPr>
      </w:pPr>
      <w:r>
        <w:rPr>
          <w:rFonts w:cs="Times New Roman"/>
          <w:szCs w:val="18"/>
        </w:rPr>
        <w:t xml:space="preserve">Laroche, L. and Rutherford, D. (2007) </w:t>
      </w:r>
      <w:r>
        <w:rPr>
          <w:rFonts w:cs="Times New Roman"/>
          <w:i/>
          <w:iCs/>
          <w:szCs w:val="18"/>
        </w:rPr>
        <w:t>Recruiting, retaining and promoting culturally different employ</w:t>
      </w:r>
      <w:r>
        <w:rPr>
          <w:rFonts w:cs="Times New Roman"/>
          <w:i/>
          <w:iCs/>
          <w:spacing w:val="-3"/>
          <w:szCs w:val="18"/>
        </w:rPr>
        <w:t>ees</w:t>
      </w:r>
      <w:r>
        <w:rPr>
          <w:rFonts w:cs="Times New Roman"/>
          <w:spacing w:val="-3"/>
          <w:szCs w:val="18"/>
        </w:rPr>
        <w:t>. Oxford: Butterworth Heinemann.</w:t>
      </w:r>
    </w:p>
    <w:p>
      <w:pPr>
        <w:rPr>
          <w:rFonts w:cs="Times New Roman"/>
          <w:b/>
          <w:szCs w:val="24"/>
          <w:shd w:val="clear" w:color="auto" w:fill="FFFFFF"/>
          <w:lang w:val="en-GB"/>
        </w:rPr>
      </w:pPr>
      <w:r>
        <w:rPr>
          <w:rFonts w:cs="Times New Roman"/>
          <w:b/>
          <w:szCs w:val="24"/>
          <w:shd w:val="clear" w:color="auto" w:fill="FFFFFF"/>
          <w:lang w:val="en-GB"/>
        </w:rPr>
        <w:t>Others</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Baragiola, G. and Mauri, M., 2022. SDGs and the private sector: Unilever and P&amp;G case studies.</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Blessett, B., Dodge, J., Edmond, B., Goerdel, H.T., Gooden, S.T., Headley, A.M., Riccucci, N.M. and Williams, B.N., 2019. Social equity in public administration: A call to action. </w:t>
      </w:r>
      <w:r>
        <w:rPr>
          <w:rFonts w:cs="Times New Roman"/>
          <w:i/>
          <w:iCs/>
          <w:color w:val="000000" w:themeColor="text1"/>
          <w:sz w:val="22"/>
          <w:szCs w:val="20"/>
          <w:shd w:val="clear" w:color="auto" w:fill="FFFFFF"/>
        </w:rPr>
        <w:t>Perspectives on Public Management and Governance</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2</w:t>
      </w:r>
      <w:r>
        <w:rPr>
          <w:rFonts w:cs="Times New Roman"/>
          <w:color w:val="000000" w:themeColor="text1"/>
          <w:sz w:val="22"/>
          <w:szCs w:val="20"/>
          <w:shd w:val="clear" w:color="auto" w:fill="FFFFFF"/>
        </w:rPr>
        <w:t>(4), pp.283-299.</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Claeys-Kulik, A.L., Jørgensen, T.E. and Stöber, H., 2019. Diversity, equity and inclusion in European higher education institutions. </w:t>
      </w:r>
      <w:r>
        <w:rPr>
          <w:rFonts w:cs="Times New Roman"/>
          <w:i/>
          <w:iCs/>
          <w:color w:val="000000" w:themeColor="text1"/>
          <w:sz w:val="22"/>
          <w:szCs w:val="20"/>
          <w:shd w:val="clear" w:color="auto" w:fill="FFFFFF"/>
        </w:rPr>
        <w:t>Results from the INVITED Project. Brussel: European University Association Asil</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51</w:t>
      </w:r>
      <w:r>
        <w:rPr>
          <w:rFonts w:cs="Times New Roman"/>
          <w:color w:val="000000" w:themeColor="text1"/>
          <w:sz w:val="22"/>
          <w:szCs w:val="20"/>
          <w:shd w:val="clear" w:color="auto" w:fill="FFFFFF"/>
        </w:rPr>
        <w:t>.</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Craven-Matthews, E.L., Nordlund, A. and Fouzbi, Z., 2021. When big fish eats small fish: The acquisition of Ben &amp; Jerry's by Unilever. </w:t>
      </w:r>
      <w:r>
        <w:rPr>
          <w:rFonts w:cs="Times New Roman"/>
          <w:i/>
          <w:iCs/>
          <w:color w:val="000000" w:themeColor="text1"/>
          <w:sz w:val="22"/>
          <w:szCs w:val="20"/>
          <w:shd w:val="clear" w:color="auto" w:fill="FFFFFF"/>
        </w:rPr>
        <w:t>LBMG Corporate Brand Management and Reputation-Masters Case Series</w:t>
      </w:r>
      <w:r>
        <w:rPr>
          <w:rFonts w:cs="Times New Roman"/>
          <w:color w:val="000000" w:themeColor="text1"/>
          <w:sz w:val="22"/>
          <w:szCs w:val="20"/>
          <w:shd w:val="clear" w:color="auto" w:fill="FFFFFF"/>
        </w:rPr>
        <w:t>.</w:t>
      </w:r>
    </w:p>
    <w:p>
      <w:pPr>
        <w:spacing w:before="240"/>
        <w:rPr>
          <w:rFonts w:cs="Times New Roman"/>
          <w:szCs w:val="24"/>
          <w:shd w:val="clear" w:color="auto" w:fill="FFFFFF"/>
          <w:lang w:val="en-GB"/>
        </w:rPr>
      </w:pPr>
      <w:r>
        <w:rPr>
          <w:rFonts w:cs="Times New Roman"/>
          <w:szCs w:val="24"/>
          <w:shd w:val="clear" w:color="auto" w:fill="FFFFFF"/>
          <w:lang w:val="en-GB"/>
        </w:rPr>
        <w:t>Elsafty, A.S. and Ragheb, M., 2020. The role of human resource management towards employees retention during Covid-19 pandemic in medical supplies sector-Egypt. </w:t>
      </w:r>
      <w:r>
        <w:rPr>
          <w:rFonts w:cs="Times New Roman"/>
          <w:i/>
          <w:iCs/>
          <w:szCs w:val="24"/>
          <w:shd w:val="clear" w:color="auto" w:fill="FFFFFF"/>
          <w:lang w:val="en-GB"/>
        </w:rPr>
        <w:t>Business and Management Studies</w:t>
      </w:r>
      <w:r>
        <w:rPr>
          <w:rFonts w:cs="Times New Roman"/>
          <w:szCs w:val="24"/>
          <w:shd w:val="clear" w:color="auto" w:fill="FFFFFF"/>
          <w:lang w:val="en-GB"/>
        </w:rPr>
        <w:t>, </w:t>
      </w:r>
      <w:r>
        <w:rPr>
          <w:rFonts w:cs="Times New Roman"/>
          <w:i/>
          <w:iCs/>
          <w:szCs w:val="24"/>
          <w:shd w:val="clear" w:color="auto" w:fill="FFFFFF"/>
          <w:lang w:val="en-GB"/>
        </w:rPr>
        <w:t>6</w:t>
      </w:r>
      <w:r>
        <w:rPr>
          <w:rFonts w:cs="Times New Roman"/>
          <w:szCs w:val="24"/>
          <w:shd w:val="clear" w:color="auto" w:fill="FFFFFF"/>
          <w:lang w:val="en-GB"/>
        </w:rPr>
        <w:t>(2), pp.5059-5059.</w:t>
      </w:r>
    </w:p>
    <w:p>
      <w:pPr>
        <w:spacing w:before="240"/>
        <w:rPr>
          <w:rFonts w:cs="Times New Roman"/>
          <w:color w:val="000000" w:themeColor="text1"/>
          <w:szCs w:val="20"/>
          <w:shd w:val="clear" w:color="auto" w:fill="FFFFFF"/>
        </w:rPr>
      </w:pPr>
      <w:r>
        <w:rPr>
          <w:rFonts w:cs="Times New Roman"/>
          <w:color w:val="000000" w:themeColor="text1"/>
          <w:sz w:val="22"/>
          <w:szCs w:val="20"/>
          <w:shd w:val="clear" w:color="auto" w:fill="FFFFFF"/>
        </w:rPr>
        <w:t>Fisher, E., Hellin, J., Greatrex, H. and Jensen, N., 2019. Index insurance and climate risk management: Addressing social equity. </w:t>
      </w:r>
      <w:r>
        <w:rPr>
          <w:rFonts w:cs="Times New Roman"/>
          <w:i/>
          <w:iCs/>
          <w:color w:val="000000" w:themeColor="text1"/>
          <w:sz w:val="22"/>
          <w:szCs w:val="20"/>
          <w:shd w:val="clear" w:color="auto" w:fill="FFFFFF"/>
        </w:rPr>
        <w:t>Development Policy Review</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37</w:t>
      </w:r>
      <w:r>
        <w:rPr>
          <w:rFonts w:cs="Times New Roman"/>
          <w:color w:val="000000" w:themeColor="text1"/>
          <w:sz w:val="22"/>
          <w:szCs w:val="20"/>
          <w:shd w:val="clear" w:color="auto" w:fill="FFFFFF"/>
        </w:rPr>
        <w:t>(5), pp.581-602.</w:t>
      </w:r>
    </w:p>
    <w:p>
      <w:pPr>
        <w:spacing w:before="240"/>
        <w:rPr>
          <w:rFonts w:cs="Times New Roman"/>
          <w:szCs w:val="24"/>
          <w:shd w:val="clear" w:color="auto" w:fill="FFFFFF"/>
          <w:lang w:val="en-GB"/>
        </w:rPr>
      </w:pPr>
      <w:r>
        <w:rPr>
          <w:rFonts w:cs="Times New Roman"/>
          <w:szCs w:val="24"/>
          <w:shd w:val="clear" w:color="auto" w:fill="FFFFFF"/>
          <w:lang w:val="en-GB"/>
        </w:rPr>
        <w:t>Gigauri, I., 2020. Challenges HR managers facing due to COVID-19 and overcoming strategies: perspectives from Georgia. </w:t>
      </w:r>
      <w:r>
        <w:rPr>
          <w:rFonts w:cs="Times New Roman"/>
          <w:i/>
          <w:iCs/>
          <w:szCs w:val="24"/>
          <w:shd w:val="clear" w:color="auto" w:fill="FFFFFF"/>
          <w:lang w:val="en-GB"/>
        </w:rPr>
        <w:t>Archives of Business Review</w:t>
      </w:r>
      <w:r>
        <w:rPr>
          <w:rFonts w:cs="Times New Roman"/>
          <w:szCs w:val="24"/>
          <w:shd w:val="clear" w:color="auto" w:fill="FFFFFF"/>
          <w:lang w:val="en-GB"/>
        </w:rPr>
        <w:t>, </w:t>
      </w:r>
      <w:r>
        <w:rPr>
          <w:rFonts w:cs="Times New Roman"/>
          <w:i/>
          <w:iCs/>
          <w:szCs w:val="24"/>
          <w:shd w:val="clear" w:color="auto" w:fill="FFFFFF"/>
          <w:lang w:val="en-GB"/>
        </w:rPr>
        <w:t>8</w:t>
      </w:r>
      <w:r>
        <w:rPr>
          <w:rFonts w:cs="Times New Roman"/>
          <w:szCs w:val="24"/>
          <w:shd w:val="clear" w:color="auto" w:fill="FFFFFF"/>
          <w:lang w:val="en-GB"/>
        </w:rPr>
        <w:t>(11).</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Gorvie, F.Y., 2019. </w:t>
      </w:r>
      <w:r>
        <w:rPr>
          <w:rFonts w:cs="Times New Roman"/>
          <w:i/>
          <w:iCs/>
          <w:color w:val="000000" w:themeColor="text1"/>
          <w:sz w:val="22"/>
          <w:szCs w:val="20"/>
          <w:shd w:val="clear" w:color="auto" w:fill="FFFFFF"/>
        </w:rPr>
        <w:t>An analysis of the impact of cultural diversity on grievance handling: A case study of Unilever Nigeria</w:t>
      </w:r>
      <w:r>
        <w:rPr>
          <w:rFonts w:cs="Times New Roman"/>
          <w:color w:val="000000" w:themeColor="text1"/>
          <w:sz w:val="22"/>
          <w:szCs w:val="20"/>
          <w:shd w:val="clear" w:color="auto" w:fill="FFFFFF"/>
        </w:rPr>
        <w:t> (Doctoral dissertation, Dublin Business School).</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Gümüş, S., Arar, K. and Oplatka, I., 2021. Review of international research on school leadership for social justice, equity and diversity. </w:t>
      </w:r>
      <w:r>
        <w:rPr>
          <w:rFonts w:cs="Times New Roman"/>
          <w:i/>
          <w:iCs/>
          <w:color w:val="000000" w:themeColor="text1"/>
          <w:sz w:val="22"/>
          <w:szCs w:val="20"/>
          <w:shd w:val="clear" w:color="auto" w:fill="FFFFFF"/>
        </w:rPr>
        <w:t>Journal of Educational Administration and History</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53</w:t>
      </w:r>
      <w:r>
        <w:rPr>
          <w:rFonts w:cs="Times New Roman"/>
          <w:color w:val="000000" w:themeColor="text1"/>
          <w:sz w:val="22"/>
          <w:szCs w:val="20"/>
          <w:shd w:val="clear" w:color="auto" w:fill="FFFFFF"/>
        </w:rPr>
        <w:t>(1), pp.81-99.</w:t>
      </w:r>
    </w:p>
    <w:p>
      <w:pPr>
        <w:spacing w:before="240"/>
        <w:rPr>
          <w:rFonts w:cs="Times New Roman"/>
          <w:szCs w:val="24"/>
          <w:shd w:val="clear" w:color="auto" w:fill="FFFFFF"/>
          <w:lang w:val="en-GB"/>
        </w:rPr>
      </w:pPr>
      <w:r>
        <w:rPr>
          <w:rFonts w:cs="Times New Roman"/>
          <w:szCs w:val="24"/>
          <w:shd w:val="clear" w:color="auto" w:fill="FFFFFF"/>
          <w:lang w:val="en-GB"/>
        </w:rPr>
        <w:t>Gümüş, S., Arar, K. and Oplatka, I., 2021. Review of international research on school leadership for social justice, equity and diversity. </w:t>
      </w:r>
      <w:r>
        <w:rPr>
          <w:rFonts w:cs="Times New Roman"/>
          <w:i/>
          <w:iCs/>
          <w:szCs w:val="24"/>
          <w:shd w:val="clear" w:color="auto" w:fill="FFFFFF"/>
          <w:lang w:val="en-GB"/>
        </w:rPr>
        <w:t>Journal of Educational Administration and History</w:t>
      </w:r>
      <w:r>
        <w:rPr>
          <w:rFonts w:cs="Times New Roman"/>
          <w:szCs w:val="24"/>
          <w:shd w:val="clear" w:color="auto" w:fill="FFFFFF"/>
          <w:lang w:val="en-GB"/>
        </w:rPr>
        <w:t>, </w:t>
      </w:r>
      <w:r>
        <w:rPr>
          <w:rFonts w:cs="Times New Roman"/>
          <w:i/>
          <w:iCs/>
          <w:szCs w:val="24"/>
          <w:shd w:val="clear" w:color="auto" w:fill="FFFFFF"/>
          <w:lang w:val="en-GB"/>
        </w:rPr>
        <w:t>53</w:t>
      </w:r>
      <w:r>
        <w:rPr>
          <w:rFonts w:cs="Times New Roman"/>
          <w:szCs w:val="24"/>
          <w:shd w:val="clear" w:color="auto" w:fill="FFFFFF"/>
          <w:lang w:val="en-GB"/>
        </w:rPr>
        <w:t>(1), pp.81-99.</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Hays-Thomas, R., 2022. </w:t>
      </w:r>
      <w:r>
        <w:rPr>
          <w:rFonts w:cs="Times New Roman"/>
          <w:i/>
          <w:iCs/>
          <w:color w:val="000000" w:themeColor="text1"/>
          <w:sz w:val="22"/>
          <w:szCs w:val="20"/>
          <w:shd w:val="clear" w:color="auto" w:fill="FFFFFF"/>
        </w:rPr>
        <w:t>Managing Workplace Diversity, Equity, and Inclusion: A Psychological Perspective</w:t>
      </w:r>
      <w:r>
        <w:rPr>
          <w:rFonts w:cs="Times New Roman"/>
          <w:color w:val="000000" w:themeColor="text1"/>
          <w:sz w:val="22"/>
          <w:szCs w:val="20"/>
          <w:shd w:val="clear" w:color="auto" w:fill="FFFFFF"/>
        </w:rPr>
        <w:t>. Taylor &amp; Francis.</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Karakhan, A.A., Gambatese, J.A., Simmons, D.R. and Al-Bayati, A.J., 2021. Identifying pertinent indicators for assessing and fostering diversity, equity, and inclusion of the construction workforce. </w:t>
      </w:r>
      <w:r>
        <w:rPr>
          <w:rFonts w:cs="Times New Roman"/>
          <w:i/>
          <w:iCs/>
          <w:color w:val="000000" w:themeColor="text1"/>
          <w:sz w:val="22"/>
          <w:szCs w:val="20"/>
          <w:shd w:val="clear" w:color="auto" w:fill="FFFFFF"/>
        </w:rPr>
        <w:t>Journal of management in engineering</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37</w:t>
      </w:r>
      <w:r>
        <w:rPr>
          <w:rFonts w:cs="Times New Roman"/>
          <w:color w:val="000000" w:themeColor="text1"/>
          <w:sz w:val="22"/>
          <w:szCs w:val="20"/>
          <w:shd w:val="clear" w:color="auto" w:fill="FFFFFF"/>
        </w:rPr>
        <w:t>(2), p.04020114.</w:t>
      </w:r>
    </w:p>
    <w:p>
      <w:pPr>
        <w:spacing w:before="240"/>
        <w:rPr>
          <w:rFonts w:cs="Times New Roman"/>
          <w:szCs w:val="24"/>
          <w:shd w:val="clear" w:color="auto" w:fill="FFFFFF"/>
          <w:lang w:val="en-GB"/>
        </w:rPr>
      </w:pPr>
      <w:r>
        <w:rPr>
          <w:rFonts w:cs="Times New Roman"/>
          <w:szCs w:val="24"/>
          <w:shd w:val="clear" w:color="auto" w:fill="FFFFFF"/>
          <w:lang w:val="en-GB"/>
        </w:rPr>
        <w:t>Khan, Z., Rao-Nicholson, R., Akhtar, P., Tarba, S.Y., Ahammad, M.F. and Vorley, T., 2019. The role of HR practices in developing employee resilience: A case study from the Pakistani telecommunications sector. </w:t>
      </w:r>
      <w:r>
        <w:rPr>
          <w:rFonts w:cs="Times New Roman"/>
          <w:i/>
          <w:iCs/>
          <w:szCs w:val="24"/>
          <w:shd w:val="clear" w:color="auto" w:fill="FFFFFF"/>
          <w:lang w:val="en-GB"/>
        </w:rPr>
        <w:t>The International Journal of Human Resource Management</w:t>
      </w:r>
      <w:r>
        <w:rPr>
          <w:rFonts w:cs="Times New Roman"/>
          <w:szCs w:val="24"/>
          <w:shd w:val="clear" w:color="auto" w:fill="FFFFFF"/>
          <w:lang w:val="en-GB"/>
        </w:rPr>
        <w:t>, </w:t>
      </w:r>
      <w:r>
        <w:rPr>
          <w:rFonts w:cs="Times New Roman"/>
          <w:i/>
          <w:iCs/>
          <w:szCs w:val="24"/>
          <w:shd w:val="clear" w:color="auto" w:fill="FFFFFF"/>
          <w:lang w:val="en-GB"/>
        </w:rPr>
        <w:t>30</w:t>
      </w:r>
      <w:r>
        <w:rPr>
          <w:rFonts w:cs="Times New Roman"/>
          <w:szCs w:val="24"/>
          <w:shd w:val="clear" w:color="auto" w:fill="FFFFFF"/>
          <w:lang w:val="en-GB"/>
        </w:rPr>
        <w:t>(8), pp.1342-1369.</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Lieu, P.T.H., Arunjit, N., Buapradabkul, S. and Nathaniel, D., 2021. Unilever Company Strategic Business Analysis.</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Mayer, C.H., Oosthuizen, R.M. and Tonelli, L., 2019. Subjective experiences of employment equity in South African organisations. </w:t>
      </w:r>
      <w:r>
        <w:rPr>
          <w:rFonts w:cs="Times New Roman"/>
          <w:i/>
          <w:iCs/>
          <w:color w:val="000000" w:themeColor="text1"/>
          <w:sz w:val="22"/>
          <w:szCs w:val="20"/>
          <w:shd w:val="clear" w:color="auto" w:fill="FFFFFF"/>
        </w:rPr>
        <w:t>SA Journal of Human Resource Management</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17</w:t>
      </w:r>
      <w:r>
        <w:rPr>
          <w:rFonts w:cs="Times New Roman"/>
          <w:color w:val="000000" w:themeColor="text1"/>
          <w:sz w:val="22"/>
          <w:szCs w:val="20"/>
          <w:shd w:val="clear" w:color="auto" w:fill="FFFFFF"/>
        </w:rPr>
        <w:t>(1), pp.1-12.</w:t>
      </w:r>
    </w:p>
    <w:p>
      <w:pPr>
        <w:spacing w:before="240"/>
        <w:rPr>
          <w:rFonts w:cs="Times New Roman"/>
          <w:szCs w:val="24"/>
          <w:lang w:val="en-GB"/>
        </w:rPr>
      </w:pPr>
      <w:r>
        <w:rPr>
          <w:rFonts w:cs="Times New Roman"/>
          <w:szCs w:val="24"/>
          <w:shd w:val="clear" w:color="auto" w:fill="FFFFFF"/>
          <w:lang w:val="en-GB"/>
        </w:rPr>
        <w:t>McCartney, S., Murphy, C. and Mccarthy, J., 2021. 21st century HR: a competency model for the emerging role of HR Analysts. </w:t>
      </w:r>
      <w:r>
        <w:rPr>
          <w:rFonts w:cs="Times New Roman"/>
          <w:i/>
          <w:iCs/>
          <w:szCs w:val="24"/>
          <w:shd w:val="clear" w:color="auto" w:fill="FFFFFF"/>
          <w:lang w:val="en-GB"/>
        </w:rPr>
        <w:t>Personnel review</w:t>
      </w:r>
      <w:r>
        <w:rPr>
          <w:rFonts w:cs="Times New Roman"/>
          <w:szCs w:val="24"/>
          <w:shd w:val="clear" w:color="auto" w:fill="FFFFFF"/>
          <w:lang w:val="en-GB"/>
        </w:rPr>
        <w:t>, </w:t>
      </w:r>
      <w:r>
        <w:rPr>
          <w:rFonts w:cs="Times New Roman"/>
          <w:i/>
          <w:iCs/>
          <w:szCs w:val="24"/>
          <w:shd w:val="clear" w:color="auto" w:fill="FFFFFF"/>
          <w:lang w:val="en-GB"/>
        </w:rPr>
        <w:t>50</w:t>
      </w:r>
      <w:r>
        <w:rPr>
          <w:rFonts w:cs="Times New Roman"/>
          <w:szCs w:val="24"/>
          <w:shd w:val="clear" w:color="auto" w:fill="FFFFFF"/>
          <w:lang w:val="en-GB"/>
        </w:rPr>
        <w:t>(6), pp.1495-1513.</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Mousa, M., Massoud, H.K. and Ayoubi, R.M., 2020. Gender, diversity management perceptions, workplace happiness and organisational citizenship behaviour. </w:t>
      </w:r>
      <w:r>
        <w:rPr>
          <w:rFonts w:cs="Times New Roman"/>
          <w:i/>
          <w:iCs/>
          <w:color w:val="000000" w:themeColor="text1"/>
          <w:sz w:val="22"/>
          <w:szCs w:val="20"/>
          <w:shd w:val="clear" w:color="auto" w:fill="FFFFFF"/>
        </w:rPr>
        <w:t>Employee Relations: The International Journal</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42</w:t>
      </w:r>
      <w:r>
        <w:rPr>
          <w:rFonts w:cs="Times New Roman"/>
          <w:color w:val="000000" w:themeColor="text1"/>
          <w:sz w:val="22"/>
          <w:szCs w:val="20"/>
          <w:shd w:val="clear" w:color="auto" w:fill="FFFFFF"/>
        </w:rPr>
        <w:t>(6), pp.1249-1269.</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Osho, O.J., 2022. THE INFLUENCE OF COMPENSATION MANAGEMENT ON EMPLOYEES’WORK PERFORMANCE (A STUDY OF UNILEVER NIGERIA PLC).</w:t>
      </w:r>
    </w:p>
    <w:p>
      <w:pPr>
        <w:spacing w:before="240"/>
        <w:rPr>
          <w:rFonts w:cs="Times New Roman"/>
          <w:szCs w:val="24"/>
          <w:lang w:val="en-GB"/>
        </w:rPr>
      </w:pPr>
      <w:r>
        <w:rPr>
          <w:rFonts w:cs="Times New Roman"/>
          <w:szCs w:val="24"/>
          <w:lang w:val="en-GB"/>
        </w:rPr>
        <w:t xml:space="preserve">Sabanoglu, 2023. </w:t>
      </w:r>
      <w:r>
        <w:rPr>
          <w:rFonts w:cs="Times New Roman"/>
          <w:i/>
          <w:szCs w:val="24"/>
          <w:lang w:val="en-GB"/>
        </w:rPr>
        <w:t>Total number of Unilever employees worldwide from 2003 to 2021</w:t>
      </w:r>
      <w:r>
        <w:rPr>
          <w:rFonts w:cs="Times New Roman"/>
          <w:szCs w:val="24"/>
          <w:lang w:val="en-GB"/>
        </w:rPr>
        <w:t>. https://www.statista.com/statistics/254366/total-number-of-unilever-employees-worldwide/[accessed on: 21.03.2023]</w:t>
      </w:r>
    </w:p>
    <w:p>
      <w:pPr>
        <w:spacing w:before="240"/>
        <w:rPr>
          <w:rFonts w:cs="Times New Roman"/>
          <w:color w:val="000000" w:themeColor="text1"/>
          <w:sz w:val="22"/>
          <w:szCs w:val="20"/>
          <w:shd w:val="clear" w:color="auto" w:fill="FFFFFF"/>
        </w:rPr>
      </w:pPr>
      <w:r>
        <w:rPr>
          <w:rFonts w:cs="Times New Roman"/>
          <w:color w:val="000000" w:themeColor="text1"/>
          <w:sz w:val="22"/>
          <w:szCs w:val="20"/>
          <w:shd w:val="clear" w:color="auto" w:fill="FFFFFF"/>
        </w:rPr>
        <w:t>Saunders, F., Gilek, M., Ikauniece, A., Tafon, R.V., Gee, K. and Zaucha, J., 2020. Theorizing social sustainability and justice in marine spatial planning: Democracy, diversity, and equity. </w:t>
      </w:r>
      <w:r>
        <w:rPr>
          <w:rFonts w:cs="Times New Roman"/>
          <w:i/>
          <w:iCs/>
          <w:color w:val="000000" w:themeColor="text1"/>
          <w:sz w:val="22"/>
          <w:szCs w:val="20"/>
          <w:shd w:val="clear" w:color="auto" w:fill="FFFFFF"/>
        </w:rPr>
        <w:t>Sustainability</w:t>
      </w:r>
      <w:r>
        <w:rPr>
          <w:rFonts w:cs="Times New Roman"/>
          <w:color w:val="000000" w:themeColor="text1"/>
          <w:sz w:val="22"/>
          <w:szCs w:val="20"/>
          <w:shd w:val="clear" w:color="auto" w:fill="FFFFFF"/>
        </w:rPr>
        <w:t>, </w:t>
      </w:r>
      <w:r>
        <w:rPr>
          <w:rFonts w:cs="Times New Roman"/>
          <w:i/>
          <w:iCs/>
          <w:color w:val="000000" w:themeColor="text1"/>
          <w:sz w:val="22"/>
          <w:szCs w:val="20"/>
          <w:shd w:val="clear" w:color="auto" w:fill="FFFFFF"/>
        </w:rPr>
        <w:t>12</w:t>
      </w:r>
      <w:r>
        <w:rPr>
          <w:rFonts w:cs="Times New Roman"/>
          <w:color w:val="000000" w:themeColor="text1"/>
          <w:sz w:val="22"/>
          <w:szCs w:val="20"/>
          <w:shd w:val="clear" w:color="auto" w:fill="FFFFFF"/>
        </w:rPr>
        <w:t>(6), p.2560.</w:t>
      </w:r>
    </w:p>
    <w:p>
      <w:pPr>
        <w:spacing w:before="240"/>
        <w:rPr>
          <w:rFonts w:cs="Times New Roman"/>
          <w:szCs w:val="24"/>
          <w:lang w:val="en-GB"/>
        </w:rPr>
      </w:pPr>
      <w:r>
        <w:rPr>
          <w:rFonts w:cs="Times New Roman"/>
          <w:szCs w:val="24"/>
          <w:lang w:val="en-GB"/>
        </w:rPr>
        <w:t>Unilever, 2023</w:t>
      </w:r>
      <w:r>
        <w:rPr>
          <w:rFonts w:cs="Times New Roman"/>
          <w:i/>
          <w:szCs w:val="24"/>
          <w:lang w:val="en-GB"/>
        </w:rPr>
        <w:t>. Annual Report and Accounts 2022 Highlights</w:t>
      </w:r>
      <w:r>
        <w:rPr>
          <w:rFonts w:cs="Times New Roman"/>
          <w:szCs w:val="24"/>
          <w:lang w:val="en-GB"/>
        </w:rPr>
        <w:t>. https://www.unilever.com/investors/annual-report-and-accounts/[accessed on: 21.03.2023]</w:t>
      </w:r>
    </w:p>
    <w:p>
      <w:pPr>
        <w:spacing w:before="240"/>
        <w:rPr>
          <w:rFonts w:cs="Times New Roman"/>
          <w:szCs w:val="24"/>
          <w:lang w:val="en-GB"/>
        </w:rPr>
      </w:pPr>
      <w:r>
        <w:rPr>
          <w:rFonts w:cs="Times New Roman"/>
          <w:szCs w:val="24"/>
          <w:lang w:val="en-GB"/>
        </w:rPr>
        <w:t>Unilever.co.uk, 2023.</w:t>
      </w:r>
      <w:r>
        <w:rPr>
          <w:rFonts w:cs="Times New Roman"/>
          <w:i/>
          <w:szCs w:val="24"/>
          <w:lang w:val="en-GB"/>
        </w:rPr>
        <w:t>About Us</w:t>
      </w:r>
      <w:r>
        <w:rPr>
          <w:rFonts w:cs="Times New Roman"/>
          <w:szCs w:val="24"/>
          <w:lang w:val="en-GB"/>
        </w:rPr>
        <w:t>. https://www.unilever.co.uk/[accessed on: 21.03.2023]</w:t>
      </w:r>
    </w:p>
    <w:p>
      <w:pPr>
        <w:spacing w:before="240"/>
        <w:rPr>
          <w:rFonts w:cs="Times New Roman"/>
          <w:szCs w:val="24"/>
          <w:shd w:val="clear" w:color="auto" w:fill="FFFFFF"/>
          <w:lang w:val="en-GB"/>
        </w:rPr>
      </w:pPr>
      <w:r>
        <w:rPr>
          <w:rFonts w:cs="Times New Roman"/>
          <w:szCs w:val="24"/>
          <w:shd w:val="clear" w:color="auto" w:fill="FFFFFF"/>
          <w:lang w:val="en-GB"/>
        </w:rPr>
        <w:t>Zeebaree, S.R., Shukur, H.M. and Hussan, B.K., 2019. Human resource management systems for enterprise organizations: A review. </w:t>
      </w:r>
      <w:r>
        <w:rPr>
          <w:rFonts w:cs="Times New Roman"/>
          <w:i/>
          <w:iCs/>
          <w:szCs w:val="24"/>
          <w:shd w:val="clear" w:color="auto" w:fill="FFFFFF"/>
          <w:lang w:val="en-GB"/>
        </w:rPr>
        <w:t>Periodicals of Engineering and Natural Sciences</w:t>
      </w:r>
      <w:r>
        <w:rPr>
          <w:rFonts w:cs="Times New Roman"/>
          <w:szCs w:val="24"/>
          <w:shd w:val="clear" w:color="auto" w:fill="FFFFFF"/>
          <w:lang w:val="en-GB"/>
        </w:rPr>
        <w:t>, </w:t>
      </w:r>
      <w:r>
        <w:rPr>
          <w:rFonts w:cs="Times New Roman"/>
          <w:i/>
          <w:iCs/>
          <w:szCs w:val="24"/>
          <w:shd w:val="clear" w:color="auto" w:fill="FFFFFF"/>
          <w:lang w:val="en-GB"/>
        </w:rPr>
        <w:t>7</w:t>
      </w:r>
      <w:r>
        <w:rPr>
          <w:rFonts w:cs="Times New Roman"/>
          <w:szCs w:val="24"/>
          <w:shd w:val="clear" w:color="auto" w:fill="FFFFFF"/>
          <w:lang w:val="en-GB"/>
        </w:rPr>
        <w:t>(2), pp.660-669.</w:t>
      </w:r>
    </w:p>
    <w:p>
      <w:pPr>
        <w:spacing w:after="200" w:line="276" w:lineRule="auto"/>
        <w:jc w:val="left"/>
        <w:rPr>
          <w:rFonts w:cs="Times New Roman"/>
          <w:szCs w:val="24"/>
          <w:shd w:val="clear" w:color="auto" w:fill="FFFFFF"/>
          <w:lang w:val="en-GB"/>
        </w:rPr>
      </w:pPr>
      <w:r>
        <w:rPr>
          <w:rFonts w:cs="Times New Roman"/>
          <w:szCs w:val="24"/>
          <w:shd w:val="clear" w:color="auto" w:fill="FFFFFF"/>
          <w:lang w:val="en-GB"/>
        </w:rPr>
        <w:br w:type="page"/>
      </w:r>
    </w:p>
    <w:p>
      <w:pPr>
        <w:pStyle w:val="2"/>
        <w:rPr>
          <w:shd w:val="clear" w:color="auto" w:fill="FFFFFF"/>
          <w:lang w:val="en-GB"/>
        </w:rPr>
      </w:pPr>
      <w:bookmarkStart w:id="13" w:name="_Toc130290756"/>
      <w:r>
        <w:rPr>
          <w:shd w:val="clear" w:color="auto" w:fill="FFFFFF"/>
          <w:lang w:val="en-GB"/>
        </w:rPr>
        <w:t>Ap</w:t>
      </w:r>
      <w:r>
        <w:t>p</w:t>
      </w:r>
      <w:r>
        <w:rPr>
          <w:shd w:val="clear" w:color="auto" w:fill="FFFFFF"/>
          <w:lang w:val="en-GB"/>
        </w:rPr>
        <w:t>endices</w:t>
      </w:r>
      <w:bookmarkEnd w:id="13"/>
    </w:p>
    <w:p>
      <w:pPr>
        <w:pStyle w:val="3"/>
        <w:rPr>
          <w:shd w:val="clear" w:color="auto" w:fill="FFFFFF"/>
          <w:lang w:val="en-GB"/>
        </w:rPr>
      </w:pPr>
      <w:bookmarkStart w:id="14" w:name="_Toc130290757"/>
      <w:r>
        <w:rPr>
          <w:shd w:val="clear" w:color="auto" w:fill="FFFFFF"/>
          <w:lang w:val="en-GB"/>
        </w:rPr>
        <w:t>Appendix 1: Diversity at the workplace of Unilever</w:t>
      </w:r>
      <w:bookmarkEnd w:id="14"/>
      <w:r>
        <w:rPr>
          <w:shd w:val="clear" w:color="auto" w:fill="FFFFFF"/>
          <w:lang w:val="en-GB"/>
        </w:rPr>
        <w:t xml:space="preserve"> </w:t>
      </w:r>
    </w:p>
    <w:p>
      <w:pPr>
        <w:spacing w:before="240"/>
        <w:jc w:val="left"/>
        <w:rPr>
          <w:rFonts w:cs="Times New Roman"/>
          <w:szCs w:val="24"/>
          <w:shd w:val="clear" w:color="auto" w:fill="FFFFFF"/>
          <w:lang w:val="en-GB"/>
        </w:rPr>
      </w:pPr>
      <w:r>
        <w:rPr>
          <w:rFonts w:cs="Times New Roman"/>
          <w:szCs w:val="24"/>
          <w:shd w:val="clear" w:color="auto" w:fill="FFFFFF"/>
          <w:lang w:eastAsia="en-US"/>
        </w:rPr>
        <w:drawing>
          <wp:inline distT="0" distB="0" distL="0" distR="0">
            <wp:extent cx="5943600" cy="374269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3"/>
                    <a:srcRect/>
                    <a:stretch>
                      <a:fillRect/>
                    </a:stretch>
                  </pic:blipFill>
                  <pic:spPr>
                    <a:xfrm>
                      <a:off x="0" y="0"/>
                      <a:ext cx="5943600" cy="3743169"/>
                    </a:xfrm>
                    <a:prstGeom prst="rect">
                      <a:avLst/>
                    </a:prstGeom>
                    <a:noFill/>
                    <a:ln w="9525">
                      <a:noFill/>
                      <a:miter lim="800000"/>
                      <a:headEnd/>
                      <a:tailEnd/>
                    </a:ln>
                  </pic:spPr>
                </pic:pic>
              </a:graphicData>
            </a:graphic>
          </wp:inline>
        </w:drawing>
      </w:r>
    </w:p>
    <w:p>
      <w:pPr>
        <w:spacing w:before="240"/>
        <w:jc w:val="center"/>
        <w:rPr>
          <w:szCs w:val="24"/>
          <w:lang w:val="en-GB"/>
        </w:rPr>
      </w:pPr>
      <w:r>
        <w:rPr>
          <w:szCs w:val="24"/>
          <w:lang w:val="en-GB"/>
        </w:rPr>
        <w:t>(Source: https://www.statista.com/statistics/254366/total-number-of-unilever-employees-worldwide/)</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86"/>
    <w:family w:val="swiss"/>
    <w:pitch w:val="default"/>
    <w:sig w:usb0="E0002EFF" w:usb1="C000785B" w:usb2="00000009" w:usb3="00000000" w:csb0="400001FF" w:csb1="FFFF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7885141"/>
      <w:docPartObj>
        <w:docPartGallery w:val="AutoText"/>
      </w:docPartObj>
    </w:sdtPr>
    <w:sdtContent>
      <w:p>
        <w:pPr>
          <w:pStyle w:val="7"/>
          <w:jc w:val="right"/>
        </w:pPr>
        <w:r>
          <w:rPr>
            <w:color w:val="000000" w:themeColor="text1"/>
            <w:sz w:val="20"/>
            <w:szCs w:val="20"/>
          </w:rPr>
          <w:fldChar w:fldCharType="begin"/>
        </w:r>
        <w:r>
          <w:rPr>
            <w:color w:val="000000" w:themeColor="text1"/>
            <w:sz w:val="20"/>
            <w:szCs w:val="20"/>
          </w:rPr>
          <w:instrText xml:space="preserve"> PAGE   \* MERGEFORMAT </w:instrText>
        </w:r>
        <w:r>
          <w:rPr>
            <w:color w:val="000000" w:themeColor="text1"/>
            <w:sz w:val="20"/>
            <w:szCs w:val="20"/>
          </w:rPr>
          <w:fldChar w:fldCharType="separate"/>
        </w:r>
        <w:r>
          <w:rPr>
            <w:color w:val="000000" w:themeColor="text1"/>
            <w:sz w:val="20"/>
            <w:szCs w:val="20"/>
          </w:rPr>
          <w:t>17</w:t>
        </w:r>
        <w:r>
          <w:rPr>
            <w:color w:val="000000" w:themeColor="text1"/>
            <w:sz w:val="20"/>
            <w:szCs w:val="20"/>
          </w:rP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3"/>
  <w:documentProtection w:enforcement="0"/>
  <w:defaultTabStop w:val="720"/>
  <w:drawingGridHorizontalSpacing w:val="120"/>
  <w:displayHorizontalDrawingGridEvery w:val="2"/>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E5NGY1NmE5ZDY2MTQ1NGRkZjVkZmEyMmQ2Nzg0Y2MifQ=="/>
  </w:docVars>
  <w:rsids>
    <w:rsidRoot w:val="000D74B1"/>
    <w:rsid w:val="000050F0"/>
    <w:rsid w:val="000113D3"/>
    <w:rsid w:val="00025F15"/>
    <w:rsid w:val="00040C04"/>
    <w:rsid w:val="00044BE8"/>
    <w:rsid w:val="00052A4E"/>
    <w:rsid w:val="00053290"/>
    <w:rsid w:val="000557B7"/>
    <w:rsid w:val="00057907"/>
    <w:rsid w:val="00065EC9"/>
    <w:rsid w:val="00070B3F"/>
    <w:rsid w:val="00093B41"/>
    <w:rsid w:val="000974F9"/>
    <w:rsid w:val="000A2802"/>
    <w:rsid w:val="000B2816"/>
    <w:rsid w:val="000B3718"/>
    <w:rsid w:val="000C4013"/>
    <w:rsid w:val="000C5896"/>
    <w:rsid w:val="000D74B1"/>
    <w:rsid w:val="000E09C5"/>
    <w:rsid w:val="000F1649"/>
    <w:rsid w:val="000F646C"/>
    <w:rsid w:val="001015D7"/>
    <w:rsid w:val="00111114"/>
    <w:rsid w:val="001222BE"/>
    <w:rsid w:val="001224D0"/>
    <w:rsid w:val="00124051"/>
    <w:rsid w:val="00130650"/>
    <w:rsid w:val="00143C8A"/>
    <w:rsid w:val="001503EC"/>
    <w:rsid w:val="001616C2"/>
    <w:rsid w:val="00176D82"/>
    <w:rsid w:val="001B63E6"/>
    <w:rsid w:val="001C66DA"/>
    <w:rsid w:val="001D0544"/>
    <w:rsid w:val="001F73DE"/>
    <w:rsid w:val="0020419F"/>
    <w:rsid w:val="00234851"/>
    <w:rsid w:val="00253367"/>
    <w:rsid w:val="00262F95"/>
    <w:rsid w:val="002679C2"/>
    <w:rsid w:val="00270699"/>
    <w:rsid w:val="00274B0F"/>
    <w:rsid w:val="00276278"/>
    <w:rsid w:val="0028162E"/>
    <w:rsid w:val="002957B4"/>
    <w:rsid w:val="002A3466"/>
    <w:rsid w:val="002A5150"/>
    <w:rsid w:val="002F5C0F"/>
    <w:rsid w:val="00301798"/>
    <w:rsid w:val="00304775"/>
    <w:rsid w:val="003079A8"/>
    <w:rsid w:val="003432DC"/>
    <w:rsid w:val="003617C7"/>
    <w:rsid w:val="003676F2"/>
    <w:rsid w:val="00374072"/>
    <w:rsid w:val="00390977"/>
    <w:rsid w:val="00393350"/>
    <w:rsid w:val="003A54F1"/>
    <w:rsid w:val="003A64D7"/>
    <w:rsid w:val="003B1A45"/>
    <w:rsid w:val="003D6AA6"/>
    <w:rsid w:val="003E377D"/>
    <w:rsid w:val="003E6EF0"/>
    <w:rsid w:val="003F5166"/>
    <w:rsid w:val="003F72CA"/>
    <w:rsid w:val="00405E43"/>
    <w:rsid w:val="004132F7"/>
    <w:rsid w:val="0041656F"/>
    <w:rsid w:val="004319DF"/>
    <w:rsid w:val="00440C98"/>
    <w:rsid w:val="004444EE"/>
    <w:rsid w:val="0044784F"/>
    <w:rsid w:val="004505FD"/>
    <w:rsid w:val="0046526E"/>
    <w:rsid w:val="0048366B"/>
    <w:rsid w:val="00487A45"/>
    <w:rsid w:val="004A22B0"/>
    <w:rsid w:val="004C185A"/>
    <w:rsid w:val="004C3006"/>
    <w:rsid w:val="004C79EB"/>
    <w:rsid w:val="004D5F85"/>
    <w:rsid w:val="004F1A74"/>
    <w:rsid w:val="0051370E"/>
    <w:rsid w:val="00523428"/>
    <w:rsid w:val="0053020A"/>
    <w:rsid w:val="00541389"/>
    <w:rsid w:val="00561EEE"/>
    <w:rsid w:val="00580762"/>
    <w:rsid w:val="00585D45"/>
    <w:rsid w:val="005908DF"/>
    <w:rsid w:val="00597A66"/>
    <w:rsid w:val="005A420E"/>
    <w:rsid w:val="005A5566"/>
    <w:rsid w:val="005A74D4"/>
    <w:rsid w:val="005B1B79"/>
    <w:rsid w:val="005D000F"/>
    <w:rsid w:val="005D7066"/>
    <w:rsid w:val="005E4CB2"/>
    <w:rsid w:val="005E6E87"/>
    <w:rsid w:val="005E7131"/>
    <w:rsid w:val="005F0CEA"/>
    <w:rsid w:val="005F3477"/>
    <w:rsid w:val="00616AB6"/>
    <w:rsid w:val="00623DF1"/>
    <w:rsid w:val="00625170"/>
    <w:rsid w:val="00651F5F"/>
    <w:rsid w:val="00656F02"/>
    <w:rsid w:val="0066656F"/>
    <w:rsid w:val="00675C9E"/>
    <w:rsid w:val="00686924"/>
    <w:rsid w:val="006D347F"/>
    <w:rsid w:val="00736CA3"/>
    <w:rsid w:val="00761343"/>
    <w:rsid w:val="00790543"/>
    <w:rsid w:val="00791534"/>
    <w:rsid w:val="007A2F79"/>
    <w:rsid w:val="007C63F6"/>
    <w:rsid w:val="007F097D"/>
    <w:rsid w:val="007F68DE"/>
    <w:rsid w:val="00805DF7"/>
    <w:rsid w:val="00816092"/>
    <w:rsid w:val="00820089"/>
    <w:rsid w:val="00821915"/>
    <w:rsid w:val="008259D8"/>
    <w:rsid w:val="00825CFA"/>
    <w:rsid w:val="00850710"/>
    <w:rsid w:val="008B3E94"/>
    <w:rsid w:val="008B72CB"/>
    <w:rsid w:val="008D012F"/>
    <w:rsid w:val="008D4958"/>
    <w:rsid w:val="008E1C21"/>
    <w:rsid w:val="008E2E85"/>
    <w:rsid w:val="0090229F"/>
    <w:rsid w:val="009057BC"/>
    <w:rsid w:val="009130FB"/>
    <w:rsid w:val="00922F40"/>
    <w:rsid w:val="00946AAE"/>
    <w:rsid w:val="009476F0"/>
    <w:rsid w:val="009522CC"/>
    <w:rsid w:val="00963228"/>
    <w:rsid w:val="009665AC"/>
    <w:rsid w:val="00983CC0"/>
    <w:rsid w:val="00991D6F"/>
    <w:rsid w:val="009940DC"/>
    <w:rsid w:val="0099647D"/>
    <w:rsid w:val="009A180D"/>
    <w:rsid w:val="009A58D1"/>
    <w:rsid w:val="009A6C37"/>
    <w:rsid w:val="009B654D"/>
    <w:rsid w:val="009C1339"/>
    <w:rsid w:val="009D2354"/>
    <w:rsid w:val="009D783B"/>
    <w:rsid w:val="009E4133"/>
    <w:rsid w:val="00A050E3"/>
    <w:rsid w:val="00A11078"/>
    <w:rsid w:val="00A16288"/>
    <w:rsid w:val="00A267DB"/>
    <w:rsid w:val="00A30D51"/>
    <w:rsid w:val="00A31648"/>
    <w:rsid w:val="00A64CFC"/>
    <w:rsid w:val="00A80445"/>
    <w:rsid w:val="00AC6B4F"/>
    <w:rsid w:val="00AF66E5"/>
    <w:rsid w:val="00B04EC4"/>
    <w:rsid w:val="00B24F99"/>
    <w:rsid w:val="00B47EB2"/>
    <w:rsid w:val="00B62AAF"/>
    <w:rsid w:val="00B7639B"/>
    <w:rsid w:val="00BC1324"/>
    <w:rsid w:val="00BC1D4E"/>
    <w:rsid w:val="00BD0835"/>
    <w:rsid w:val="00BD703C"/>
    <w:rsid w:val="00BE0EDE"/>
    <w:rsid w:val="00C07A8B"/>
    <w:rsid w:val="00C31ACD"/>
    <w:rsid w:val="00C430F5"/>
    <w:rsid w:val="00C46337"/>
    <w:rsid w:val="00C470A7"/>
    <w:rsid w:val="00C47C58"/>
    <w:rsid w:val="00C57F05"/>
    <w:rsid w:val="00C865D0"/>
    <w:rsid w:val="00CA2284"/>
    <w:rsid w:val="00CA2437"/>
    <w:rsid w:val="00CC5978"/>
    <w:rsid w:val="00CD51CD"/>
    <w:rsid w:val="00CE0A1D"/>
    <w:rsid w:val="00CE1633"/>
    <w:rsid w:val="00CF6152"/>
    <w:rsid w:val="00CF7068"/>
    <w:rsid w:val="00D46313"/>
    <w:rsid w:val="00D54C66"/>
    <w:rsid w:val="00D56F39"/>
    <w:rsid w:val="00D84D84"/>
    <w:rsid w:val="00D93251"/>
    <w:rsid w:val="00DE05B0"/>
    <w:rsid w:val="00E57795"/>
    <w:rsid w:val="00E67347"/>
    <w:rsid w:val="00E84382"/>
    <w:rsid w:val="00E843AC"/>
    <w:rsid w:val="00E9347D"/>
    <w:rsid w:val="00EA2570"/>
    <w:rsid w:val="00EA41C3"/>
    <w:rsid w:val="00EA5A4F"/>
    <w:rsid w:val="00EB7AD0"/>
    <w:rsid w:val="00F03C95"/>
    <w:rsid w:val="00F27EEE"/>
    <w:rsid w:val="00F33223"/>
    <w:rsid w:val="00F625AB"/>
    <w:rsid w:val="00F9566B"/>
    <w:rsid w:val="00FA4992"/>
    <w:rsid w:val="00FB3085"/>
    <w:rsid w:val="00FB5C8D"/>
    <w:rsid w:val="00FE4AFB"/>
    <w:rsid w:val="24042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Arial"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Arial" w:cs="Arial"/>
      <w:sz w:val="24"/>
      <w:szCs w:val="22"/>
      <w:lang w:val="en-US" w:eastAsia="en-IN" w:bidi="ar-SA"/>
    </w:rPr>
  </w:style>
  <w:style w:type="paragraph" w:styleId="2">
    <w:name w:val="heading 1"/>
    <w:basedOn w:val="1"/>
    <w:next w:val="1"/>
    <w:link w:val="20"/>
    <w:qFormat/>
    <w:uiPriority w:val="9"/>
    <w:pPr>
      <w:spacing w:before="240" w:after="240"/>
      <w:outlineLvl w:val="0"/>
    </w:pPr>
    <w:rPr>
      <w:b/>
    </w:rPr>
  </w:style>
  <w:style w:type="paragraph" w:styleId="3">
    <w:name w:val="heading 2"/>
    <w:basedOn w:val="1"/>
    <w:next w:val="1"/>
    <w:link w:val="21"/>
    <w:unhideWhenUsed/>
    <w:qFormat/>
    <w:uiPriority w:val="9"/>
    <w:pPr>
      <w:keepNext/>
      <w:keepLines/>
      <w:spacing w:before="200"/>
      <w:outlineLvl w:val="1"/>
    </w:pPr>
    <w:rPr>
      <w:rFonts w:eastAsiaTheme="majorEastAsia" w:cstheme="majorBidi"/>
      <w:b/>
      <w:bCs/>
      <w:szCs w:val="26"/>
    </w:rPr>
  </w:style>
  <w:style w:type="paragraph" w:styleId="4">
    <w:name w:val="heading 3"/>
    <w:basedOn w:val="1"/>
    <w:next w:val="1"/>
    <w:link w:val="24"/>
    <w:unhideWhenUsed/>
    <w:qFormat/>
    <w:uiPriority w:val="9"/>
    <w:pPr>
      <w:keepNext/>
      <w:keepLines/>
      <w:spacing w:before="200"/>
      <w:outlineLvl w:val="2"/>
    </w:pPr>
    <w:rPr>
      <w:rFonts w:asciiTheme="majorHAnsi" w:hAnsiTheme="majorHAnsi" w:eastAsiaTheme="majorEastAsia" w:cstheme="majorBidi"/>
      <w:b/>
      <w:bCs/>
      <w:color w:val="4F81BD" w:themeColor="accent1"/>
    </w:rPr>
  </w:style>
  <w:style w:type="paragraph" w:styleId="5">
    <w:name w:val="heading 4"/>
    <w:basedOn w:val="1"/>
    <w:next w:val="1"/>
    <w:link w:val="25"/>
    <w:unhideWhenUsed/>
    <w:qFormat/>
    <w:uiPriority w:val="9"/>
    <w:pPr>
      <w:keepNext/>
      <w:keepLines/>
      <w:spacing w:before="200"/>
      <w:jc w:val="center"/>
      <w:outlineLvl w:val="3"/>
    </w:pPr>
    <w:rPr>
      <w:rFonts w:eastAsiaTheme="majorEastAsia" w:cstheme="majorBidi"/>
      <w:b/>
      <w:bCs/>
      <w:iCs/>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unhideWhenUsed/>
    <w:uiPriority w:val="99"/>
    <w:pPr>
      <w:spacing w:line="240" w:lineRule="auto"/>
    </w:pPr>
    <w:rPr>
      <w:rFonts w:ascii="Tahoma" w:hAnsi="Tahoma" w:cs="Tahoma"/>
      <w:sz w:val="16"/>
      <w:szCs w:val="16"/>
    </w:rPr>
  </w:style>
  <w:style w:type="paragraph" w:styleId="7">
    <w:name w:val="footer"/>
    <w:basedOn w:val="1"/>
    <w:link w:val="19"/>
    <w:unhideWhenUsed/>
    <w:uiPriority w:val="99"/>
    <w:pPr>
      <w:tabs>
        <w:tab w:val="center" w:pos="4680"/>
        <w:tab w:val="right" w:pos="9360"/>
      </w:tabs>
      <w:spacing w:line="240" w:lineRule="auto"/>
    </w:pPr>
  </w:style>
  <w:style w:type="paragraph" w:styleId="8">
    <w:name w:val="header"/>
    <w:basedOn w:val="1"/>
    <w:link w:val="18"/>
    <w:semiHidden/>
    <w:unhideWhenUsed/>
    <w:uiPriority w:val="99"/>
    <w:pPr>
      <w:tabs>
        <w:tab w:val="center" w:pos="4680"/>
        <w:tab w:val="right" w:pos="9360"/>
      </w:tabs>
      <w:spacing w:line="240" w:lineRule="auto"/>
    </w:pPr>
  </w:style>
  <w:style w:type="paragraph" w:styleId="9">
    <w:name w:val="toc 1"/>
    <w:basedOn w:val="1"/>
    <w:next w:val="1"/>
    <w:unhideWhenUsed/>
    <w:uiPriority w:val="39"/>
    <w:pPr>
      <w:spacing w:after="100"/>
    </w:pPr>
  </w:style>
  <w:style w:type="paragraph" w:styleId="10">
    <w:name w:val="table of figures"/>
    <w:basedOn w:val="1"/>
    <w:next w:val="1"/>
    <w:unhideWhenUsed/>
    <w:uiPriority w:val="99"/>
  </w:style>
  <w:style w:type="paragraph" w:styleId="11">
    <w:name w:val="toc 2"/>
    <w:basedOn w:val="1"/>
    <w:next w:val="1"/>
    <w:unhideWhenUsed/>
    <w:uiPriority w:val="39"/>
    <w:pPr>
      <w:spacing w:after="100"/>
      <w:ind w:left="240"/>
    </w:pPr>
  </w:style>
  <w:style w:type="paragraph" w:styleId="12">
    <w:name w:val="Normal (Web)"/>
    <w:basedOn w:val="1"/>
    <w:semiHidden/>
    <w:unhideWhenUsed/>
    <w:uiPriority w:val="99"/>
    <w:pPr>
      <w:spacing w:before="100" w:beforeAutospacing="1" w:after="100" w:afterAutospacing="1" w:line="240" w:lineRule="auto"/>
      <w:jc w:val="left"/>
    </w:pPr>
    <w:rPr>
      <w:rFonts w:eastAsia="Times New Roman" w:cs="Times New Roman"/>
      <w:szCs w:val="24"/>
      <w:lang w:eastAsia="en-US"/>
    </w:rPr>
  </w:style>
  <w:style w:type="character" w:styleId="15">
    <w:name w:val="Strong"/>
    <w:basedOn w:val="14"/>
    <w:qFormat/>
    <w:uiPriority w:val="22"/>
    <w:rPr>
      <w:b/>
      <w:bCs/>
    </w:rPr>
  </w:style>
  <w:style w:type="character" w:styleId="16">
    <w:name w:val="Emphasis"/>
    <w:basedOn w:val="14"/>
    <w:qFormat/>
    <w:uiPriority w:val="20"/>
    <w:rPr>
      <w:i/>
      <w:iCs/>
    </w:rPr>
  </w:style>
  <w:style w:type="character" w:styleId="17">
    <w:name w:val="Hyperlink"/>
    <w:basedOn w:val="14"/>
    <w:unhideWhenUsed/>
    <w:uiPriority w:val="99"/>
    <w:rPr>
      <w:color w:val="0000FF" w:themeColor="hyperlink"/>
      <w:u w:val="single"/>
    </w:rPr>
  </w:style>
  <w:style w:type="character" w:customStyle="1" w:styleId="18">
    <w:name w:val="Header Char"/>
    <w:basedOn w:val="14"/>
    <w:link w:val="8"/>
    <w:semiHidden/>
    <w:qFormat/>
    <w:uiPriority w:val="99"/>
    <w:rPr>
      <w:rFonts w:ascii="Times New Roman" w:hAnsi="Times New Roman" w:cs="Arial"/>
      <w:sz w:val="24"/>
      <w:lang w:eastAsia="en-IN"/>
    </w:rPr>
  </w:style>
  <w:style w:type="character" w:customStyle="1" w:styleId="19">
    <w:name w:val="Footer Char"/>
    <w:basedOn w:val="14"/>
    <w:link w:val="7"/>
    <w:qFormat/>
    <w:uiPriority w:val="99"/>
    <w:rPr>
      <w:rFonts w:ascii="Times New Roman" w:hAnsi="Times New Roman" w:cs="Arial"/>
      <w:sz w:val="24"/>
      <w:lang w:eastAsia="en-IN"/>
    </w:rPr>
  </w:style>
  <w:style w:type="character" w:customStyle="1" w:styleId="20">
    <w:name w:val="Heading 1 Char"/>
    <w:basedOn w:val="14"/>
    <w:link w:val="2"/>
    <w:uiPriority w:val="9"/>
    <w:rPr>
      <w:rFonts w:ascii="Times New Roman" w:hAnsi="Times New Roman" w:cs="Arial"/>
      <w:b/>
      <w:sz w:val="24"/>
      <w:lang w:eastAsia="en-IN"/>
    </w:rPr>
  </w:style>
  <w:style w:type="character" w:customStyle="1" w:styleId="21">
    <w:name w:val="Heading 2 Char"/>
    <w:basedOn w:val="14"/>
    <w:link w:val="3"/>
    <w:uiPriority w:val="9"/>
    <w:rPr>
      <w:rFonts w:ascii="Times New Roman" w:hAnsi="Times New Roman" w:eastAsiaTheme="majorEastAsia" w:cstheme="majorBidi"/>
      <w:b/>
      <w:bCs/>
      <w:sz w:val="24"/>
      <w:szCs w:val="26"/>
      <w:lang w:eastAsia="en-IN"/>
    </w:rPr>
  </w:style>
  <w:style w:type="paragraph" w:customStyle="1" w:styleId="22">
    <w:name w:val="TOC Heading"/>
    <w:basedOn w:val="2"/>
    <w:next w:val="1"/>
    <w:semiHidden/>
    <w:unhideWhenUsed/>
    <w:qFormat/>
    <w:uiPriority w:val="39"/>
    <w:pPr>
      <w:keepNext/>
      <w:keepLines/>
      <w:spacing w:before="480" w:after="0" w:line="276" w:lineRule="auto"/>
      <w:jc w:val="left"/>
      <w:outlineLvl w:val="9"/>
    </w:pPr>
    <w:rPr>
      <w:rFonts w:asciiTheme="majorHAnsi" w:hAnsiTheme="majorHAnsi" w:eastAsiaTheme="majorEastAsia" w:cstheme="majorBidi"/>
      <w:bCs/>
      <w:color w:val="366091" w:themeColor="accent1" w:themeShade="BF"/>
      <w:sz w:val="28"/>
      <w:szCs w:val="28"/>
      <w:lang w:eastAsia="en-US"/>
    </w:rPr>
  </w:style>
  <w:style w:type="character" w:customStyle="1" w:styleId="23">
    <w:name w:val="Balloon Text Char"/>
    <w:basedOn w:val="14"/>
    <w:link w:val="6"/>
    <w:semiHidden/>
    <w:uiPriority w:val="99"/>
    <w:rPr>
      <w:rFonts w:ascii="Tahoma" w:hAnsi="Tahoma" w:cs="Tahoma"/>
      <w:sz w:val="16"/>
      <w:szCs w:val="16"/>
      <w:lang w:eastAsia="en-IN"/>
    </w:rPr>
  </w:style>
  <w:style w:type="character" w:customStyle="1" w:styleId="24">
    <w:name w:val="Heading 3 Char"/>
    <w:basedOn w:val="14"/>
    <w:link w:val="4"/>
    <w:uiPriority w:val="9"/>
    <w:rPr>
      <w:rFonts w:asciiTheme="majorHAnsi" w:hAnsiTheme="majorHAnsi" w:eastAsiaTheme="majorEastAsia" w:cstheme="majorBidi"/>
      <w:b/>
      <w:bCs/>
      <w:color w:val="4F81BD" w:themeColor="accent1"/>
      <w:sz w:val="24"/>
      <w:lang w:eastAsia="en-IN"/>
    </w:rPr>
  </w:style>
  <w:style w:type="character" w:customStyle="1" w:styleId="25">
    <w:name w:val="Heading 4 Char"/>
    <w:basedOn w:val="14"/>
    <w:link w:val="5"/>
    <w:uiPriority w:val="9"/>
    <w:rPr>
      <w:rFonts w:ascii="Times New Roman" w:hAnsi="Times New Roman" w:eastAsiaTheme="majorEastAsia" w:cstheme="majorBidi"/>
      <w:b/>
      <w:bCs/>
      <w:iCs/>
      <w:sz w:val="24"/>
      <w:lang w:eastAsia="en-IN"/>
    </w:rPr>
  </w:style>
  <w:style w:type="paragraph" w:styleId="26">
    <w:name w:val="No Spacing"/>
    <w:qFormat/>
    <w:uiPriority w:val="1"/>
    <w:pPr>
      <w:spacing w:after="0" w:line="240" w:lineRule="auto"/>
    </w:pPr>
    <w:rPr>
      <w:rFonts w:ascii="Arial" w:hAnsi="Arial" w:eastAsia="Times New Roman" w:cs="Times New Roman"/>
      <w:sz w:val="24"/>
      <w:szCs w:val="20"/>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2.png"/><Relationship Id="rId12" Type="http://schemas.microsoft.com/office/2007/relationships/diagramDrawing" Target="diagrams/drawing1.xml"/><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330BA43C-D33C-43F9-A6F9-70A7431D6FEB}" type="doc">
      <dgm:prSet loTypeId="urn:microsoft.com/office/officeart/2005/8/layout/cycle7#1" loCatId="cycle" qsTypeId="urn:microsoft.com/office/officeart/2005/8/quickstyle/simple1" qsCatId="simple" csTypeId="urn:microsoft.com/office/officeart/2005/8/colors/colorful2" csCatId="colorful" phldr="1"/>
      <dgm:spPr/>
      <dgm:t>
        <a:bodyPr/>
        <a:p>
          <a:endParaRPr lang="en-US"/>
        </a:p>
      </dgm:t>
    </dgm:pt>
    <dgm:pt modelId="{6583F13C-FF42-4418-BA2E-3F1698B93F84}">
      <dgm:prSet phldrT="[Text]" custT="1"/>
      <dgm:spPr/>
      <dgm:t>
        <a:bodyPr/>
        <a:p>
          <a:r>
            <a:rPr lang="en-US" sz="1200">
              <a:solidFill>
                <a:sysClr val="windowText" lastClr="000000"/>
              </a:solidFill>
              <a:latin typeface="Times New Roman" panose="02020603050405020304" charset="0"/>
              <a:cs typeface="Times New Roman" panose="02020603050405020304" charset="0"/>
            </a:rPr>
            <a:t>Staffing</a:t>
          </a:r>
        </a:p>
      </dgm:t>
    </dgm:pt>
    <dgm:pt modelId="{BAD08321-CE5E-4E28-8B52-2848576B37DF}" cxnId="{C87B3C12-91AF-431A-BF71-B5760C007B64}" type="parTrans">
      <dgm:prSet/>
      <dgm:spPr/>
      <dgm:t>
        <a:bodyPr/>
        <a:p>
          <a:endParaRPr lang="en-US"/>
        </a:p>
      </dgm:t>
    </dgm:pt>
    <dgm:pt modelId="{BD5E59AB-8FF4-41B7-8241-B6A30140E6C4}" cxnId="{C87B3C12-91AF-431A-BF71-B5760C007B64}" type="sibTrans">
      <dgm:prSet/>
      <dgm:spPr/>
      <dgm:t>
        <a:bodyPr/>
        <a:p>
          <a:endParaRPr lang="en-US"/>
        </a:p>
      </dgm:t>
    </dgm:pt>
    <dgm:pt modelId="{32703001-6220-48EE-AE8B-05573A4EDF84}">
      <dgm:prSet phldrT="[Text]" custT="1"/>
      <dgm:spPr/>
      <dgm:t>
        <a:bodyPr/>
        <a:p>
          <a:r>
            <a:rPr lang="en-US" sz="1200">
              <a:solidFill>
                <a:sysClr val="windowText" lastClr="000000"/>
              </a:solidFill>
              <a:latin typeface="Times New Roman" panose="02020603050405020304" charset="0"/>
              <a:cs typeface="Times New Roman" panose="02020603050405020304" charset="0"/>
            </a:rPr>
            <a:t>Traning and development</a:t>
          </a:r>
        </a:p>
      </dgm:t>
    </dgm:pt>
    <dgm:pt modelId="{4FC8EB8D-C788-4AC0-A0E6-C9171EF96295}" cxnId="{3DBBEADA-6908-4822-A289-C4E063CA7028}" type="parTrans">
      <dgm:prSet/>
      <dgm:spPr/>
      <dgm:t>
        <a:bodyPr/>
        <a:p>
          <a:endParaRPr lang="en-US"/>
        </a:p>
      </dgm:t>
    </dgm:pt>
    <dgm:pt modelId="{14DFEC7C-2D1A-4064-8C7A-AD53730E091A}" cxnId="{3DBBEADA-6908-4822-A289-C4E063CA7028}" type="sibTrans">
      <dgm:prSet/>
      <dgm:spPr/>
      <dgm:t>
        <a:bodyPr/>
        <a:p>
          <a:endParaRPr lang="en-US"/>
        </a:p>
      </dgm:t>
    </dgm:pt>
    <dgm:pt modelId="{B3BA57C5-A32D-48B7-A125-63C76903B3A0}">
      <dgm:prSet phldrT="[Text]" custT="1"/>
      <dgm:spPr/>
      <dgm:t>
        <a:bodyPr/>
        <a:p>
          <a:r>
            <a:rPr lang="en-US" sz="1200">
              <a:solidFill>
                <a:sysClr val="windowText" lastClr="000000"/>
              </a:solidFill>
              <a:latin typeface="Times New Roman" panose="02020603050405020304" charset="0"/>
              <a:cs typeface="Times New Roman" panose="02020603050405020304" charset="0"/>
            </a:rPr>
            <a:t>Motivation</a:t>
          </a:r>
        </a:p>
      </dgm:t>
    </dgm:pt>
    <dgm:pt modelId="{C38A563F-A53C-455D-82BE-47629A9F199E}" cxnId="{D41F9C98-07BD-4AAE-ABA9-96BE4F81461A}" type="parTrans">
      <dgm:prSet/>
      <dgm:spPr/>
      <dgm:t>
        <a:bodyPr/>
        <a:p>
          <a:endParaRPr lang="en-US"/>
        </a:p>
      </dgm:t>
    </dgm:pt>
    <dgm:pt modelId="{47D865B5-2E3C-4248-AB66-A5A39A74DBFC}" cxnId="{D41F9C98-07BD-4AAE-ABA9-96BE4F81461A}" type="sibTrans">
      <dgm:prSet/>
      <dgm:spPr/>
      <dgm:t>
        <a:bodyPr/>
        <a:p>
          <a:endParaRPr lang="en-US"/>
        </a:p>
      </dgm:t>
    </dgm:pt>
    <dgm:pt modelId="{F6BF33BD-1912-4FF9-9D01-5897C283CADD}">
      <dgm:prSet phldrT="[Text]" custT="1"/>
      <dgm:spPr/>
      <dgm:t>
        <a:bodyPr/>
        <a:p>
          <a:r>
            <a:rPr lang="en-US" sz="1200">
              <a:solidFill>
                <a:sysClr val="windowText" lastClr="000000"/>
              </a:solidFill>
              <a:latin typeface="Times New Roman" panose="02020603050405020304" charset="0"/>
              <a:cs typeface="Times New Roman" panose="02020603050405020304" charset="0"/>
            </a:rPr>
            <a:t>Retentions</a:t>
          </a:r>
        </a:p>
      </dgm:t>
    </dgm:pt>
    <dgm:pt modelId="{7D968D2C-77E8-40BB-A849-0BCED6ED2C69}" cxnId="{C56B49B0-1FCF-40D9-A4F9-C325384D8969}" type="parTrans">
      <dgm:prSet/>
      <dgm:spPr/>
      <dgm:t>
        <a:bodyPr/>
        <a:p>
          <a:endParaRPr lang="en-US"/>
        </a:p>
      </dgm:t>
    </dgm:pt>
    <dgm:pt modelId="{BE7204EF-904B-45A7-B8AF-8388BC27D979}" cxnId="{C56B49B0-1FCF-40D9-A4F9-C325384D8969}" type="sibTrans">
      <dgm:prSet/>
      <dgm:spPr/>
      <dgm:t>
        <a:bodyPr/>
        <a:p>
          <a:endParaRPr lang="en-US"/>
        </a:p>
      </dgm:t>
    </dgm:pt>
    <dgm:pt modelId="{A705C7DB-B564-4BA5-9FE1-2CDC55D1CDA5}" type="pres">
      <dgm:prSet presAssocID="{330BA43C-D33C-43F9-A6F9-70A7431D6FEB}" presName="Name0" presStyleCnt="0">
        <dgm:presLayoutVars>
          <dgm:dir/>
          <dgm:resizeHandles val="exact"/>
        </dgm:presLayoutVars>
      </dgm:prSet>
      <dgm:spPr/>
      <dgm:t>
        <a:bodyPr/>
        <a:p>
          <a:endParaRPr lang="en-US"/>
        </a:p>
      </dgm:t>
    </dgm:pt>
    <dgm:pt modelId="{60B349EE-788E-4E9B-87B2-F21E15BF956B}" type="pres">
      <dgm:prSet presAssocID="{6583F13C-FF42-4418-BA2E-3F1698B93F84}" presName="node" presStyleLbl="node1" presStyleIdx="0" presStyleCnt="4">
        <dgm:presLayoutVars>
          <dgm:bulletEnabled val="1"/>
        </dgm:presLayoutVars>
      </dgm:prSet>
      <dgm:spPr/>
      <dgm:t>
        <a:bodyPr/>
        <a:p>
          <a:endParaRPr lang="en-US"/>
        </a:p>
      </dgm:t>
    </dgm:pt>
    <dgm:pt modelId="{BB9E219C-FCAD-46B7-B8BA-355A4CAC37B1}" type="pres">
      <dgm:prSet presAssocID="{BD5E59AB-8FF4-41B7-8241-B6A30140E6C4}" presName="sibTrans" presStyleLbl="sibTrans2D1" presStyleIdx="0" presStyleCnt="4"/>
      <dgm:spPr/>
      <dgm:t>
        <a:bodyPr/>
        <a:p>
          <a:endParaRPr lang="en-US"/>
        </a:p>
      </dgm:t>
    </dgm:pt>
    <dgm:pt modelId="{051A6DA9-4968-4FDC-ACE5-3ABB812A6226}" type="pres">
      <dgm:prSet presAssocID="{BD5E59AB-8FF4-41B7-8241-B6A30140E6C4}" presName="connectorText" presStyleLbl="sibTrans2D1" presStyleIdx="0" presStyleCnt="4"/>
      <dgm:spPr/>
      <dgm:t>
        <a:bodyPr/>
        <a:p>
          <a:endParaRPr lang="en-US"/>
        </a:p>
      </dgm:t>
    </dgm:pt>
    <dgm:pt modelId="{0AC20113-F7B3-42F0-95A3-CFFADCA58A07}" type="pres">
      <dgm:prSet presAssocID="{32703001-6220-48EE-AE8B-05573A4EDF84}" presName="node" presStyleLbl="node1" presStyleIdx="1" presStyleCnt="4">
        <dgm:presLayoutVars>
          <dgm:bulletEnabled val="1"/>
        </dgm:presLayoutVars>
      </dgm:prSet>
      <dgm:spPr/>
      <dgm:t>
        <a:bodyPr/>
        <a:p>
          <a:endParaRPr lang="en-US"/>
        </a:p>
      </dgm:t>
    </dgm:pt>
    <dgm:pt modelId="{F4FCB08A-4740-401F-8D1C-40E35B9EF5B5}" type="pres">
      <dgm:prSet presAssocID="{14DFEC7C-2D1A-4064-8C7A-AD53730E091A}" presName="sibTrans" presStyleLbl="sibTrans2D1" presStyleIdx="1" presStyleCnt="4"/>
      <dgm:spPr/>
      <dgm:t>
        <a:bodyPr/>
        <a:p>
          <a:endParaRPr lang="en-US"/>
        </a:p>
      </dgm:t>
    </dgm:pt>
    <dgm:pt modelId="{53FB5FE0-4BB2-4D58-91E1-1B87DCD91AF4}" type="pres">
      <dgm:prSet presAssocID="{14DFEC7C-2D1A-4064-8C7A-AD53730E091A}" presName="connectorText" presStyleLbl="sibTrans2D1" presStyleIdx="1" presStyleCnt="4"/>
      <dgm:spPr/>
      <dgm:t>
        <a:bodyPr/>
        <a:p>
          <a:endParaRPr lang="en-US"/>
        </a:p>
      </dgm:t>
    </dgm:pt>
    <dgm:pt modelId="{65E4B28B-20A5-4F79-93A8-90B5AEC0D30D}" type="pres">
      <dgm:prSet presAssocID="{B3BA57C5-A32D-48B7-A125-63C76903B3A0}" presName="node" presStyleLbl="node1" presStyleIdx="2" presStyleCnt="4">
        <dgm:presLayoutVars>
          <dgm:bulletEnabled val="1"/>
        </dgm:presLayoutVars>
      </dgm:prSet>
      <dgm:spPr/>
      <dgm:t>
        <a:bodyPr/>
        <a:p>
          <a:endParaRPr lang="en-US"/>
        </a:p>
      </dgm:t>
    </dgm:pt>
    <dgm:pt modelId="{623028F1-A777-496D-B387-CBC479AF604C}" type="pres">
      <dgm:prSet presAssocID="{47D865B5-2E3C-4248-AB66-A5A39A74DBFC}" presName="sibTrans" presStyleLbl="sibTrans2D1" presStyleIdx="2" presStyleCnt="4"/>
      <dgm:spPr/>
      <dgm:t>
        <a:bodyPr/>
        <a:p>
          <a:endParaRPr lang="en-US"/>
        </a:p>
      </dgm:t>
    </dgm:pt>
    <dgm:pt modelId="{966DD2A9-6143-42F7-8C1E-C9B6855C5139}" type="pres">
      <dgm:prSet presAssocID="{47D865B5-2E3C-4248-AB66-A5A39A74DBFC}" presName="connectorText" presStyleLbl="sibTrans2D1" presStyleIdx="2" presStyleCnt="4"/>
      <dgm:spPr/>
      <dgm:t>
        <a:bodyPr/>
        <a:p>
          <a:endParaRPr lang="en-US"/>
        </a:p>
      </dgm:t>
    </dgm:pt>
    <dgm:pt modelId="{CB0CC9A3-AD38-4185-AE40-50C4D945F551}" type="pres">
      <dgm:prSet presAssocID="{F6BF33BD-1912-4FF9-9D01-5897C283CADD}" presName="node" presStyleLbl="node1" presStyleIdx="3" presStyleCnt="4">
        <dgm:presLayoutVars>
          <dgm:bulletEnabled val="1"/>
        </dgm:presLayoutVars>
      </dgm:prSet>
      <dgm:spPr/>
      <dgm:t>
        <a:bodyPr/>
        <a:p>
          <a:endParaRPr lang="en-US"/>
        </a:p>
      </dgm:t>
    </dgm:pt>
    <dgm:pt modelId="{281B193E-8235-4A26-9C9E-D39667DD6463}" type="pres">
      <dgm:prSet presAssocID="{BE7204EF-904B-45A7-B8AF-8388BC27D979}" presName="sibTrans" presStyleLbl="sibTrans2D1" presStyleIdx="3" presStyleCnt="4"/>
      <dgm:spPr/>
      <dgm:t>
        <a:bodyPr/>
        <a:p>
          <a:endParaRPr lang="en-US"/>
        </a:p>
      </dgm:t>
    </dgm:pt>
    <dgm:pt modelId="{03628D41-E7C1-4437-AC19-F5A6352C86B4}" type="pres">
      <dgm:prSet presAssocID="{BE7204EF-904B-45A7-B8AF-8388BC27D979}" presName="connectorText" presStyleLbl="sibTrans2D1" presStyleIdx="3" presStyleCnt="4"/>
      <dgm:spPr/>
      <dgm:t>
        <a:bodyPr/>
        <a:p>
          <a:endParaRPr lang="en-US"/>
        </a:p>
      </dgm:t>
    </dgm:pt>
  </dgm:ptLst>
  <dgm:cxnLst>
    <dgm:cxn modelId="{B876D48B-F590-413B-91DD-42A8D1C42C9C}" type="presOf" srcId="{32703001-6220-48EE-AE8B-05573A4EDF84}" destId="{0AC20113-F7B3-42F0-95A3-CFFADCA58A07}" srcOrd="0" destOrd="0" presId="urn:microsoft.com/office/officeart/2005/8/layout/cycle7#1"/>
    <dgm:cxn modelId="{3DBBEADA-6908-4822-A289-C4E063CA7028}" srcId="{330BA43C-D33C-43F9-A6F9-70A7431D6FEB}" destId="{32703001-6220-48EE-AE8B-05573A4EDF84}" srcOrd="1" destOrd="0" parTransId="{4FC8EB8D-C788-4AC0-A0E6-C9171EF96295}" sibTransId="{14DFEC7C-2D1A-4064-8C7A-AD53730E091A}"/>
    <dgm:cxn modelId="{C87B3C12-91AF-431A-BF71-B5760C007B64}" srcId="{330BA43C-D33C-43F9-A6F9-70A7431D6FEB}" destId="{6583F13C-FF42-4418-BA2E-3F1698B93F84}" srcOrd="0" destOrd="0" parTransId="{BAD08321-CE5E-4E28-8B52-2848576B37DF}" sibTransId="{BD5E59AB-8FF4-41B7-8241-B6A30140E6C4}"/>
    <dgm:cxn modelId="{D2D21157-5023-45B0-8C6C-FC186004F50B}" type="presOf" srcId="{47D865B5-2E3C-4248-AB66-A5A39A74DBFC}" destId="{623028F1-A777-496D-B387-CBC479AF604C}" srcOrd="0" destOrd="0" presId="urn:microsoft.com/office/officeart/2005/8/layout/cycle7#1"/>
    <dgm:cxn modelId="{1D5A2389-378A-43C0-A3B1-FDEC57DE6553}" type="presOf" srcId="{F6BF33BD-1912-4FF9-9D01-5897C283CADD}" destId="{CB0CC9A3-AD38-4185-AE40-50C4D945F551}" srcOrd="0" destOrd="0" presId="urn:microsoft.com/office/officeart/2005/8/layout/cycle7#1"/>
    <dgm:cxn modelId="{E7E68B5C-8EE8-4C78-A465-D9FDC71DFB76}" type="presOf" srcId="{330BA43C-D33C-43F9-A6F9-70A7431D6FEB}" destId="{A705C7DB-B564-4BA5-9FE1-2CDC55D1CDA5}" srcOrd="0" destOrd="0" presId="urn:microsoft.com/office/officeart/2005/8/layout/cycle7#1"/>
    <dgm:cxn modelId="{85635F59-AFE0-4FC9-944C-704BB1D68D3F}" type="presOf" srcId="{6583F13C-FF42-4418-BA2E-3F1698B93F84}" destId="{60B349EE-788E-4E9B-87B2-F21E15BF956B}" srcOrd="0" destOrd="0" presId="urn:microsoft.com/office/officeart/2005/8/layout/cycle7#1"/>
    <dgm:cxn modelId="{2AAC1215-352F-48B6-A554-EC664087A3C5}" type="presOf" srcId="{BD5E59AB-8FF4-41B7-8241-B6A30140E6C4}" destId="{BB9E219C-FCAD-46B7-B8BA-355A4CAC37B1}" srcOrd="0" destOrd="0" presId="urn:microsoft.com/office/officeart/2005/8/layout/cycle7#1"/>
    <dgm:cxn modelId="{EC4D1D66-D36C-435D-A033-A7A566470319}" type="presOf" srcId="{BE7204EF-904B-45A7-B8AF-8388BC27D979}" destId="{281B193E-8235-4A26-9C9E-D39667DD6463}" srcOrd="0" destOrd="0" presId="urn:microsoft.com/office/officeart/2005/8/layout/cycle7#1"/>
    <dgm:cxn modelId="{8701A321-4AE6-45A0-9F56-6B94AB6EF182}" type="presOf" srcId="{BE7204EF-904B-45A7-B8AF-8388BC27D979}" destId="{03628D41-E7C1-4437-AC19-F5A6352C86B4}" srcOrd="1" destOrd="0" presId="urn:microsoft.com/office/officeart/2005/8/layout/cycle7#1"/>
    <dgm:cxn modelId="{AB7DDEE5-40EA-4AA4-BDF1-7133FA35B5F4}" type="presOf" srcId="{BD5E59AB-8FF4-41B7-8241-B6A30140E6C4}" destId="{051A6DA9-4968-4FDC-ACE5-3ABB812A6226}" srcOrd="1" destOrd="0" presId="urn:microsoft.com/office/officeart/2005/8/layout/cycle7#1"/>
    <dgm:cxn modelId="{0CE5A80C-B324-4A32-B5C9-2908EB2BFDF6}" type="presOf" srcId="{47D865B5-2E3C-4248-AB66-A5A39A74DBFC}" destId="{966DD2A9-6143-42F7-8C1E-C9B6855C5139}" srcOrd="1" destOrd="0" presId="urn:microsoft.com/office/officeart/2005/8/layout/cycle7#1"/>
    <dgm:cxn modelId="{D41F9C98-07BD-4AAE-ABA9-96BE4F81461A}" srcId="{330BA43C-D33C-43F9-A6F9-70A7431D6FEB}" destId="{B3BA57C5-A32D-48B7-A125-63C76903B3A0}" srcOrd="2" destOrd="0" parTransId="{C38A563F-A53C-455D-82BE-47629A9F199E}" sibTransId="{47D865B5-2E3C-4248-AB66-A5A39A74DBFC}"/>
    <dgm:cxn modelId="{C56B49B0-1FCF-40D9-A4F9-C325384D8969}" srcId="{330BA43C-D33C-43F9-A6F9-70A7431D6FEB}" destId="{F6BF33BD-1912-4FF9-9D01-5897C283CADD}" srcOrd="3" destOrd="0" parTransId="{7D968D2C-77E8-40BB-A849-0BCED6ED2C69}" sibTransId="{BE7204EF-904B-45A7-B8AF-8388BC27D979}"/>
    <dgm:cxn modelId="{BBCB9394-2037-4A9E-A736-DEFE4780BAAF}" type="presOf" srcId="{14DFEC7C-2D1A-4064-8C7A-AD53730E091A}" destId="{F4FCB08A-4740-401F-8D1C-40E35B9EF5B5}" srcOrd="0" destOrd="0" presId="urn:microsoft.com/office/officeart/2005/8/layout/cycle7#1"/>
    <dgm:cxn modelId="{6F3D3EA2-C69D-47A4-A90F-7628D9ADEE71}" type="presOf" srcId="{B3BA57C5-A32D-48B7-A125-63C76903B3A0}" destId="{65E4B28B-20A5-4F79-93A8-90B5AEC0D30D}" srcOrd="0" destOrd="0" presId="urn:microsoft.com/office/officeart/2005/8/layout/cycle7#1"/>
    <dgm:cxn modelId="{EE0C1172-3EBC-4613-8DB0-0A01C2C51351}" type="presOf" srcId="{14DFEC7C-2D1A-4064-8C7A-AD53730E091A}" destId="{53FB5FE0-4BB2-4D58-91E1-1B87DCD91AF4}" srcOrd="1" destOrd="0" presId="urn:microsoft.com/office/officeart/2005/8/layout/cycle7#1"/>
    <dgm:cxn modelId="{EFB936C1-2A41-4162-9BF1-E480DD7E5171}" type="presParOf" srcId="{A705C7DB-B564-4BA5-9FE1-2CDC55D1CDA5}" destId="{60B349EE-788E-4E9B-87B2-F21E15BF956B}" srcOrd="0" destOrd="0" presId="urn:microsoft.com/office/officeart/2005/8/layout/cycle7#1"/>
    <dgm:cxn modelId="{2845599A-2CE0-4425-829F-BEBF1AA953F0}" type="presParOf" srcId="{A705C7DB-B564-4BA5-9FE1-2CDC55D1CDA5}" destId="{BB9E219C-FCAD-46B7-B8BA-355A4CAC37B1}" srcOrd="1" destOrd="0" presId="urn:microsoft.com/office/officeart/2005/8/layout/cycle7#1"/>
    <dgm:cxn modelId="{45BA8AD4-6B33-4955-9027-533D252F91F3}" type="presParOf" srcId="{BB9E219C-FCAD-46B7-B8BA-355A4CAC37B1}" destId="{051A6DA9-4968-4FDC-ACE5-3ABB812A6226}" srcOrd="0" destOrd="0" presId="urn:microsoft.com/office/officeart/2005/8/layout/cycle7#1"/>
    <dgm:cxn modelId="{FECE915A-4F36-49B7-BAEE-61E4378937CC}" type="presParOf" srcId="{A705C7DB-B564-4BA5-9FE1-2CDC55D1CDA5}" destId="{0AC20113-F7B3-42F0-95A3-CFFADCA58A07}" srcOrd="2" destOrd="0" presId="urn:microsoft.com/office/officeart/2005/8/layout/cycle7#1"/>
    <dgm:cxn modelId="{67E99985-976D-4B6F-A8B7-143EC8E6A1B0}" type="presParOf" srcId="{A705C7DB-B564-4BA5-9FE1-2CDC55D1CDA5}" destId="{F4FCB08A-4740-401F-8D1C-40E35B9EF5B5}" srcOrd="3" destOrd="0" presId="urn:microsoft.com/office/officeart/2005/8/layout/cycle7#1"/>
    <dgm:cxn modelId="{35908C0F-90F0-4C26-A532-9C65563CB35D}" type="presParOf" srcId="{F4FCB08A-4740-401F-8D1C-40E35B9EF5B5}" destId="{53FB5FE0-4BB2-4D58-91E1-1B87DCD91AF4}" srcOrd="0" destOrd="0" presId="urn:microsoft.com/office/officeart/2005/8/layout/cycle7#1"/>
    <dgm:cxn modelId="{7C1A3177-73A6-4210-8D61-0D5A8944177E}" type="presParOf" srcId="{A705C7DB-B564-4BA5-9FE1-2CDC55D1CDA5}" destId="{65E4B28B-20A5-4F79-93A8-90B5AEC0D30D}" srcOrd="4" destOrd="0" presId="urn:microsoft.com/office/officeart/2005/8/layout/cycle7#1"/>
    <dgm:cxn modelId="{032A4B24-AE3B-4347-8768-0BA351C1D03E}" type="presParOf" srcId="{A705C7DB-B564-4BA5-9FE1-2CDC55D1CDA5}" destId="{623028F1-A777-496D-B387-CBC479AF604C}" srcOrd="5" destOrd="0" presId="urn:microsoft.com/office/officeart/2005/8/layout/cycle7#1"/>
    <dgm:cxn modelId="{FA993786-6B94-48EC-A520-99D57DCDEC85}" type="presParOf" srcId="{623028F1-A777-496D-B387-CBC479AF604C}" destId="{966DD2A9-6143-42F7-8C1E-C9B6855C5139}" srcOrd="0" destOrd="0" presId="urn:microsoft.com/office/officeart/2005/8/layout/cycle7#1"/>
    <dgm:cxn modelId="{EED5C6DB-E28D-473F-AAB6-FCA536426643}" type="presParOf" srcId="{A705C7DB-B564-4BA5-9FE1-2CDC55D1CDA5}" destId="{CB0CC9A3-AD38-4185-AE40-50C4D945F551}" srcOrd="6" destOrd="0" presId="urn:microsoft.com/office/officeart/2005/8/layout/cycle7#1"/>
    <dgm:cxn modelId="{B237A523-D566-4673-9FC0-3E0CBC3A6C57}" type="presParOf" srcId="{A705C7DB-B564-4BA5-9FE1-2CDC55D1CDA5}" destId="{281B193E-8235-4A26-9C9E-D39667DD6463}" srcOrd="7" destOrd="0" presId="urn:microsoft.com/office/officeart/2005/8/layout/cycle7#1"/>
    <dgm:cxn modelId="{0081B241-3A5F-42C7-9596-95B0DD265125}" type="presParOf" srcId="{281B193E-8235-4A26-9C9E-D39667DD6463}" destId="{03628D41-E7C1-4437-AC19-F5A6352C86B4}" srcOrd="0" destOrd="0" presId="urn:microsoft.com/office/officeart/2005/8/layout/cycle7#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486400" cy="3200400"/>
        <a:chOff x="0" y="0"/>
        <a:chExt cx="5486400" cy="3200400"/>
      </a:xfrm>
    </dsp:grpSpPr>
    <dsp:sp modelId="{60B349EE-788E-4E9B-87B2-F21E15BF956B}">
      <dsp:nvSpPr>
        <dsp:cNvPr id="3" name="圆角矩形 2"/>
        <dsp:cNvSpPr/>
      </dsp:nvSpPr>
      <dsp:spPr bwMode="white">
        <a:xfrm>
          <a:off x="2081752" y="0"/>
          <a:ext cx="1322895" cy="661448"/>
        </a:xfrm>
        <a:prstGeom prst="roundRect">
          <a:avLst>
            <a:gd name="adj" fmla="val 10000"/>
          </a:avLst>
        </a:prstGeom>
      </dsp:spPr>
      <dsp:style>
        <a:lnRef idx="2">
          <a:schemeClr val="lt1"/>
        </a:lnRef>
        <a:fillRef idx="1">
          <a:schemeClr val="accent2">
            <a:hueOff val="0"/>
            <a:satOff val="0"/>
            <a:lumOff val="0"/>
            <a:alpha val="100000"/>
          </a:schemeClr>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200">
              <a:solidFill>
                <a:sysClr val="windowText" lastClr="000000"/>
              </a:solidFill>
              <a:latin typeface="Times New Roman" panose="02020603050405020304" charset="0"/>
              <a:cs typeface="Times New Roman" panose="02020603050405020304" charset="0"/>
            </a:rPr>
            <a:t>Staffing</a:t>
          </a:r>
        </a:p>
      </dsp:txBody>
      <dsp:txXfrm>
        <a:off x="2081752" y="0"/>
        <a:ext cx="1322895" cy="661448"/>
      </dsp:txXfrm>
    </dsp:sp>
    <dsp:sp modelId="{BB9E219C-FCAD-46B7-B8BA-355A4CAC37B1}">
      <dsp:nvSpPr>
        <dsp:cNvPr id="4" name="左右箭头 3"/>
        <dsp:cNvSpPr/>
      </dsp:nvSpPr>
      <dsp:spPr bwMode="white">
        <a:xfrm rot="2699999">
          <a:off x="3033985" y="849709"/>
          <a:ext cx="687906" cy="231507"/>
        </a:xfrm>
        <a:prstGeom prst="leftRightArrow">
          <a:avLst>
            <a:gd name="adj1" fmla="val 60000"/>
            <a:gd name="adj2" fmla="val 50000"/>
          </a:avLst>
        </a:prstGeom>
      </dsp:spPr>
      <dsp:style>
        <a:lnRef idx="0">
          <a:schemeClr val="lt1"/>
        </a:lnRef>
        <a:fillRef idx="1">
          <a:schemeClr val="accent2">
            <a:hueOff val="0"/>
            <a:satOff val="0"/>
            <a:lumOff val="0"/>
            <a:alpha val="100000"/>
          </a:schemeClr>
        </a:fillRef>
        <a:effectRef idx="0">
          <a:scrgbClr r="0" g="0" b="0"/>
        </a:effectRef>
        <a:fontRef idx="minor">
          <a:schemeClr val="lt1"/>
        </a:fontRef>
      </dsp:style>
      <dsp:txBody>
        <a:bodyPr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2699999">
        <a:off x="3033985" y="849709"/>
        <a:ext cx="687906" cy="231507"/>
      </dsp:txXfrm>
    </dsp:sp>
    <dsp:sp modelId="{0AC20113-F7B3-42F0-95A3-CFFADCA58A07}">
      <dsp:nvSpPr>
        <dsp:cNvPr id="5" name="圆角矩形 4"/>
        <dsp:cNvSpPr/>
      </dsp:nvSpPr>
      <dsp:spPr bwMode="white">
        <a:xfrm>
          <a:off x="3351228" y="1269476"/>
          <a:ext cx="1322895" cy="661448"/>
        </a:xfrm>
        <a:prstGeom prst="roundRect">
          <a:avLst>
            <a:gd name="adj" fmla="val 10000"/>
          </a:avLst>
        </a:prstGeom>
      </dsp:spPr>
      <dsp:style>
        <a:lnRef idx="2">
          <a:schemeClr val="lt1"/>
        </a:lnRef>
        <a:fillRef idx="1">
          <a:schemeClr val="accent2">
            <a:hueOff val="1560000"/>
            <a:satOff val="-1960"/>
            <a:lumOff val="392"/>
            <a:alpha val="100000"/>
          </a:schemeClr>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200">
              <a:solidFill>
                <a:sysClr val="windowText" lastClr="000000"/>
              </a:solidFill>
              <a:latin typeface="Times New Roman" panose="02020603050405020304" charset="0"/>
              <a:cs typeface="Times New Roman" panose="02020603050405020304" charset="0"/>
            </a:rPr>
            <a:t>Traning and development</a:t>
          </a:r>
        </a:p>
      </dsp:txBody>
      <dsp:txXfrm>
        <a:off x="3351228" y="1269476"/>
        <a:ext cx="1322895" cy="661448"/>
      </dsp:txXfrm>
    </dsp:sp>
    <dsp:sp modelId="{F4FCB08A-4740-401F-8D1C-40E35B9EF5B5}">
      <dsp:nvSpPr>
        <dsp:cNvPr id="6" name="左右箭头 5"/>
        <dsp:cNvSpPr/>
      </dsp:nvSpPr>
      <dsp:spPr bwMode="white">
        <a:xfrm rot="8100000">
          <a:off x="3033985" y="2119185"/>
          <a:ext cx="687906" cy="231507"/>
        </a:xfrm>
        <a:prstGeom prst="leftRightArrow">
          <a:avLst>
            <a:gd name="adj1" fmla="val 60000"/>
            <a:gd name="adj2" fmla="val 50000"/>
          </a:avLst>
        </a:prstGeom>
      </dsp:spPr>
      <dsp:style>
        <a:lnRef idx="0">
          <a:schemeClr val="lt1"/>
        </a:lnRef>
        <a:fillRef idx="1">
          <a:schemeClr val="accent2">
            <a:hueOff val="1560000"/>
            <a:satOff val="-1960"/>
            <a:lumOff val="392"/>
            <a:alpha val="100000"/>
          </a:schemeClr>
        </a:fillRef>
        <a:effectRef idx="0">
          <a:scrgbClr r="0" g="0" b="0"/>
        </a:effectRef>
        <a:fontRef idx="minor">
          <a:schemeClr val="lt1"/>
        </a:fontRef>
      </dsp:style>
      <dsp:txBody>
        <a:bodyPr rot="10800000"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8100000">
        <a:off x="3033985" y="2119185"/>
        <a:ext cx="687906" cy="231507"/>
      </dsp:txXfrm>
    </dsp:sp>
    <dsp:sp modelId="{65E4B28B-20A5-4F79-93A8-90B5AEC0D30D}">
      <dsp:nvSpPr>
        <dsp:cNvPr id="7" name="圆角矩形 6"/>
        <dsp:cNvSpPr/>
      </dsp:nvSpPr>
      <dsp:spPr bwMode="white">
        <a:xfrm>
          <a:off x="2081752" y="2538952"/>
          <a:ext cx="1322895" cy="661448"/>
        </a:xfrm>
        <a:prstGeom prst="roundRect">
          <a:avLst>
            <a:gd name="adj" fmla="val 10000"/>
          </a:avLst>
        </a:prstGeom>
      </dsp:spPr>
      <dsp:style>
        <a:lnRef idx="2">
          <a:schemeClr val="lt1"/>
        </a:lnRef>
        <a:fillRef idx="1">
          <a:schemeClr val="accent2">
            <a:hueOff val="3120000"/>
            <a:satOff val="-3921"/>
            <a:lumOff val="784"/>
            <a:alpha val="100000"/>
          </a:schemeClr>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200">
              <a:solidFill>
                <a:sysClr val="windowText" lastClr="000000"/>
              </a:solidFill>
              <a:latin typeface="Times New Roman" panose="02020603050405020304" charset="0"/>
              <a:cs typeface="Times New Roman" panose="02020603050405020304" charset="0"/>
            </a:rPr>
            <a:t>Motivation</a:t>
          </a:r>
        </a:p>
      </dsp:txBody>
      <dsp:txXfrm>
        <a:off x="2081752" y="2538952"/>
        <a:ext cx="1322895" cy="661448"/>
      </dsp:txXfrm>
    </dsp:sp>
    <dsp:sp modelId="{623028F1-A777-496D-B387-CBC479AF604C}">
      <dsp:nvSpPr>
        <dsp:cNvPr id="8" name="左右箭头 7"/>
        <dsp:cNvSpPr/>
      </dsp:nvSpPr>
      <dsp:spPr bwMode="white">
        <a:xfrm rot="13500000">
          <a:off x="1764509" y="2119185"/>
          <a:ext cx="687906" cy="231507"/>
        </a:xfrm>
        <a:prstGeom prst="leftRightArrow">
          <a:avLst>
            <a:gd name="adj1" fmla="val 60000"/>
            <a:gd name="adj2" fmla="val 50000"/>
          </a:avLst>
        </a:prstGeom>
      </dsp:spPr>
      <dsp:style>
        <a:lnRef idx="0">
          <a:schemeClr val="lt1"/>
        </a:lnRef>
        <a:fillRef idx="1">
          <a:schemeClr val="accent2">
            <a:hueOff val="3120000"/>
            <a:satOff val="-3921"/>
            <a:lumOff val="784"/>
            <a:alpha val="100000"/>
          </a:schemeClr>
        </a:fillRef>
        <a:effectRef idx="0">
          <a:scrgbClr r="0" g="0" b="0"/>
        </a:effectRef>
        <a:fontRef idx="minor">
          <a:schemeClr val="lt1"/>
        </a:fontRef>
      </dsp:style>
      <dsp:txBody>
        <a:bodyPr rot="10800000"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13500000">
        <a:off x="1764509" y="2119185"/>
        <a:ext cx="687906" cy="231507"/>
      </dsp:txXfrm>
    </dsp:sp>
    <dsp:sp modelId="{CB0CC9A3-AD38-4185-AE40-50C4D945F551}">
      <dsp:nvSpPr>
        <dsp:cNvPr id="9" name="圆角矩形 8"/>
        <dsp:cNvSpPr/>
      </dsp:nvSpPr>
      <dsp:spPr bwMode="white">
        <a:xfrm>
          <a:off x="812276" y="1269476"/>
          <a:ext cx="1322895" cy="661448"/>
        </a:xfrm>
        <a:prstGeom prst="roundRect">
          <a:avLst>
            <a:gd name="adj" fmla="val 10000"/>
          </a:avLst>
        </a:prstGeom>
      </dsp:spPr>
      <dsp:style>
        <a:lnRef idx="2">
          <a:schemeClr val="lt1"/>
        </a:lnRef>
        <a:fillRef idx="1">
          <a:schemeClr val="accent2">
            <a:hueOff val="4680000"/>
            <a:satOff val="-5881"/>
            <a:lumOff val="1176"/>
            <a:alpha val="100000"/>
          </a:schemeClr>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200">
              <a:solidFill>
                <a:sysClr val="windowText" lastClr="000000"/>
              </a:solidFill>
              <a:latin typeface="Times New Roman" panose="02020603050405020304" charset="0"/>
              <a:cs typeface="Times New Roman" panose="02020603050405020304" charset="0"/>
            </a:rPr>
            <a:t>Retentions</a:t>
          </a:r>
        </a:p>
      </dsp:txBody>
      <dsp:txXfrm>
        <a:off x="812276" y="1269476"/>
        <a:ext cx="1322895" cy="661448"/>
      </dsp:txXfrm>
    </dsp:sp>
    <dsp:sp modelId="{281B193E-8235-4A26-9C9E-D39667DD6463}">
      <dsp:nvSpPr>
        <dsp:cNvPr id="10" name="左右箭头 9"/>
        <dsp:cNvSpPr/>
      </dsp:nvSpPr>
      <dsp:spPr bwMode="white">
        <a:xfrm rot="-2699999">
          <a:off x="1764509" y="849709"/>
          <a:ext cx="687906" cy="231507"/>
        </a:xfrm>
        <a:prstGeom prst="leftRightArrow">
          <a:avLst>
            <a:gd name="adj1" fmla="val 60000"/>
            <a:gd name="adj2" fmla="val 50000"/>
          </a:avLst>
        </a:prstGeom>
      </dsp:spPr>
      <dsp:style>
        <a:lnRef idx="0">
          <a:schemeClr val="lt1"/>
        </a:lnRef>
        <a:fillRef idx="1">
          <a:schemeClr val="accent2">
            <a:hueOff val="4680000"/>
            <a:satOff val="-5881"/>
            <a:lumOff val="1176"/>
            <a:alpha val="100000"/>
          </a:schemeClr>
        </a:fillRef>
        <a:effectRef idx="0">
          <a:scrgbClr r="0" g="0" b="0"/>
        </a:effectRef>
        <a:fontRef idx="minor">
          <a:schemeClr val="lt1"/>
        </a:fontRef>
      </dsp:style>
      <dsp:txBody>
        <a:bodyPr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2699999">
        <a:off x="1764509" y="849709"/>
        <a:ext cx="687906" cy="231507"/>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Sty" val="arr"/>
                    <dgm:param type="endSty" val="arr"/>
                    <dgm:param type="begPts" val="radial"/>
                    <dgm:param type="endPts" val="radial"/>
                  </dgm:alg>
                </dgm:if>
                <dgm:else name="Name8">
                  <dgm:alg type="conn">
                    <dgm:param type="begSty" val="arr"/>
                    <dgm:param type="endSty" val="arr"/>
                    <dgm:param type="begPts" val="auto"/>
                    <dgm:param type="endPts" val="auto"/>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989FAC7-AE30-4F6D-B6FD-0C3B0F3765F0}">
  <ds:schemaRefs/>
</ds:datastoreItem>
</file>

<file path=docProps/app.xml><?xml version="1.0" encoding="utf-8"?>
<Properties xmlns="http://schemas.openxmlformats.org/officeDocument/2006/extended-properties" xmlns:vt="http://schemas.openxmlformats.org/officeDocument/2006/docPropsVTypes">
  <Template>Normal</Template>
  <Pages>17</Pages>
  <Words>3430</Words>
  <Characters>20101</Characters>
  <Lines>174</Lines>
  <Paragraphs>49</Paragraphs>
  <TotalTime>75</TotalTime>
  <ScaleCrop>false</ScaleCrop>
  <LinksUpToDate>false</LinksUpToDate>
  <CharactersWithSpaces>23482</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 10</cp:lastModifiedBy>
  <cp:revision>295</cp:revision>
  <dcterms:created xsi:type="dcterms:W3CDTF">2023-03-21T01:34:00Z</dcterms:created>
  <dcterms:modified xsi:type="dcterms:W3CDTF">2023-03-26T09:06:00Z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50645192A96A43518682251DF755832F</vt:lpwstr>
  </property>
</Properties>
</file>