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45A65" w14:textId="77777777" w:rsidR="00DC60C7" w:rsidRDefault="00DC60C7">
      <w:pPr>
        <w:spacing w:after="1600"/>
      </w:pPr>
    </w:p>
    <w:p w14:paraId="797CAFCD" w14:textId="77777777" w:rsidR="00DC60C7" w:rsidRDefault="00000000">
      <w:pPr>
        <w:spacing w:after="240"/>
        <w:jc w:val="center"/>
      </w:pPr>
      <w:r>
        <w:rPr>
          <w:b/>
          <w:bCs/>
          <w:sz w:val="32"/>
          <w:szCs w:val="32"/>
        </w:rPr>
        <w:t>The Role of the Adult Social Worker in Health and Social Care</w:t>
      </w:r>
    </w:p>
    <w:p w14:paraId="3F7146E1" w14:textId="42532CCF" w:rsidR="00DC60C7" w:rsidRDefault="0010761A">
      <w:pPr>
        <w:spacing w:after="120"/>
        <w:jc w:val="center"/>
      </w:pPr>
      <w:r>
        <w:t>Name: Nargess</w:t>
      </w:r>
      <w:r w:rsidR="00BA76EC">
        <w:t xml:space="preserve"> Abasi</w:t>
      </w:r>
    </w:p>
    <w:p w14:paraId="3BA56BAD" w14:textId="295E445B" w:rsidR="00BA76EC" w:rsidRDefault="00BA76EC">
      <w:pPr>
        <w:spacing w:after="120"/>
        <w:jc w:val="center"/>
      </w:pPr>
      <w:r>
        <w:t>Student Number:</w:t>
      </w:r>
      <w:r w:rsidR="00382298">
        <w:t>2010987</w:t>
      </w:r>
    </w:p>
    <w:p w14:paraId="7EBF8C27" w14:textId="5E89477A" w:rsidR="00BA76EC" w:rsidRDefault="00BA76EC">
      <w:pPr>
        <w:spacing w:after="900"/>
        <w:jc w:val="center"/>
      </w:pPr>
      <w:r>
        <w:t xml:space="preserve">Module </w:t>
      </w:r>
      <w:r w:rsidR="0010761A">
        <w:t>title: academic</w:t>
      </w:r>
      <w:r w:rsidR="00382298">
        <w:t xml:space="preserve"> and employability skills </w:t>
      </w:r>
    </w:p>
    <w:p w14:paraId="65D6B411" w14:textId="7A0EF2DD" w:rsidR="00382298" w:rsidRDefault="00382298">
      <w:pPr>
        <w:spacing w:after="900"/>
        <w:jc w:val="center"/>
      </w:pPr>
      <w:r>
        <w:t>[lchs4001-birm]</w:t>
      </w:r>
    </w:p>
    <w:p w14:paraId="2177B044" w14:textId="2E639478" w:rsidR="00BA76EC" w:rsidRDefault="00BA76EC">
      <w:pPr>
        <w:spacing w:after="900"/>
        <w:jc w:val="center"/>
      </w:pPr>
      <w:r>
        <w:t>Lecturer name:</w:t>
      </w:r>
    </w:p>
    <w:p w14:paraId="2D4C3B0B" w14:textId="1570BD11" w:rsidR="00DC60C7" w:rsidRDefault="00000000">
      <w:pPr>
        <w:spacing w:after="900"/>
        <w:jc w:val="center"/>
      </w:pPr>
      <w:r>
        <w:t>July 2026</w:t>
      </w:r>
    </w:p>
    <w:p w14:paraId="7305014D" w14:textId="77777777" w:rsidR="00DC60C7" w:rsidRDefault="00000000">
      <w:r>
        <w:br w:type="page"/>
      </w:r>
    </w:p>
    <w:p w14:paraId="43918E5F" w14:textId="3FE1AE77" w:rsidR="00DC60C7" w:rsidRDefault="00DC60C7"/>
    <w:p w14:paraId="420FB44B" w14:textId="4FEEDBB4" w:rsidR="00DC60C7" w:rsidRDefault="00000000">
      <w:r>
        <w:br w:type="page"/>
      </w:r>
    </w:p>
    <w:p w14:paraId="6F847CA8" w14:textId="4FEEDBB4" w:rsidR="00DC60C7" w:rsidRDefault="00000000">
      <w:pPr>
        <w:pStyle w:val="Heading1"/>
      </w:pPr>
      <w:bookmarkStart w:id="0" w:name="_Toc234641137"/>
      <w:r>
        <w:lastRenderedPageBreak/>
        <w:t>1. Introduction</w:t>
      </w:r>
      <w:bookmarkEnd w:id="0"/>
    </w:p>
    <w:p w14:paraId="069B0794" w14:textId="77777777" w:rsidR="00BA76EC" w:rsidRDefault="00BA76EC">
      <w:pPr>
        <w:pStyle w:val="Heading1"/>
        <w:rPr>
          <w:b w:val="0"/>
          <w:bCs w:val="0"/>
          <w:color w:val="auto"/>
          <w:sz w:val="22"/>
          <w:szCs w:val="22"/>
        </w:rPr>
      </w:pPr>
      <w:bookmarkStart w:id="1" w:name="_Toc234641138"/>
      <w:r w:rsidRPr="00BA76EC">
        <w:rPr>
          <w:b w:val="0"/>
          <w:bCs w:val="0"/>
          <w:color w:val="auto"/>
          <w:sz w:val="22"/>
          <w:szCs w:val="22"/>
        </w:rPr>
        <w:t>Adult social work connects law, care, and human relationships. This report first examines the main duties of the role. It then explores three skills that effective practice relies on: communication, empathy, and organization and time management. Each skill is discussed individually, with a practical example of how it appears in daily work. A realistic strategy for further development follows each discussion, taken from relevant professional and academic literature.</w:t>
      </w:r>
    </w:p>
    <w:p w14:paraId="02E91EEE" w14:textId="257EA560" w:rsidR="00DC60C7" w:rsidRDefault="00000000">
      <w:pPr>
        <w:pStyle w:val="Heading1"/>
      </w:pPr>
      <w:r>
        <w:t>2. The Role of the Adult Social Worker</w:t>
      </w:r>
      <w:bookmarkEnd w:id="1"/>
    </w:p>
    <w:p w14:paraId="7B8B5CEE" w14:textId="77777777" w:rsidR="00BA76EC" w:rsidRDefault="00BA76EC">
      <w:pPr>
        <w:pStyle w:val="Heading1"/>
        <w:rPr>
          <w:b w:val="0"/>
          <w:bCs w:val="0"/>
          <w:color w:val="auto"/>
          <w:sz w:val="22"/>
          <w:szCs w:val="22"/>
        </w:rPr>
      </w:pPr>
      <w:bookmarkStart w:id="2" w:name="_Toc234641139"/>
      <w:r w:rsidRPr="00BA76EC">
        <w:rPr>
          <w:b w:val="0"/>
          <w:bCs w:val="0"/>
          <w:color w:val="auto"/>
          <w:sz w:val="22"/>
          <w:szCs w:val="22"/>
        </w:rPr>
        <w:t>Adult social workers help a variety of people, including older adults, those with disabilities, and individuals living with mental health issues. Their goal is to keep these individuals safe, independent, and in control of their lives (BASW, 2021). In England, this work follows the Care Act 2014. This law requires local authorities to assess anyone who might need care and support, then determine eligibility for services based on how these needs impact well-being (Care Act 2014). A key part of the role is assessment. Social workers evaluate a person's needs, strengths, and circumstances. They then collaborate with the individual, their family, and caregivers to create a care and support plan tailored to the person's situation (Care Act 2014). Safeguarding is also a significant aspect of the job. If an adult with care and support needs faces abuse or neglect, the social worker can initiate a Section 42 inquiry. They work with various agencies to ensure the person remains safe while respecting their right to make decisions whenever possible (Care Act 2014). When there’s uncertainty about someone's ability to make a specific decision, the social worker follows the Mental Capacity Act 2005. This involves conducting a capacity assessment and, if necessary, coordinating a best-interests decision with family, advocates, and other professionals (Mental Capacity Act 2005). In addition to individual casework, social workers collaborate closely with GPs, community nurses, occupational therapists, and psychiatrists as part of broader multidisciplinary teams. They also assist people during significant transitions, such as when they are discharged from the hospital or move into residential care (Social Work England, 2019). Throughout their work, they are expected to advocate for the service user, ensuring that their rights, voice, and best interests remain central to the decisions made about them (BASW, 2021).</w:t>
      </w:r>
    </w:p>
    <w:p w14:paraId="50FA0061" w14:textId="171E2C04" w:rsidR="00DC60C7" w:rsidRDefault="00000000">
      <w:pPr>
        <w:pStyle w:val="Heading1"/>
      </w:pPr>
      <w:r>
        <w:t>3. Essential Skills for the Adult Social Worker Role</w:t>
      </w:r>
      <w:bookmarkEnd w:id="2"/>
    </w:p>
    <w:p w14:paraId="21ED5ECF" w14:textId="77777777" w:rsidR="00DC60C7" w:rsidRDefault="00000000">
      <w:pPr>
        <w:pStyle w:val="Heading2"/>
      </w:pPr>
      <w:bookmarkStart w:id="3" w:name="_Toc234641140"/>
      <w:r>
        <w:t>3.1 Communication Skills</w:t>
      </w:r>
      <w:bookmarkEnd w:id="3"/>
    </w:p>
    <w:p w14:paraId="3641841C" w14:textId="77777777" w:rsidR="00BA76EC" w:rsidRDefault="00BA76EC">
      <w:pPr>
        <w:pStyle w:val="Heading2"/>
        <w:rPr>
          <w:b w:val="0"/>
          <w:bCs w:val="0"/>
          <w:color w:val="auto"/>
          <w:sz w:val="22"/>
          <w:szCs w:val="22"/>
        </w:rPr>
      </w:pPr>
      <w:bookmarkStart w:id="4" w:name="_Toc234641141"/>
      <w:r w:rsidRPr="00BA76EC">
        <w:rPr>
          <w:b w:val="0"/>
          <w:bCs w:val="0"/>
          <w:color w:val="auto"/>
          <w:sz w:val="22"/>
          <w:szCs w:val="22"/>
        </w:rPr>
        <w:lastRenderedPageBreak/>
        <w:t>Communication is often seen as a basic skill in health and social care. Standard 6 of the Care Certificate requires practitioners to meet the communication needs, wishes, and preferences of the people they support (Skills for Care and Skills for Health, 2025). For adult social workers, this is important because their role relies heavily on building trust with people who may struggle to communicate, such as someone living with dementia, a sensory impairment, or a learning disability. They must also explain complex legal processes in simple language. Trevithick (2012) places communication alongside observation, listening, and assessment as one of the key skill groups essential for effective practice. An assessment only reflects the practitioner’s ability to understand what a person communicates, whether through words or other means. A practical example is a social worker explaining the outcome of a Care Act assessment to someone with early-stage dementia. They must adjust their pace, language, and use of visual aids so that the person can actively participate in decisions about their own care.</w:t>
      </w:r>
    </w:p>
    <w:p w14:paraId="7D9B87CE" w14:textId="04C5E07B" w:rsidR="00DC60C7" w:rsidRDefault="00000000">
      <w:pPr>
        <w:pStyle w:val="Heading2"/>
      </w:pPr>
      <w:r>
        <w:t>3.2 Empathy and Relationship-Building Skills</w:t>
      </w:r>
      <w:bookmarkEnd w:id="4"/>
    </w:p>
    <w:p w14:paraId="69B84C36" w14:textId="1ABFF1A9" w:rsidR="00BA76EC" w:rsidRDefault="00BA76EC">
      <w:pPr>
        <w:pStyle w:val="Heading2"/>
        <w:rPr>
          <w:b w:val="0"/>
          <w:bCs w:val="0"/>
          <w:color w:val="auto"/>
          <w:sz w:val="22"/>
          <w:szCs w:val="22"/>
        </w:rPr>
      </w:pPr>
      <w:bookmarkStart w:id="5" w:name="_Toc234641142"/>
      <w:r w:rsidRPr="00BA76EC">
        <w:rPr>
          <w:b w:val="0"/>
          <w:bCs w:val="0"/>
          <w:color w:val="auto"/>
          <w:sz w:val="22"/>
          <w:szCs w:val="22"/>
        </w:rPr>
        <w:t>Social Work England’s (2019) professional standards ask social workers to practice in ways that show empathy, perseverance, authority, professional confidence, and skills. They should also help people participate fully in decisions about their own lives. Empathy is important because service users often face vulnerable and tough moments, such as losing their independence or experiencing a safeguarding investigation into suspected abuse. A worker who cannot demonstrate genuine understanding is unlikely to gain the trust needed for someone to engage openly. Thompson (2015) describes valuing diversity and understanding another person’s perspective as important interaction skills for those in helping professions. For example, consider a social worker helping an older person who is anxious and grieving after moving into residential care. Showing empathy, rather than just going through procedural tasks, helps that person feel heard and better able to adjust to the change.</w:t>
      </w:r>
    </w:p>
    <w:p w14:paraId="28AF4A12" w14:textId="52322B69" w:rsidR="00DC60C7" w:rsidRDefault="00000000">
      <w:pPr>
        <w:pStyle w:val="Heading2"/>
      </w:pPr>
      <w:r>
        <w:t>3.3 Organisational and Time-Management Skills</w:t>
      </w:r>
      <w:bookmarkEnd w:id="5"/>
    </w:p>
    <w:p w14:paraId="28B20ACC" w14:textId="77777777" w:rsidR="00BA76EC" w:rsidRDefault="00BA76EC">
      <w:pPr>
        <w:pStyle w:val="Heading1"/>
        <w:rPr>
          <w:b w:val="0"/>
          <w:bCs w:val="0"/>
          <w:color w:val="auto"/>
          <w:sz w:val="22"/>
          <w:szCs w:val="22"/>
        </w:rPr>
      </w:pPr>
      <w:bookmarkStart w:id="6" w:name="_Toc234641143"/>
      <w:r w:rsidRPr="00BA76EC">
        <w:rPr>
          <w:b w:val="0"/>
          <w:bCs w:val="0"/>
          <w:color w:val="auto"/>
          <w:sz w:val="22"/>
          <w:szCs w:val="22"/>
        </w:rPr>
        <w:t xml:space="preserve">Adult social workers typically handle complicated caseloads that involve several service users at the same time. Each case has different deadlines and timelines linked to Care Act assessments or safeguarding inquiries, along with court reports, reviews, and recording duties (Care Act 2014). Thompson (2015) views time management as a key factor in personal effectiveness for those in helping jobs. It requires deliberate planning and prioritizing a workload instead of just reacting to whatever comes up. This is important because poor organization can lead to missed deadlines, unmanaged risks, and worse </w:t>
      </w:r>
      <w:r w:rsidRPr="00BA76EC">
        <w:rPr>
          <w:b w:val="0"/>
          <w:bCs w:val="0"/>
          <w:color w:val="auto"/>
          <w:sz w:val="22"/>
          <w:szCs w:val="22"/>
        </w:rPr>
        <w:lastRenderedPageBreak/>
        <w:t>outcomes for vulnerable adults. Imagine a social worker who gets a new high-risk safeguarding referral in the middle of their day. They must quickly reprioritize their existing cases so that the urgent matter is addressed, while other less urgent reviews are rescheduled instead of ignored.</w:t>
      </w:r>
    </w:p>
    <w:p w14:paraId="4C8D9649" w14:textId="0D12E399" w:rsidR="00DC60C7" w:rsidRDefault="00000000">
      <w:pPr>
        <w:pStyle w:val="Heading1"/>
      </w:pPr>
      <w:r>
        <w:t>4. Strategies for Developing These Skills</w:t>
      </w:r>
      <w:bookmarkEnd w:id="6"/>
    </w:p>
    <w:p w14:paraId="6ECB49A1" w14:textId="77777777" w:rsidR="00DC60C7" w:rsidRDefault="00000000">
      <w:pPr>
        <w:pStyle w:val="Heading2"/>
      </w:pPr>
      <w:bookmarkStart w:id="7" w:name="_Toc234641144"/>
      <w:r>
        <w:t>4.1 Developing Communication Skills</w:t>
      </w:r>
      <w:bookmarkEnd w:id="7"/>
    </w:p>
    <w:p w14:paraId="5719B4D6" w14:textId="77777777" w:rsidR="00BA76EC" w:rsidRDefault="00BA76EC">
      <w:pPr>
        <w:pStyle w:val="Heading2"/>
        <w:rPr>
          <w:b w:val="0"/>
          <w:bCs w:val="0"/>
          <w:color w:val="auto"/>
          <w:sz w:val="22"/>
          <w:szCs w:val="22"/>
        </w:rPr>
      </w:pPr>
      <w:bookmarkStart w:id="8" w:name="_Toc234641145"/>
      <w:r w:rsidRPr="00BA76EC">
        <w:rPr>
          <w:b w:val="0"/>
          <w:bCs w:val="0"/>
          <w:color w:val="auto"/>
          <w:sz w:val="22"/>
          <w:szCs w:val="22"/>
        </w:rPr>
        <w:t>One effective strategy is to focus on communication skills training, including courses in dementia-friendly communication and alternative communication methods. This type of training offers practical frameworks and techniques, such as open questioning and active listening, which can be practiced in a low-risk environment before being used with clients (Trevithick, 2012). A second strategy is to have regular reflective supervision. This can involve using a model like Gibbs’ (1988) reflective cycle to review a specific interaction: describing what happened, evaluating what worked, and figuring out what could be communicated differently in the future. This structured reflection helps a social worker recognize communication habits or gaps that might otherwise be overlooked in the busy day-to-day work.</w:t>
      </w:r>
    </w:p>
    <w:p w14:paraId="032D5154" w14:textId="150AB6F6" w:rsidR="00DC60C7" w:rsidRDefault="00000000">
      <w:pPr>
        <w:pStyle w:val="Heading2"/>
      </w:pPr>
      <w:r>
        <w:t>4.2 Developing Empathy and Relationship-Building Skills</w:t>
      </w:r>
      <w:bookmarkEnd w:id="8"/>
    </w:p>
    <w:p w14:paraId="7B506C03" w14:textId="77777777" w:rsidR="00BA76EC" w:rsidRDefault="00BA76EC">
      <w:pPr>
        <w:pStyle w:val="Heading2"/>
        <w:rPr>
          <w:b w:val="0"/>
          <w:bCs w:val="0"/>
          <w:color w:val="auto"/>
          <w:sz w:val="22"/>
          <w:szCs w:val="22"/>
        </w:rPr>
      </w:pPr>
      <w:bookmarkStart w:id="9" w:name="_Toc234641146"/>
      <w:r w:rsidRPr="00BA76EC">
        <w:rPr>
          <w:b w:val="0"/>
          <w:bCs w:val="0"/>
          <w:color w:val="auto"/>
          <w:sz w:val="22"/>
          <w:szCs w:val="22"/>
        </w:rPr>
        <w:t>Empathy can be developed through structured reflective practice after emotionally challenging interactions. Using Gibbs’ (1988) reflective cycle, we can explore not only what happened but also how both the worker and the service user felt. This exploration reveals insights about each person’s perspective. Reflecting in this way, ideally during professional supervision, helps social workers recognize their own assumptions. This leads to a better understanding of the people they support (BASW, 2021). A second strategy involves shadowing an experienced colleague during initial assessments or tough conversations. Observing how a more experienced practitioner builds rapport while keeping professional boundaries provides less experienced workers with practical techniques to use, rather than viewing empathy as an abstract quality.</w:t>
      </w:r>
    </w:p>
    <w:p w14:paraId="16DC1CFA" w14:textId="64DFDDE4" w:rsidR="00DC60C7" w:rsidRDefault="00000000">
      <w:pPr>
        <w:pStyle w:val="Heading2"/>
      </w:pPr>
      <w:r>
        <w:t>4.3 Developing Organisational and Time-Management Skills</w:t>
      </w:r>
      <w:bookmarkEnd w:id="9"/>
    </w:p>
    <w:p w14:paraId="22648C3B" w14:textId="77777777" w:rsidR="00BA76EC" w:rsidRDefault="00BA76EC">
      <w:pPr>
        <w:pStyle w:val="Heading1"/>
        <w:rPr>
          <w:b w:val="0"/>
          <w:bCs w:val="0"/>
          <w:color w:val="auto"/>
          <w:sz w:val="22"/>
          <w:szCs w:val="22"/>
        </w:rPr>
      </w:pPr>
      <w:bookmarkStart w:id="10" w:name="_Toc234641147"/>
      <w:r w:rsidRPr="00BA76EC">
        <w:rPr>
          <w:b w:val="0"/>
          <w:bCs w:val="0"/>
          <w:color w:val="auto"/>
          <w:sz w:val="22"/>
          <w:szCs w:val="22"/>
        </w:rPr>
        <w:t xml:space="preserve">A practical strategy is to use a structured prioritization tool, such as a risk-based caseload matrix, to rank cases by urgency and deadlines instead of by their arrival order. This method makes time management clear and systematic. It reduces the chance of overlooking a less prominent case that has a strict deadline (Thompson, 2015). A second strategy is to hold </w:t>
      </w:r>
      <w:r w:rsidRPr="00BA76EC">
        <w:rPr>
          <w:b w:val="0"/>
          <w:bCs w:val="0"/>
          <w:color w:val="auto"/>
          <w:sz w:val="22"/>
          <w:szCs w:val="22"/>
        </w:rPr>
        <w:lastRenderedPageBreak/>
        <w:t>regular supervision sessions to review the entire caseload with a manager. An outside perspective can help pinpoint when the workload is too much and assist the worker in renegotiating priorities before deadlines are missed.</w:t>
      </w:r>
    </w:p>
    <w:p w14:paraId="46B7EB86" w14:textId="08543AE8" w:rsidR="00DC60C7" w:rsidRDefault="00000000">
      <w:pPr>
        <w:pStyle w:val="Heading1"/>
      </w:pPr>
      <w:r>
        <w:t>5. Conclusion</w:t>
      </w:r>
      <w:bookmarkEnd w:id="10"/>
    </w:p>
    <w:p w14:paraId="2357F383" w14:textId="77777777" w:rsidR="00BA76EC" w:rsidRDefault="00BA76EC">
      <w:pPr>
        <w:pStyle w:val="Heading1"/>
        <w:rPr>
          <w:b w:val="0"/>
          <w:bCs w:val="0"/>
          <w:color w:val="auto"/>
          <w:sz w:val="22"/>
          <w:szCs w:val="22"/>
        </w:rPr>
      </w:pPr>
      <w:bookmarkStart w:id="11" w:name="_Toc234641148"/>
      <w:r w:rsidRPr="00BA76EC">
        <w:rPr>
          <w:b w:val="0"/>
          <w:bCs w:val="0"/>
          <w:color w:val="auto"/>
          <w:sz w:val="22"/>
          <w:szCs w:val="22"/>
        </w:rPr>
        <w:t>The adult social worker role involves important legal and relationship responsibilities. This includes assessing needs based on the Care Act 2014 and protecting adults at risk of abuse or neglect. Communication, empathy, and organizational skills are vital in this role. Each skill contributes differently: communication affects the quality of assessment, empathy strengthens the relationship with the service user, and organizational skills help the worker manage risk within legal deadlines. Structured training, reflective practice, supervision, and shadowing provide realistic, evidence-based ways for these skills to continue improving throughout a social work career.</w:t>
      </w:r>
    </w:p>
    <w:p w14:paraId="7AB1173F" w14:textId="05803AAF" w:rsidR="00DC60C7" w:rsidRDefault="00000000">
      <w:pPr>
        <w:pStyle w:val="Heading1"/>
      </w:pPr>
      <w:r>
        <w:t>6. Reference List</w:t>
      </w:r>
      <w:bookmarkEnd w:id="11"/>
    </w:p>
    <w:p w14:paraId="76D5D0E2" w14:textId="77777777" w:rsidR="00DC60C7" w:rsidRDefault="00000000">
      <w:pPr>
        <w:spacing w:after="200"/>
        <w:ind w:left="720" w:hanging="720"/>
      </w:pPr>
      <w:r>
        <w:t>British Association of Social Workers (BASW) (2021) The Code of Ethics for Social Work. Birmingham: BASW.</w:t>
      </w:r>
    </w:p>
    <w:p w14:paraId="03BB57D4" w14:textId="0025BB51" w:rsidR="00DC60C7" w:rsidRDefault="00000000">
      <w:pPr>
        <w:spacing w:after="200"/>
        <w:ind w:left="720" w:hanging="720"/>
      </w:pPr>
      <w:r>
        <w:t xml:space="preserve">Care Act 2014, c. 23. Available at: https://www.legislation.gov.uk/ukpga/2014/23/contents </w:t>
      </w:r>
    </w:p>
    <w:p w14:paraId="45251EE1" w14:textId="77777777" w:rsidR="00DC60C7" w:rsidRDefault="00000000">
      <w:pPr>
        <w:spacing w:after="200"/>
        <w:ind w:left="720" w:hanging="720"/>
      </w:pPr>
      <w:r>
        <w:t>Gibbs, G. (1988) Learning by Doing: A Guide to Teaching and Learning Methods. Oxford: Further Education Unit, Oxford Polytechnic.</w:t>
      </w:r>
    </w:p>
    <w:p w14:paraId="3C1E86CA" w14:textId="428FB3EB" w:rsidR="00DC60C7" w:rsidRDefault="00000000">
      <w:pPr>
        <w:spacing w:after="200"/>
        <w:ind w:left="720" w:hanging="720"/>
      </w:pPr>
      <w:r>
        <w:t xml:space="preserve">Mental Capacity Act 2005, c. 9. Available at: https://www.legislation.gov.uk/ukpga/2005/9/contents </w:t>
      </w:r>
    </w:p>
    <w:p w14:paraId="7A25C02E" w14:textId="1DF61FA2" w:rsidR="00DC60C7" w:rsidRDefault="00000000">
      <w:pPr>
        <w:spacing w:after="200"/>
        <w:ind w:left="720" w:hanging="720"/>
      </w:pPr>
      <w:r>
        <w:t xml:space="preserve">Skills for Care and Skills for Health (2025) The Care Certificate Standards. Available at: https://www.skillsforcare.org.uk </w:t>
      </w:r>
    </w:p>
    <w:p w14:paraId="154AABE2" w14:textId="519A479E" w:rsidR="00DC60C7" w:rsidRDefault="00000000">
      <w:pPr>
        <w:spacing w:after="200"/>
        <w:ind w:left="720" w:hanging="720"/>
      </w:pPr>
      <w:r>
        <w:t xml:space="preserve">Social Work England (2019) Professional Standards. Available at: https://www.socialworkengland.org.uk/standards/professional-standards/ </w:t>
      </w:r>
    </w:p>
    <w:p w14:paraId="6CB0CAA6" w14:textId="77777777" w:rsidR="00DC60C7" w:rsidRDefault="00000000">
      <w:pPr>
        <w:spacing w:after="200"/>
        <w:ind w:left="720" w:hanging="720"/>
      </w:pPr>
      <w:r>
        <w:t xml:space="preserve">Thompson, N. (2015) People Skills. 4th </w:t>
      </w:r>
      <w:proofErr w:type="spellStart"/>
      <w:r>
        <w:t>edn</w:t>
      </w:r>
      <w:proofErr w:type="spellEnd"/>
      <w:r>
        <w:t>. Basingstoke: Palgrave Macmillan.</w:t>
      </w:r>
    </w:p>
    <w:p w14:paraId="555B426E" w14:textId="77777777" w:rsidR="00DC60C7" w:rsidRDefault="00000000">
      <w:pPr>
        <w:spacing w:after="200"/>
        <w:ind w:left="720" w:hanging="720"/>
      </w:pPr>
      <w:r>
        <w:t xml:space="preserve">Trevithick, P. (2012) Social Work Skills and Knowledge: A Practice Handbook. 3rd </w:t>
      </w:r>
      <w:proofErr w:type="spellStart"/>
      <w:r>
        <w:t>edn</w:t>
      </w:r>
      <w:proofErr w:type="spellEnd"/>
      <w:r>
        <w:t>. Maidenhead: McGraw-Hill/Open University Press.</w:t>
      </w:r>
    </w:p>
    <w:sectPr w:rsidR="00DC60C7">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99832" w14:textId="77777777" w:rsidR="002F0401" w:rsidRDefault="002F0401">
      <w:pPr>
        <w:spacing w:line="240" w:lineRule="auto"/>
      </w:pPr>
      <w:r>
        <w:separator/>
      </w:r>
    </w:p>
  </w:endnote>
  <w:endnote w:type="continuationSeparator" w:id="0">
    <w:p w14:paraId="17B206A2" w14:textId="77777777" w:rsidR="002F0401" w:rsidRDefault="002F04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5C3C5" w14:textId="77777777" w:rsidR="00DC60C7" w:rsidRDefault="00000000">
    <w:pPr>
      <w:jc w:val="center"/>
    </w:pPr>
    <w:r>
      <w:rPr>
        <w:sz w:val="20"/>
        <w:szCs w:val="20"/>
      </w:rPr>
      <w:fldChar w:fldCharType="begin"/>
    </w:r>
    <w:r>
      <w:rPr>
        <w:sz w:val="20"/>
        <w:szCs w:val="20"/>
      </w:rPr>
      <w:instrText>PAGE</w:instrText>
    </w:r>
    <w:r>
      <w:rPr>
        <w:sz w:val="20"/>
        <w:szCs w:val="20"/>
      </w:rPr>
      <w:fldChar w:fldCharType="separate"/>
    </w:r>
    <w:r w:rsidR="00BA76E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53F9D" w14:textId="77777777" w:rsidR="002F0401" w:rsidRDefault="002F0401">
      <w:pPr>
        <w:spacing w:line="240" w:lineRule="auto"/>
      </w:pPr>
      <w:r>
        <w:separator/>
      </w:r>
    </w:p>
  </w:footnote>
  <w:footnote w:type="continuationSeparator" w:id="0">
    <w:p w14:paraId="10FE09E2" w14:textId="77777777" w:rsidR="002F0401" w:rsidRDefault="002F04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C140A"/>
    <w:multiLevelType w:val="hybridMultilevel"/>
    <w:tmpl w:val="FEB04DFC"/>
    <w:lvl w:ilvl="0" w:tplc="22CE9FE4">
      <w:start w:val="1"/>
      <w:numFmt w:val="bullet"/>
      <w:lvlText w:val="●"/>
      <w:lvlJc w:val="left"/>
      <w:pPr>
        <w:ind w:left="720" w:hanging="360"/>
      </w:pPr>
    </w:lvl>
    <w:lvl w:ilvl="1" w:tplc="5BA8CA2A">
      <w:start w:val="1"/>
      <w:numFmt w:val="bullet"/>
      <w:lvlText w:val="○"/>
      <w:lvlJc w:val="left"/>
      <w:pPr>
        <w:ind w:left="1440" w:hanging="360"/>
      </w:pPr>
    </w:lvl>
    <w:lvl w:ilvl="2" w:tplc="385A48FC">
      <w:start w:val="1"/>
      <w:numFmt w:val="bullet"/>
      <w:lvlText w:val="■"/>
      <w:lvlJc w:val="left"/>
      <w:pPr>
        <w:ind w:left="2160" w:hanging="360"/>
      </w:pPr>
    </w:lvl>
    <w:lvl w:ilvl="3" w:tplc="63B0B97E">
      <w:start w:val="1"/>
      <w:numFmt w:val="bullet"/>
      <w:lvlText w:val="●"/>
      <w:lvlJc w:val="left"/>
      <w:pPr>
        <w:ind w:left="2880" w:hanging="360"/>
      </w:pPr>
    </w:lvl>
    <w:lvl w:ilvl="4" w:tplc="AEA22FA4">
      <w:start w:val="1"/>
      <w:numFmt w:val="bullet"/>
      <w:lvlText w:val="○"/>
      <w:lvlJc w:val="left"/>
      <w:pPr>
        <w:ind w:left="3600" w:hanging="360"/>
      </w:pPr>
    </w:lvl>
    <w:lvl w:ilvl="5" w:tplc="10BC5382">
      <w:start w:val="1"/>
      <w:numFmt w:val="bullet"/>
      <w:lvlText w:val="■"/>
      <w:lvlJc w:val="left"/>
      <w:pPr>
        <w:ind w:left="4320" w:hanging="360"/>
      </w:pPr>
    </w:lvl>
    <w:lvl w:ilvl="6" w:tplc="03622326">
      <w:start w:val="1"/>
      <w:numFmt w:val="bullet"/>
      <w:lvlText w:val="●"/>
      <w:lvlJc w:val="left"/>
      <w:pPr>
        <w:ind w:left="5040" w:hanging="360"/>
      </w:pPr>
    </w:lvl>
    <w:lvl w:ilvl="7" w:tplc="C8284ADE">
      <w:start w:val="1"/>
      <w:numFmt w:val="bullet"/>
      <w:lvlText w:val="●"/>
      <w:lvlJc w:val="left"/>
      <w:pPr>
        <w:ind w:left="5760" w:hanging="360"/>
      </w:pPr>
    </w:lvl>
    <w:lvl w:ilvl="8" w:tplc="80A0EAAA">
      <w:start w:val="1"/>
      <w:numFmt w:val="bullet"/>
      <w:lvlText w:val="●"/>
      <w:lvlJc w:val="left"/>
      <w:pPr>
        <w:ind w:left="6480" w:hanging="360"/>
      </w:pPr>
    </w:lvl>
  </w:abstractNum>
  <w:num w:numId="1" w16cid:durableId="104622527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0C7"/>
    <w:rsid w:val="0010761A"/>
    <w:rsid w:val="002F0401"/>
    <w:rsid w:val="00382298"/>
    <w:rsid w:val="00590518"/>
    <w:rsid w:val="00684B68"/>
    <w:rsid w:val="007370C8"/>
    <w:rsid w:val="007467EC"/>
    <w:rsid w:val="00B95687"/>
    <w:rsid w:val="00BA76EC"/>
    <w:rsid w:val="00DC6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66C15"/>
  <w15:docId w15:val="{6822AA49-1B32-48DE-AC7D-81736785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000000"/>
      <w:sz w:val="32"/>
      <w:szCs w:val="32"/>
    </w:rPr>
  </w:style>
  <w:style w:type="paragraph" w:styleId="Heading2">
    <w:name w:val="heading 2"/>
    <w:uiPriority w:val="9"/>
    <w:unhideWhenUsed/>
    <w:qFormat/>
    <w:pPr>
      <w:spacing w:before="200" w:after="120"/>
      <w:outlineLvl w:val="1"/>
    </w:pPr>
    <w:rPr>
      <w:b/>
      <w:bCs/>
      <w:color w:val="000000"/>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A76EC"/>
    <w:pPr>
      <w:spacing w:after="100"/>
    </w:pPr>
  </w:style>
  <w:style w:type="paragraph" w:styleId="TOC2">
    <w:name w:val="toc 2"/>
    <w:basedOn w:val="Normal"/>
    <w:next w:val="Normal"/>
    <w:autoRedefine/>
    <w:uiPriority w:val="39"/>
    <w:unhideWhenUsed/>
    <w:rsid w:val="00BA76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2305</TotalTime>
  <Pages>1</Pages>
  <Words>1469</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Nargess Abasi (2010987)</cp:lastModifiedBy>
  <cp:revision>4</cp:revision>
  <dcterms:created xsi:type="dcterms:W3CDTF">2026-07-11T05:02:00Z</dcterms:created>
  <dcterms:modified xsi:type="dcterms:W3CDTF">2026-07-17T21:35:00Z</dcterms:modified>
</cp:coreProperties>
</file>