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14706"/>
      </w:tblGrid>
      <w:tr w:rsidR="00CC2BB0" w14:paraId="50197943" w14:textId="77777777">
        <w:tc>
          <w:tcPr>
            <w:tcW w:w="14706" w:type="dxa"/>
            <w:shd w:val="clear" w:color="auto" w:fill="203864"/>
            <w:tcMar>
              <w:top w:w="260" w:type="dxa"/>
              <w:left w:w="260" w:type="dxa"/>
              <w:bottom w:w="260" w:type="dxa"/>
              <w:right w:w="260" w:type="dxa"/>
            </w:tcMar>
          </w:tcPr>
          <w:p w14:paraId="7B1BE3EE" w14:textId="6F4B7799" w:rsidR="00CC2BB0" w:rsidRDefault="00F84A58">
            <w:pPr>
              <w:jc w:val="center"/>
            </w:pPr>
            <w:r>
              <w:rPr>
                <w:b/>
                <w:color w:val="FFFFFF"/>
                <w:sz w:val="52"/>
              </w:rPr>
              <w:t>University of Wales Trinity Saint David (UWTSD)</w:t>
            </w:r>
          </w:p>
          <w:p w14:paraId="780417FF" w14:textId="77777777" w:rsidR="00CC2BB0" w:rsidRDefault="00F84A58">
            <w:pPr>
              <w:jc w:val="center"/>
            </w:pPr>
            <w:r>
              <w:rPr>
                <w:b/>
                <w:color w:val="FFFFFF"/>
                <w:sz w:val="28"/>
              </w:rPr>
              <w:t>Health &amp; Social Care</w:t>
            </w:r>
          </w:p>
        </w:tc>
      </w:tr>
      <w:tr w:rsidR="00CC2BB0" w14:paraId="06CB5D29" w14:textId="77777777">
        <w:tc>
          <w:tcPr>
            <w:tcW w:w="14706" w:type="dxa"/>
            <w:shd w:val="clear" w:color="auto" w:fill="E7EEF8"/>
            <w:tcMar>
              <w:top w:w="420" w:type="dxa"/>
              <w:left w:w="420" w:type="dxa"/>
              <w:bottom w:w="420" w:type="dxa"/>
              <w:right w:w="420" w:type="dxa"/>
            </w:tcMar>
          </w:tcPr>
          <w:p w14:paraId="7C4DE145" w14:textId="50B7EC17" w:rsidR="00CC2BB0" w:rsidRPr="00170474" w:rsidRDefault="00424049">
            <w:pPr>
              <w:spacing w:after="240"/>
              <w:jc w:val="center"/>
              <w:rPr>
                <w:color w:val="1F497D" w:themeColor="text2"/>
              </w:rPr>
            </w:pPr>
            <w:r>
              <w:rPr>
                <w:b/>
                <w:noProof/>
                <w:color w:val="FFFFFF"/>
                <w:sz w:val="52"/>
              </w:rPr>
              <w:drawing>
                <wp:inline distT="0" distB="0" distL="0" distR="0" wp14:anchorId="42DB60A7" wp14:editId="5298D7AF">
                  <wp:extent cx="1722120" cy="1584960"/>
                  <wp:effectExtent l="0" t="0" r="0" b="0"/>
                  <wp:docPr id="935398485" name="Picture 1" descr="Mental health awareness mura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35398485" name="Picture 935398485" descr="Mental health awareness mural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22572" cy="15853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b/>
                <w:sz w:val="56"/>
              </w:rPr>
              <w:t xml:space="preserve"> </w:t>
            </w:r>
            <w:r w:rsidRPr="00170474">
              <w:rPr>
                <w:b/>
                <w:color w:val="1F497D" w:themeColor="text2"/>
                <w:sz w:val="56"/>
              </w:rPr>
              <w:t xml:space="preserve"> “</w:t>
            </w:r>
            <w:r w:rsidR="00F84A58" w:rsidRPr="00170474">
              <w:rPr>
                <w:b/>
                <w:color w:val="1F497D" w:themeColor="text2"/>
                <w:sz w:val="56"/>
              </w:rPr>
              <w:t>Schizophrenia: From Asylums to Recovery</w:t>
            </w:r>
            <w:r w:rsidR="00284319" w:rsidRPr="00170474">
              <w:rPr>
                <w:b/>
                <w:color w:val="1F497D" w:themeColor="text2"/>
                <w:sz w:val="56"/>
              </w:rPr>
              <w:t>-</w:t>
            </w:r>
            <w:r w:rsidR="00F84A58" w:rsidRPr="00170474">
              <w:rPr>
                <w:b/>
                <w:color w:val="1F497D" w:themeColor="text2"/>
                <w:sz w:val="56"/>
              </w:rPr>
              <w:br/>
            </w:r>
            <w:r w:rsidRPr="00170474">
              <w:rPr>
                <w:b/>
                <w:color w:val="1F497D" w:themeColor="text2"/>
                <w:sz w:val="56"/>
              </w:rPr>
              <w:t xml:space="preserve">                       </w:t>
            </w:r>
            <w:r w:rsidR="00F84A58" w:rsidRPr="00170474">
              <w:rPr>
                <w:b/>
                <w:color w:val="1F497D" w:themeColor="text2"/>
                <w:sz w:val="56"/>
              </w:rPr>
              <w:t>How history, politics, and culture shaped care</w:t>
            </w:r>
            <w:r w:rsidRPr="00170474">
              <w:rPr>
                <w:b/>
                <w:color w:val="1F497D" w:themeColor="text2"/>
                <w:sz w:val="56"/>
              </w:rPr>
              <w:t>”</w:t>
            </w:r>
          </w:p>
          <w:p w14:paraId="288CFFA0" w14:textId="7E28DA0E" w:rsidR="00424049" w:rsidRPr="00170474" w:rsidRDefault="00424049" w:rsidP="00424049">
            <w:pPr>
              <w:spacing w:after="80"/>
              <w:jc w:val="center"/>
              <w:rPr>
                <w:b/>
                <w:bCs/>
                <w:color w:val="1F497D" w:themeColor="text2"/>
                <w:sz w:val="24"/>
                <w:szCs w:val="24"/>
                <w:lang w:val="en-GB"/>
              </w:rPr>
            </w:pPr>
            <w:r w:rsidRPr="00170474">
              <w:rPr>
                <w:b/>
                <w:bCs/>
                <w:color w:val="1F497D" w:themeColor="text2"/>
                <w:sz w:val="24"/>
                <w:szCs w:val="24"/>
                <w:lang w:val="en-GB"/>
              </w:rPr>
              <w:t>Psychopathological Classifications and Provisions (BMHP6029</w:t>
            </w:r>
            <w:r w:rsidR="002E375D">
              <w:rPr>
                <w:b/>
                <w:bCs/>
                <w:color w:val="1F497D" w:themeColor="text2"/>
                <w:sz w:val="24"/>
                <w:szCs w:val="24"/>
                <w:lang w:val="en-GB"/>
              </w:rPr>
              <w:t>-</w:t>
            </w:r>
            <w:r w:rsidRPr="00170474">
              <w:rPr>
                <w:b/>
                <w:bCs/>
                <w:color w:val="1F497D" w:themeColor="text2"/>
                <w:sz w:val="24"/>
                <w:szCs w:val="24"/>
                <w:lang w:val="en-GB"/>
              </w:rPr>
              <w:t>BIRM)</w:t>
            </w:r>
          </w:p>
          <w:p w14:paraId="498D9D5F" w14:textId="2A83215A" w:rsidR="00424049" w:rsidRPr="00170474" w:rsidRDefault="00424049" w:rsidP="00424049">
            <w:pPr>
              <w:spacing w:after="80"/>
              <w:jc w:val="center"/>
              <w:rPr>
                <w:color w:val="1F497D" w:themeColor="text2"/>
                <w:sz w:val="20"/>
                <w:szCs w:val="20"/>
              </w:rPr>
            </w:pPr>
            <w:r w:rsidRPr="00170474">
              <w:rPr>
                <w:color w:val="1F497D" w:themeColor="text2"/>
                <w:sz w:val="24"/>
                <w:szCs w:val="20"/>
              </w:rPr>
              <w:t>Student: Thara Bi (2243859)</w:t>
            </w:r>
          </w:p>
          <w:p w14:paraId="236BCEE3" w14:textId="26F228DA" w:rsidR="00CC2BB0" w:rsidRPr="00170474" w:rsidRDefault="00F84A58" w:rsidP="00424049">
            <w:pPr>
              <w:spacing w:after="80"/>
              <w:jc w:val="center"/>
              <w:rPr>
                <w:color w:val="1F497D" w:themeColor="text2"/>
                <w:sz w:val="20"/>
                <w:szCs w:val="20"/>
              </w:rPr>
            </w:pPr>
            <w:r w:rsidRPr="00170474">
              <w:rPr>
                <w:color w:val="1F497D" w:themeColor="text2"/>
                <w:sz w:val="24"/>
                <w:szCs w:val="20"/>
              </w:rPr>
              <w:t xml:space="preserve">Lecturer: </w:t>
            </w:r>
            <w:r w:rsidR="00424049" w:rsidRPr="00170474">
              <w:rPr>
                <w:color w:val="1F497D" w:themeColor="text2"/>
                <w:sz w:val="24"/>
                <w:szCs w:val="20"/>
              </w:rPr>
              <w:t>Neale Haddon</w:t>
            </w:r>
          </w:p>
          <w:p w14:paraId="79ECA6E3" w14:textId="73592635" w:rsidR="00CC2BB0" w:rsidRDefault="00284F89" w:rsidP="00424049">
            <w:pPr>
              <w:jc w:val="center"/>
            </w:pPr>
            <w:r>
              <w:rPr>
                <w:b/>
                <w:bCs/>
                <w:i/>
                <w:noProof/>
                <w:color w:val="1F497D" w:themeColor="text2"/>
                <w:sz w:val="36"/>
                <w:szCs w:val="32"/>
                <w:u w:val="single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3E1BBD6F" wp14:editId="0A53DE27">
                      <wp:simplePos x="0" y="0"/>
                      <wp:positionH relativeFrom="column">
                        <wp:posOffset>4393988</wp:posOffset>
                      </wp:positionH>
                      <wp:positionV relativeFrom="paragraph">
                        <wp:posOffset>288290</wp:posOffset>
                      </wp:positionV>
                      <wp:extent cx="45719" cy="429683"/>
                      <wp:effectExtent l="57150" t="19050" r="69215" b="85090"/>
                      <wp:wrapNone/>
                      <wp:docPr id="923018135" name="Straight Arrow Connector 2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5719" cy="429683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1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5DEB094A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23" o:spid="_x0000_s1026" type="#_x0000_t32" style="position:absolute;margin-left:346pt;margin-top:22.7pt;width:3.6pt;height:33.8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" strokecolor="black [3200]" strokeweight="2pt">
                      <v:stroke endarrow="block"/>
                      <v:shadow on="t" color="black" opacity="24903f" origin=",.5" offset="0,.55556mm"/>
                    </v:shape>
                  </w:pict>
                </mc:Fallback>
              </mc:AlternateContent>
            </w:r>
            <w:r w:rsidR="00F84A58" w:rsidRPr="00330D74">
              <w:rPr>
                <w:b/>
                <w:bCs/>
                <w:i/>
                <w:color w:val="1F497D" w:themeColor="text2"/>
                <w:sz w:val="36"/>
                <w:szCs w:val="32"/>
                <w:u w:val="single"/>
              </w:rPr>
              <w:t>Key themes</w:t>
            </w:r>
            <w:r w:rsidR="00F84A58" w:rsidRPr="00330D74">
              <w:rPr>
                <w:i/>
                <w:color w:val="1F497D" w:themeColor="text2"/>
                <w:sz w:val="36"/>
                <w:szCs w:val="32"/>
              </w:rPr>
              <w:t xml:space="preserve">:  </w:t>
            </w:r>
          </w:p>
        </w:tc>
      </w:tr>
    </w:tbl>
    <w:p w14:paraId="2E8376C3" w14:textId="347B5F9A" w:rsidR="004755BF" w:rsidRDefault="00F35F94">
      <w:pPr>
        <w:rPr>
          <w:b/>
          <w:noProof/>
          <w:color w:val="FFFFFF"/>
          <w:sz w:val="52"/>
        </w:rPr>
      </w:pPr>
      <w:r>
        <w:rPr>
          <w:b/>
          <w:noProof/>
          <w:color w:val="FFFFFF"/>
          <w:sz w:val="52"/>
        </w:rPr>
        <w:t xml:space="preserve">      </w:t>
      </w:r>
      <w:r>
        <w:rPr>
          <w:noProof/>
        </w:rPr>
        <w:drawing>
          <wp:inline distT="0" distB="0" distL="0" distR="0" wp14:anchorId="38AE7784" wp14:editId="182BCFD5">
            <wp:extent cx="821267" cy="821267"/>
            <wp:effectExtent l="0" t="0" r="0" b="0"/>
            <wp:docPr id="758138657" name="Graphic 12" descr="Stethoscop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8138657" name="Graphic 758138657" descr="Stethoscope with solid fill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3470" cy="823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noProof/>
          <w:color w:val="FFFFFF"/>
          <w:sz w:val="52"/>
        </w:rPr>
        <w:t xml:space="preserve">           </w:t>
      </w:r>
      <w:r>
        <w:rPr>
          <w:b/>
          <w:noProof/>
          <w:color w:val="FFFFFF"/>
          <w:sz w:val="52"/>
        </w:rPr>
        <w:drawing>
          <wp:inline distT="0" distB="0" distL="0" distR="0" wp14:anchorId="29444668" wp14:editId="3B4DBE87">
            <wp:extent cx="914400" cy="914400"/>
            <wp:effectExtent l="0" t="0" r="0" b="0"/>
            <wp:docPr id="1958494869" name="Graphic 14" descr="Pyramid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8494869" name="Graphic 1958494869" descr="Pyramid with solid fill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152EB">
        <w:rPr>
          <w:b/>
          <w:noProof/>
          <w:color w:val="FFFFFF"/>
          <w:sz w:val="52"/>
        </w:rPr>
        <w:t xml:space="preserve">       </w:t>
      </w:r>
      <w:r w:rsidR="00A366E8">
        <w:rPr>
          <w:b/>
          <w:noProof/>
          <w:color w:val="FFFFFF"/>
          <w:sz w:val="52"/>
        </w:rPr>
        <w:t xml:space="preserve"> </w:t>
      </w:r>
      <w:r w:rsidR="009B6E59">
        <w:rPr>
          <w:b/>
          <w:noProof/>
          <w:color w:val="FFFFFF"/>
          <w:sz w:val="52"/>
        </w:rPr>
        <w:drawing>
          <wp:inline distT="0" distB="0" distL="0" distR="0" wp14:anchorId="612FF6A9" wp14:editId="63FC6D90">
            <wp:extent cx="914400" cy="914400"/>
            <wp:effectExtent l="0" t="0" r="0" b="0"/>
            <wp:docPr id="720528482" name="Graphic 15" descr="Medicin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0528482" name="Graphic 720528482" descr="Medicine with solid fill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D6601">
        <w:rPr>
          <w:b/>
          <w:noProof/>
          <w:color w:val="FFFFFF"/>
          <w:sz w:val="52"/>
        </w:rPr>
        <w:t xml:space="preserve">    </w:t>
      </w:r>
      <w:r w:rsidR="00A366E8">
        <w:rPr>
          <w:b/>
          <w:noProof/>
          <w:color w:val="FFFFFF"/>
          <w:sz w:val="52"/>
        </w:rPr>
        <w:t xml:space="preserve"> </w:t>
      </w:r>
      <w:r w:rsidR="006D6601">
        <w:rPr>
          <w:b/>
          <w:noProof/>
          <w:color w:val="FFFFFF"/>
          <w:sz w:val="52"/>
        </w:rPr>
        <w:drawing>
          <wp:inline distT="0" distB="0" distL="0" distR="0" wp14:anchorId="56B04887" wp14:editId="4F509E07">
            <wp:extent cx="914400" cy="914400"/>
            <wp:effectExtent l="0" t="0" r="0" b="0"/>
            <wp:docPr id="8867858" name="Graphic 16" descr="Group of women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67858" name="Graphic 8867858" descr="Group of women with solid fill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07159">
        <w:rPr>
          <w:b/>
          <w:noProof/>
          <w:color w:val="FFFFFF"/>
          <w:sz w:val="52"/>
        </w:rPr>
        <w:t xml:space="preserve">      </w:t>
      </w:r>
      <w:r w:rsidR="00A366E8">
        <w:rPr>
          <w:b/>
          <w:noProof/>
          <w:color w:val="FFFFFF"/>
          <w:sz w:val="52"/>
        </w:rPr>
        <w:t xml:space="preserve">  </w:t>
      </w:r>
      <w:r w:rsidR="00D07159">
        <w:rPr>
          <w:b/>
          <w:noProof/>
          <w:color w:val="FFFFFF"/>
          <w:sz w:val="52"/>
        </w:rPr>
        <w:drawing>
          <wp:inline distT="0" distB="0" distL="0" distR="0" wp14:anchorId="2BA87322" wp14:editId="09A8F5C1">
            <wp:extent cx="914400" cy="914400"/>
            <wp:effectExtent l="0" t="0" r="0" b="0"/>
            <wp:docPr id="769385297" name="Graphic 17" descr="Full Brick Wall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9385297" name="Graphic 769385297" descr="Full Brick Wall with solid fill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30D74">
        <w:rPr>
          <w:b/>
          <w:noProof/>
          <w:color w:val="FFFFFF"/>
          <w:sz w:val="52"/>
        </w:rPr>
        <w:t xml:space="preserve">     </w:t>
      </w:r>
      <w:r w:rsidR="00A366E8">
        <w:rPr>
          <w:b/>
          <w:noProof/>
          <w:color w:val="FFFFFF"/>
          <w:sz w:val="52"/>
        </w:rPr>
        <w:t xml:space="preserve">  </w:t>
      </w:r>
      <w:r w:rsidR="00330D74">
        <w:rPr>
          <w:b/>
          <w:noProof/>
          <w:color w:val="FFFFFF"/>
          <w:sz w:val="52"/>
        </w:rPr>
        <w:t xml:space="preserve"> </w:t>
      </w:r>
      <w:r w:rsidR="00330D74">
        <w:rPr>
          <w:b/>
          <w:noProof/>
          <w:color w:val="FFFFFF"/>
          <w:sz w:val="52"/>
        </w:rPr>
        <w:drawing>
          <wp:inline distT="0" distB="0" distL="0" distR="0" wp14:anchorId="48310468" wp14:editId="0993A338">
            <wp:extent cx="914400" cy="914400"/>
            <wp:effectExtent l="0" t="0" r="0" b="0"/>
            <wp:docPr id="2086064461" name="Graphic 18" descr="Scales of justic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6064461" name="Graphic 2086064461" descr="Scales of justice with solid fill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C1A9C3" w14:textId="78C75B0E" w:rsidR="00CC2BB0" w:rsidRDefault="00C94DAF" w:rsidP="00C94DAF">
      <w:r w:rsidRPr="00A366E8">
        <w:rPr>
          <w:b/>
          <w:bCs/>
        </w:rPr>
        <w:t xml:space="preserve">                  </w:t>
      </w:r>
      <w:r w:rsidR="008152EB" w:rsidRPr="00A366E8">
        <w:rPr>
          <w:b/>
          <w:bCs/>
          <w:i/>
          <w:color w:val="0070C0"/>
          <w:sz w:val="24"/>
        </w:rPr>
        <w:t>Diagnosis</w:t>
      </w:r>
      <w:r w:rsidRPr="00DE44D1">
        <w:rPr>
          <w:color w:val="0070C0"/>
        </w:rPr>
        <w:t xml:space="preserve">     </w:t>
      </w:r>
      <w:r w:rsidR="00F35F94" w:rsidRPr="00DE44D1">
        <w:rPr>
          <w:color w:val="0070C0"/>
        </w:rPr>
        <w:t xml:space="preserve">                     </w:t>
      </w:r>
      <w:r w:rsidR="008152EB" w:rsidRPr="00A366E8">
        <w:rPr>
          <w:b/>
          <w:bCs/>
          <w:i/>
          <w:color w:val="0070C0"/>
          <w:sz w:val="24"/>
        </w:rPr>
        <w:t>Power &amp; Control</w:t>
      </w:r>
      <w:r w:rsidR="00F35F94" w:rsidRPr="00DE44D1">
        <w:rPr>
          <w:color w:val="0070C0"/>
        </w:rPr>
        <w:t xml:space="preserve">           </w:t>
      </w:r>
      <w:r w:rsidR="00096180" w:rsidRPr="00DE44D1">
        <w:rPr>
          <w:color w:val="0070C0"/>
        </w:rPr>
        <w:t xml:space="preserve">    </w:t>
      </w:r>
      <w:r w:rsidR="00F35F94" w:rsidRPr="00DE44D1">
        <w:rPr>
          <w:color w:val="0070C0"/>
        </w:rPr>
        <w:t xml:space="preserve"> </w:t>
      </w:r>
      <w:r w:rsidR="00DA4EA7" w:rsidRPr="00A366E8">
        <w:rPr>
          <w:b/>
          <w:bCs/>
          <w:i/>
          <w:color w:val="0070C0"/>
          <w:sz w:val="24"/>
        </w:rPr>
        <w:t>Medication</w:t>
      </w:r>
      <w:r w:rsidR="00DA4EA7" w:rsidRPr="00A366E8">
        <w:rPr>
          <w:b/>
          <w:bCs/>
          <w:color w:val="0070C0"/>
        </w:rPr>
        <w:t xml:space="preserve"> </w:t>
      </w:r>
      <w:r w:rsidR="006D6601" w:rsidRPr="00A366E8">
        <w:rPr>
          <w:b/>
          <w:bCs/>
          <w:color w:val="0070C0"/>
        </w:rPr>
        <w:t xml:space="preserve">             </w:t>
      </w:r>
      <w:r w:rsidR="00A366E8">
        <w:rPr>
          <w:b/>
          <w:bCs/>
          <w:color w:val="0070C0"/>
        </w:rPr>
        <w:t xml:space="preserve"> </w:t>
      </w:r>
      <w:r w:rsidR="006D6601" w:rsidRPr="00A366E8">
        <w:rPr>
          <w:b/>
          <w:bCs/>
          <w:color w:val="0070C0"/>
        </w:rPr>
        <w:t xml:space="preserve"> </w:t>
      </w:r>
      <w:r w:rsidR="006D6601" w:rsidRPr="00A366E8">
        <w:rPr>
          <w:b/>
          <w:bCs/>
          <w:i/>
          <w:color w:val="0070C0"/>
          <w:sz w:val="24"/>
        </w:rPr>
        <w:t xml:space="preserve">Community Care </w:t>
      </w:r>
      <w:r w:rsidR="00D07159" w:rsidRPr="00A366E8">
        <w:rPr>
          <w:b/>
          <w:bCs/>
          <w:i/>
          <w:color w:val="0070C0"/>
          <w:sz w:val="24"/>
        </w:rPr>
        <w:t xml:space="preserve">           </w:t>
      </w:r>
      <w:r w:rsidR="00DE44D1" w:rsidRPr="00A366E8">
        <w:rPr>
          <w:b/>
          <w:bCs/>
          <w:i/>
          <w:color w:val="0070C0"/>
          <w:sz w:val="24"/>
        </w:rPr>
        <w:t xml:space="preserve">   </w:t>
      </w:r>
      <w:r w:rsidR="00A366E8">
        <w:rPr>
          <w:b/>
          <w:bCs/>
          <w:i/>
          <w:color w:val="0070C0"/>
          <w:sz w:val="24"/>
        </w:rPr>
        <w:t xml:space="preserve">     </w:t>
      </w:r>
      <w:r w:rsidR="00DE44D1" w:rsidRPr="00A366E8">
        <w:rPr>
          <w:b/>
          <w:bCs/>
          <w:i/>
          <w:color w:val="0070C0"/>
          <w:sz w:val="24"/>
        </w:rPr>
        <w:t xml:space="preserve"> </w:t>
      </w:r>
      <w:r w:rsidR="00D07159" w:rsidRPr="00A366E8">
        <w:rPr>
          <w:b/>
          <w:bCs/>
          <w:i/>
          <w:color w:val="0070C0"/>
          <w:sz w:val="24"/>
        </w:rPr>
        <w:t>Stigma</w:t>
      </w:r>
      <w:r w:rsidR="00D07159" w:rsidRPr="00A366E8">
        <w:rPr>
          <w:b/>
          <w:bCs/>
          <w:color w:val="0070C0"/>
        </w:rPr>
        <w:t xml:space="preserve"> </w:t>
      </w:r>
      <w:r w:rsidR="00330D74" w:rsidRPr="00A366E8">
        <w:rPr>
          <w:b/>
          <w:bCs/>
          <w:color w:val="0070C0"/>
        </w:rPr>
        <w:t xml:space="preserve">                           </w:t>
      </w:r>
      <w:r w:rsidR="00DE44D1" w:rsidRPr="00A366E8">
        <w:rPr>
          <w:b/>
          <w:bCs/>
          <w:color w:val="0070C0"/>
        </w:rPr>
        <w:t xml:space="preserve">   </w:t>
      </w:r>
      <w:r w:rsidR="00330D74" w:rsidRPr="00A366E8">
        <w:rPr>
          <w:b/>
          <w:bCs/>
          <w:i/>
          <w:color w:val="0070C0"/>
          <w:sz w:val="24"/>
        </w:rPr>
        <w:t>Inequality</w:t>
      </w:r>
      <w:r w:rsidR="00330D74" w:rsidRPr="00DE44D1">
        <w:rPr>
          <w:color w:val="0070C0"/>
        </w:rPr>
        <w:t xml:space="preserve"> </w:t>
      </w:r>
      <w:r w:rsidR="00F84A58">
        <w:br w:type="page"/>
      </w: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7353"/>
        <w:gridCol w:w="7353"/>
        <w:gridCol w:w="40"/>
      </w:tblGrid>
      <w:tr w:rsidR="00CC2BB0" w14:paraId="50B7B12A" w14:textId="77777777">
        <w:trPr>
          <w:gridAfter w:val="1"/>
          <w:wAfter w:w="40" w:type="dxa"/>
        </w:trPr>
        <w:tc>
          <w:tcPr>
            <w:tcW w:w="14706" w:type="dxa"/>
            <w:gridSpan w:val="2"/>
            <w:shd w:val="clear" w:color="auto" w:fill="2F5597"/>
            <w:tcMar>
              <w:top w:w="200" w:type="dxa"/>
              <w:left w:w="240" w:type="dxa"/>
              <w:bottom w:w="200" w:type="dxa"/>
              <w:right w:w="240" w:type="dxa"/>
            </w:tcMar>
          </w:tcPr>
          <w:p w14:paraId="1A9A7CB4" w14:textId="77777777" w:rsidR="00CC2BB0" w:rsidRDefault="00F84A58" w:rsidP="008F2349">
            <w:pPr>
              <w:jc w:val="center"/>
            </w:pPr>
            <w:r>
              <w:rPr>
                <w:b/>
                <w:color w:val="FFFFFF"/>
                <w:sz w:val="36"/>
              </w:rPr>
              <w:lastRenderedPageBreak/>
              <w:t>SCHIZOPHRENIA: HISTORICAL, SOCIAL, CULTURAL &amp; POLITICAL DRIVERS OF CARE</w:t>
            </w:r>
          </w:p>
          <w:p w14:paraId="33AEB738" w14:textId="2B91E7D9" w:rsidR="00CC2BB0" w:rsidRDefault="00F84A58" w:rsidP="008F2349">
            <w:pPr>
              <w:jc w:val="center"/>
            </w:pPr>
            <w:r>
              <w:rPr>
                <w:color w:val="FFFFFF"/>
              </w:rPr>
              <w:t>definition, scale, and the asylum era → early 20th century</w:t>
            </w:r>
          </w:p>
        </w:tc>
      </w:tr>
      <w:tr w:rsidR="00CC2BB0" w14:paraId="002E31C3" w14:textId="77777777">
        <w:tc>
          <w:tcPr>
            <w:tcW w:w="7353" w:type="dxa"/>
            <w:shd w:val="clear" w:color="auto" w:fill="D9E1F2"/>
            <w:tcMar>
              <w:top w:w="160" w:type="dxa"/>
              <w:left w:w="200" w:type="dxa"/>
              <w:bottom w:w="160" w:type="dxa"/>
              <w:right w:w="200" w:type="dxa"/>
            </w:tcMar>
          </w:tcPr>
          <w:p w14:paraId="32147F96" w14:textId="4398A575" w:rsidR="00CC2BB0" w:rsidRPr="00FB1B10" w:rsidRDefault="00F84A58" w:rsidP="00A46FC6">
            <w:pPr>
              <w:spacing w:after="80"/>
              <w:jc w:val="center"/>
              <w:rPr>
                <w:u w:val="single"/>
              </w:rPr>
            </w:pPr>
            <w:r w:rsidRPr="00FB1B10">
              <w:rPr>
                <w:b/>
                <w:sz w:val="32"/>
                <w:u w:val="single"/>
              </w:rPr>
              <w:t>What is schizophrenia? (ICD-11)</w:t>
            </w:r>
          </w:p>
          <w:p w14:paraId="576F6379" w14:textId="77777777" w:rsidR="00CC2BB0" w:rsidRDefault="00F84A58">
            <w:pPr>
              <w:pStyle w:val="ListBullet"/>
              <w:spacing w:after="20"/>
            </w:pPr>
            <w:r>
              <w:t>ICD-11 classifies schizophrenia as code 6A20 under “Schizophrenia or Other Primary Psychotic Disorders” (WHO, 2024).</w:t>
            </w:r>
          </w:p>
          <w:p w14:paraId="67480BD2" w14:textId="68BA1C2F" w:rsidR="00CC2BB0" w:rsidRDefault="00F84A58">
            <w:pPr>
              <w:pStyle w:val="ListBullet"/>
              <w:spacing w:after="20"/>
            </w:pPr>
            <w:r>
              <w:t xml:space="preserve">Defined by positive symptoms (e.g., hallucinations, delusions), negative symptoms (e.g., blunted </w:t>
            </w:r>
            <w:r w:rsidR="004169A2">
              <w:t>effect</w:t>
            </w:r>
            <w:r>
              <w:t>) and cognitive impairment (WHO, 2024).</w:t>
            </w:r>
          </w:p>
          <w:p w14:paraId="1338CD41" w14:textId="761C700D" w:rsidR="00CC2BB0" w:rsidRDefault="00F84A58">
            <w:pPr>
              <w:pStyle w:val="ListBullet"/>
              <w:spacing w:after="20"/>
            </w:pPr>
            <w:r>
              <w:t>ICD-11 removes subtypes and adopts a hybrid categorical–dimensional approach, rating</w:t>
            </w:r>
            <w:r w:rsidR="008E4A37">
              <w:t xml:space="preserve"> six</w:t>
            </w:r>
            <w:r>
              <w:t xml:space="preserve"> symptom domains (WHO, 2022).</w:t>
            </w:r>
          </w:p>
          <w:p w14:paraId="49E41073" w14:textId="2D3C570A" w:rsidR="004755BF" w:rsidRDefault="00737F13" w:rsidP="004755BF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  <w:r>
              <w:rPr>
                <w:noProof/>
              </w:rPr>
              <w:t xml:space="preserve">                                                               </w:t>
            </w:r>
            <w:r w:rsidR="004336AB">
              <w:rPr>
                <w:noProof/>
              </w:rPr>
              <w:drawing>
                <wp:inline distT="0" distB="0" distL="0" distR="0" wp14:anchorId="479ED359" wp14:editId="177DA0A3">
                  <wp:extent cx="464820" cy="464820"/>
                  <wp:effectExtent l="0" t="0" r="0" b="0"/>
                  <wp:docPr id="1807633111" name="Graphic 6" descr="Brain in head outlin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07633111" name="Graphic 1807633111" descr="Brain in head outline"/>
                          <pic:cNvPicPr/>
                        </pic:nvPicPr>
                        <pic:blipFill>
                          <a:blip r:embed="rId19">
                            <a:extLst>
                              <a:ext uri="{96DAC541-7B7A-43D3-8B79-37D633B846F1}">
                                <asvg:svgBlip xmlns:asvg="http://schemas.microsoft.com/office/drawing/2016/SVG/main" r:embed="rId2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4820" cy="4648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2E50F7B" w14:textId="77777777" w:rsidR="004755BF" w:rsidRDefault="004755BF" w:rsidP="004755BF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</w:p>
          <w:p w14:paraId="51FA6296" w14:textId="77777777" w:rsidR="004755BF" w:rsidRDefault="004755BF" w:rsidP="004755BF">
            <w:pPr>
              <w:pStyle w:val="ListBullet"/>
              <w:numPr>
                <w:ilvl w:val="0"/>
                <w:numId w:val="0"/>
              </w:numPr>
              <w:spacing w:after="20"/>
            </w:pPr>
          </w:p>
        </w:tc>
        <w:tc>
          <w:tcPr>
            <w:tcW w:w="7353" w:type="dxa"/>
            <w:gridSpan w:val="2"/>
            <w:shd w:val="clear" w:color="auto" w:fill="E2EFDA"/>
            <w:tcMar>
              <w:top w:w="160" w:type="dxa"/>
              <w:left w:w="200" w:type="dxa"/>
              <w:bottom w:w="160" w:type="dxa"/>
              <w:right w:w="200" w:type="dxa"/>
            </w:tcMar>
          </w:tcPr>
          <w:p w14:paraId="0DA4F288" w14:textId="77777777" w:rsidR="00CC2BB0" w:rsidRPr="00FB1B10" w:rsidRDefault="00F84A58" w:rsidP="00A46FC6">
            <w:pPr>
              <w:spacing w:after="80"/>
              <w:jc w:val="center"/>
              <w:rPr>
                <w:u w:val="single"/>
              </w:rPr>
            </w:pPr>
            <w:r w:rsidRPr="00FB1B10">
              <w:rPr>
                <w:b/>
                <w:sz w:val="32"/>
                <w:u w:val="single"/>
              </w:rPr>
              <w:t>Why it matters: key facts &amp; inequity</w:t>
            </w:r>
          </w:p>
          <w:p w14:paraId="0BF8FD50" w14:textId="77777777" w:rsidR="00CC2BB0" w:rsidRDefault="00F84A58">
            <w:pPr>
              <w:pStyle w:val="ListBullet"/>
              <w:spacing w:after="20"/>
            </w:pPr>
            <w:r>
              <w:t>Globally, most people with psychosis do not receive specialist care (WHO, 2025).</w:t>
            </w:r>
          </w:p>
          <w:p w14:paraId="6A1A987D" w14:textId="343896E0" w:rsidR="00CC2BB0" w:rsidRDefault="00F84A58">
            <w:pPr>
              <w:pStyle w:val="ListBullet"/>
              <w:spacing w:after="20"/>
            </w:pPr>
            <w:r>
              <w:t>In England, Black people are detained under the Mental Health Act</w:t>
            </w:r>
            <w:r w:rsidR="009F187A">
              <w:t xml:space="preserve"> </w:t>
            </w:r>
            <w:r w:rsidR="004255FF">
              <w:t>(19</w:t>
            </w:r>
            <w:r w:rsidR="009F187A">
              <w:t>83)</w:t>
            </w:r>
            <w:r>
              <w:t xml:space="preserve"> around four times the rate of White people (DHSC, 2021).</w:t>
            </w:r>
          </w:p>
          <w:p w14:paraId="2CD5353E" w14:textId="4B0030FC" w:rsidR="003B0801" w:rsidRDefault="00F84A58" w:rsidP="003B0801">
            <w:pPr>
              <w:pStyle w:val="ListBullet"/>
              <w:spacing w:after="20"/>
            </w:pPr>
            <w:r>
              <w:t>Mental illness represents 23% of total disease burden but only 11% of NHS England spending (Royal College of Psychiatrists, 2021).</w:t>
            </w:r>
          </w:p>
          <w:p w14:paraId="55798B1C" w14:textId="77777777" w:rsidR="003B0801" w:rsidRDefault="003B0801" w:rsidP="003B0801">
            <w:pPr>
              <w:pStyle w:val="ListBullet"/>
              <w:spacing w:after="20"/>
            </w:pPr>
          </w:p>
          <w:p w14:paraId="5E1A3F97" w14:textId="0AD72AFA" w:rsidR="003B0801" w:rsidRDefault="003B0801" w:rsidP="003B0801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  <w:r>
              <w:t xml:space="preserve">                                                     </w:t>
            </w:r>
            <w:r>
              <w:rPr>
                <w:noProof/>
              </w:rPr>
              <w:drawing>
                <wp:inline distT="0" distB="0" distL="0" distR="0" wp14:anchorId="50EAE992" wp14:editId="5F0F6220">
                  <wp:extent cx="469127" cy="449580"/>
                  <wp:effectExtent l="0" t="0" r="7620" b="0"/>
                  <wp:docPr id="1935808635" name="Graphic 9" descr="Bar chart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5808635" name="Graphic 1935808635" descr="Bar chart with solid fill"/>
                          <pic:cNvPicPr/>
                        </pic:nvPicPr>
                        <pic:blipFill>
                          <a:blip r:embed="rId21">
                            <a:extLst>
                              <a:ext uri="{96DAC541-7B7A-43D3-8B79-37D633B846F1}">
                                <asvg:svgBlip xmlns:asvg="http://schemas.microsoft.com/office/drawing/2016/SVG/main" r:embed="rId2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2480" cy="45279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958D69E" w14:textId="63BA1A9A" w:rsidR="003B0801" w:rsidRDefault="003B0801" w:rsidP="003B0801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</w:p>
        </w:tc>
      </w:tr>
      <w:tr w:rsidR="00CC2BB0" w14:paraId="64C96249" w14:textId="77777777">
        <w:tc>
          <w:tcPr>
            <w:tcW w:w="7353" w:type="dxa"/>
            <w:shd w:val="clear" w:color="auto" w:fill="FCE4D6"/>
            <w:tcMar>
              <w:top w:w="160" w:type="dxa"/>
              <w:left w:w="200" w:type="dxa"/>
              <w:bottom w:w="160" w:type="dxa"/>
              <w:right w:w="200" w:type="dxa"/>
            </w:tcMar>
          </w:tcPr>
          <w:p w14:paraId="0737A876" w14:textId="77777777" w:rsidR="00CC2BB0" w:rsidRPr="00FB1B10" w:rsidRDefault="00F84A58" w:rsidP="00A46FC6">
            <w:pPr>
              <w:spacing w:after="80"/>
              <w:jc w:val="center"/>
              <w:rPr>
                <w:u w:val="single"/>
              </w:rPr>
            </w:pPr>
            <w:bookmarkStart w:id="0" w:name="OLE_LINK7"/>
            <w:r w:rsidRPr="00FB1B10">
              <w:rPr>
                <w:b/>
                <w:sz w:val="32"/>
                <w:u w:val="single"/>
              </w:rPr>
              <w:t>The asylum era: care or social control?</w:t>
            </w:r>
          </w:p>
          <w:bookmarkEnd w:id="0"/>
          <w:p w14:paraId="7D466732" w14:textId="77777777" w:rsidR="00CC2BB0" w:rsidRDefault="00F84A58">
            <w:pPr>
              <w:pStyle w:val="ListBullet"/>
              <w:spacing w:after="20"/>
            </w:pPr>
            <w:r>
              <w:t>Before 1800, people with psychosis were often imprisoned or abandoned; “madness” was not treated as medical illness (</w:t>
            </w:r>
            <w:proofErr w:type="spellStart"/>
            <w:r>
              <w:t>Ikkos</w:t>
            </w:r>
            <w:proofErr w:type="spellEnd"/>
            <w:r>
              <w:t>, 2017).</w:t>
            </w:r>
          </w:p>
          <w:p w14:paraId="10F1D774" w14:textId="77777777" w:rsidR="00CC2BB0" w:rsidRDefault="00F84A58">
            <w:pPr>
              <w:pStyle w:val="ListBullet"/>
              <w:spacing w:after="20"/>
            </w:pPr>
            <w:r>
              <w:t xml:space="preserve">The 1845 Lunacy Act expanded county asylums; ideals of “moral treatment” later collapsed under overcrowding and underfunding (Jones, 1993; </w:t>
            </w:r>
            <w:proofErr w:type="spellStart"/>
            <w:r>
              <w:t>Ikkos</w:t>
            </w:r>
            <w:proofErr w:type="spellEnd"/>
            <w:r>
              <w:t>, 2017).</w:t>
            </w:r>
          </w:p>
          <w:p w14:paraId="4913FFF2" w14:textId="4CA4F74F" w:rsidR="00CC2BB0" w:rsidRDefault="00F84A58">
            <w:pPr>
              <w:pStyle w:val="ListBullet"/>
              <w:spacing w:after="20"/>
            </w:pPr>
            <w:r>
              <w:t>Long-stay confinement can cause “</w:t>
            </w:r>
            <w:proofErr w:type="spellStart"/>
            <w:r>
              <w:t>institutionalisation</w:t>
            </w:r>
            <w:proofErr w:type="spellEnd"/>
            <w:r>
              <w:t xml:space="preserve">” driven by impoverished </w:t>
            </w:r>
            <w:r w:rsidR="00FB1B10">
              <w:t>environments, not</w:t>
            </w:r>
            <w:r>
              <w:t xml:space="preserve"> inevitable disease decline (Wing and Brown, 1970).</w:t>
            </w:r>
          </w:p>
          <w:p w14:paraId="2BB598BE" w14:textId="09768012" w:rsidR="004755BF" w:rsidRDefault="00F94D74" w:rsidP="004755BF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  <w:r>
              <w:t xml:space="preserve">                                                        </w:t>
            </w:r>
            <w:r>
              <w:rPr>
                <w:noProof/>
              </w:rPr>
              <w:drawing>
                <wp:inline distT="0" distB="0" distL="0" distR="0" wp14:anchorId="72BE36BD" wp14:editId="0646F729">
                  <wp:extent cx="449580" cy="449580"/>
                  <wp:effectExtent l="0" t="0" r="7620" b="0"/>
                  <wp:docPr id="1272629752" name="Graphic 10" descr="Bank outlin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72629752" name="Graphic 1272629752" descr="Bank outline"/>
                          <pic:cNvPicPr/>
                        </pic:nvPicPr>
                        <pic:blipFill>
                          <a:blip r:embed="rId23">
                            <a:extLst>
                              <a:ext uri="{96DAC541-7B7A-43D3-8B79-37D633B846F1}">
                                <asvg:svgBlip xmlns:asvg="http://schemas.microsoft.com/office/drawing/2016/SVG/main" r:embed="rId2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9580" cy="4495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500FF47" w14:textId="6B84952B" w:rsidR="004755BF" w:rsidRDefault="00F94D74" w:rsidP="004755BF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  <w:r>
              <w:t xml:space="preserve"> </w:t>
            </w:r>
          </w:p>
          <w:p w14:paraId="3A9734E7" w14:textId="77777777" w:rsidR="004755BF" w:rsidRDefault="004755BF" w:rsidP="004755BF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</w:p>
          <w:p w14:paraId="28E32FDE" w14:textId="77777777" w:rsidR="004755BF" w:rsidRDefault="004755BF" w:rsidP="004755BF">
            <w:pPr>
              <w:pStyle w:val="ListBullet"/>
              <w:numPr>
                <w:ilvl w:val="0"/>
                <w:numId w:val="0"/>
              </w:numPr>
              <w:spacing w:after="20"/>
            </w:pPr>
          </w:p>
        </w:tc>
        <w:tc>
          <w:tcPr>
            <w:tcW w:w="7353" w:type="dxa"/>
            <w:gridSpan w:val="2"/>
            <w:shd w:val="clear" w:color="auto" w:fill="FFF2CC"/>
            <w:tcMar>
              <w:top w:w="160" w:type="dxa"/>
              <w:left w:w="200" w:type="dxa"/>
              <w:bottom w:w="160" w:type="dxa"/>
              <w:right w:w="200" w:type="dxa"/>
            </w:tcMar>
          </w:tcPr>
          <w:p w14:paraId="2EB0305D" w14:textId="1247436A" w:rsidR="00CC2BB0" w:rsidRPr="00FB1B10" w:rsidRDefault="00F84A58" w:rsidP="00A46FC6">
            <w:pPr>
              <w:spacing w:after="80"/>
              <w:jc w:val="center"/>
              <w:rPr>
                <w:u w:val="single"/>
              </w:rPr>
            </w:pPr>
            <w:r w:rsidRPr="00FB1B10">
              <w:rPr>
                <w:b/>
                <w:sz w:val="32"/>
                <w:u w:val="single"/>
              </w:rPr>
              <w:t xml:space="preserve">Early 20th </w:t>
            </w:r>
            <w:r w:rsidR="004755BF" w:rsidRPr="00FB1B10">
              <w:rPr>
                <w:b/>
                <w:sz w:val="32"/>
                <w:u w:val="single"/>
              </w:rPr>
              <w:t xml:space="preserve">century: </w:t>
            </w:r>
            <w:r w:rsidRPr="00FB1B10">
              <w:rPr>
                <w:b/>
                <w:sz w:val="32"/>
                <w:u w:val="single"/>
              </w:rPr>
              <w:t>heroic’ therapies &amp; eugenics</w:t>
            </w:r>
          </w:p>
          <w:p w14:paraId="383C3C06" w14:textId="0C3C0668" w:rsidR="00CC2BB0" w:rsidRDefault="00F84A58">
            <w:pPr>
              <w:pStyle w:val="ListBullet"/>
              <w:spacing w:after="20"/>
            </w:pPr>
            <w:r>
              <w:t>‘Heroic’ therapies included insulin coma therapy, shock treatments and lobotomy</w:t>
            </w:r>
            <w:r w:rsidR="00FB1B10">
              <w:t>-</w:t>
            </w:r>
            <w:r>
              <w:t>often without meaningful consent and with severe harms (Science Museum, 2020).</w:t>
            </w:r>
          </w:p>
          <w:p w14:paraId="79D77CA8" w14:textId="5E14C5E6" w:rsidR="00CC2BB0" w:rsidRDefault="00F84A58">
            <w:pPr>
              <w:pStyle w:val="ListBullet"/>
              <w:spacing w:after="20"/>
            </w:pPr>
            <w:r>
              <w:t xml:space="preserve">Diagnostic history: Kraepelin’s “dementia praecox” </w:t>
            </w:r>
            <w:r w:rsidR="00E712E3">
              <w:t>→</w:t>
            </w:r>
            <w:r>
              <w:t xml:space="preserve"> Bleuler’s “schizophrenia,” shifting medical thinking (Gittins, 2010).</w:t>
            </w:r>
          </w:p>
          <w:p w14:paraId="245534EF" w14:textId="77777777" w:rsidR="00CC2BB0" w:rsidRDefault="00F84A58">
            <w:pPr>
              <w:pStyle w:val="ListBullet"/>
              <w:spacing w:after="20"/>
            </w:pPr>
            <w:r>
              <w:t xml:space="preserve">Eugenics policies and the Nazi T4 </w:t>
            </w:r>
            <w:proofErr w:type="spellStart"/>
            <w:r>
              <w:t>programme</w:t>
            </w:r>
            <w:proofErr w:type="spellEnd"/>
            <w:r>
              <w:t xml:space="preserve"> targeted people with schizophrenia for </w:t>
            </w:r>
            <w:proofErr w:type="spellStart"/>
            <w:r>
              <w:t>sterilisation</w:t>
            </w:r>
            <w:proofErr w:type="spellEnd"/>
            <w:r>
              <w:t xml:space="preserve"> and murder (Meyer, 2009).</w:t>
            </w:r>
          </w:p>
          <w:p w14:paraId="1A39943E" w14:textId="56C7B6BF" w:rsidR="009E472C" w:rsidRDefault="008902F0" w:rsidP="009E472C">
            <w:pPr>
              <w:pStyle w:val="ListBullet"/>
              <w:numPr>
                <w:ilvl w:val="0"/>
                <w:numId w:val="0"/>
              </w:numPr>
              <w:spacing w:after="20"/>
              <w:ind w:left="360"/>
            </w:pPr>
            <w:r>
              <w:t xml:space="preserve">                                         </w:t>
            </w:r>
            <w:r w:rsidR="009E472C">
              <w:rPr>
                <w:noProof/>
              </w:rPr>
              <w:drawing>
                <wp:inline distT="0" distB="0" distL="0" distR="0" wp14:anchorId="33A5DE3C" wp14:editId="7D4B81AE">
                  <wp:extent cx="609600" cy="586740"/>
                  <wp:effectExtent l="0" t="0" r="0" b="3810"/>
                  <wp:docPr id="631425818" name="Graphic 11" descr="Needle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31425818" name="Graphic 631425818" descr="Needle with solid fill"/>
                          <pic:cNvPicPr/>
                        </pic:nvPicPr>
                        <pic:blipFill>
                          <a:blip r:embed="rId25">
                            <a:extLst>
                              <a:ext uri="{96DAC541-7B7A-43D3-8B79-37D633B846F1}">
                                <asvg:svgBlip xmlns:asvg="http://schemas.microsoft.com/office/drawing/2016/SVG/main" r:embed="rId2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09600" cy="5867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D36F4A7" w14:textId="77777777" w:rsidR="009E472C" w:rsidRDefault="009E472C" w:rsidP="009E472C">
            <w:pPr>
              <w:pStyle w:val="ListBullet"/>
              <w:numPr>
                <w:ilvl w:val="0"/>
                <w:numId w:val="0"/>
              </w:numPr>
              <w:spacing w:after="20"/>
              <w:ind w:left="360"/>
            </w:pPr>
          </w:p>
          <w:p w14:paraId="5AD62800" w14:textId="6B24FFFD" w:rsidR="00E35345" w:rsidRDefault="009E472C" w:rsidP="00E35345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  <w:r>
              <w:t xml:space="preserve">                                                      </w:t>
            </w:r>
          </w:p>
        </w:tc>
      </w:tr>
    </w:tbl>
    <w:p w14:paraId="1CCC8601" w14:textId="77777777" w:rsidR="00CC2BB0" w:rsidRDefault="00F84A58">
      <w:r>
        <w:br w:type="page"/>
      </w: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7353"/>
        <w:gridCol w:w="7353"/>
        <w:gridCol w:w="40"/>
      </w:tblGrid>
      <w:tr w:rsidR="00CC2BB0" w14:paraId="653FBC96" w14:textId="77777777">
        <w:trPr>
          <w:gridAfter w:val="1"/>
          <w:wAfter w:w="40" w:type="dxa"/>
        </w:trPr>
        <w:tc>
          <w:tcPr>
            <w:tcW w:w="14706" w:type="dxa"/>
            <w:gridSpan w:val="2"/>
            <w:shd w:val="clear" w:color="auto" w:fill="1F4E79"/>
            <w:tcMar>
              <w:top w:w="200" w:type="dxa"/>
              <w:left w:w="240" w:type="dxa"/>
              <w:bottom w:w="200" w:type="dxa"/>
              <w:right w:w="240" w:type="dxa"/>
            </w:tcMar>
          </w:tcPr>
          <w:p w14:paraId="6D3D9506" w14:textId="41F49F79" w:rsidR="00CC2BB0" w:rsidRDefault="00F84A58" w:rsidP="008F2349">
            <w:pPr>
              <w:jc w:val="center"/>
            </w:pPr>
            <w:r>
              <w:rPr>
                <w:b/>
                <w:color w:val="FFFFFF"/>
                <w:sz w:val="36"/>
              </w:rPr>
              <w:lastRenderedPageBreak/>
              <w:t>FROM MEDICATION TO COMMUNITY CARE: PROGRESS, GAPS AND RECOVERY</w:t>
            </w:r>
          </w:p>
          <w:p w14:paraId="6E8AFE03" w14:textId="6929BF9D" w:rsidR="00CC2BB0" w:rsidRDefault="00E629B2" w:rsidP="008F2349">
            <w:pPr>
              <w:jc w:val="center"/>
            </w:pPr>
            <w:r>
              <w:rPr>
                <w:color w:val="FFFFFF"/>
              </w:rPr>
              <w:t>A</w:t>
            </w:r>
            <w:r w:rsidR="00F84A58">
              <w:rPr>
                <w:color w:val="FFFFFF"/>
              </w:rPr>
              <w:t xml:space="preserve">ntipsychotics, </w:t>
            </w:r>
            <w:proofErr w:type="spellStart"/>
            <w:r>
              <w:rPr>
                <w:color w:val="FFFFFF"/>
              </w:rPr>
              <w:t>D</w:t>
            </w:r>
            <w:r w:rsidR="00F84A58">
              <w:rPr>
                <w:color w:val="FFFFFF"/>
              </w:rPr>
              <w:t>einstitutionalisation</w:t>
            </w:r>
            <w:proofErr w:type="spellEnd"/>
            <w:r w:rsidR="00F84A58">
              <w:rPr>
                <w:color w:val="FFFFFF"/>
              </w:rPr>
              <w:t xml:space="preserve">, </w:t>
            </w:r>
            <w:r>
              <w:rPr>
                <w:color w:val="FFFFFF"/>
              </w:rPr>
              <w:t>S</w:t>
            </w:r>
            <w:r w:rsidR="00F84A58">
              <w:rPr>
                <w:color w:val="FFFFFF"/>
              </w:rPr>
              <w:t xml:space="preserve">tigma, and </w:t>
            </w:r>
            <w:r>
              <w:rPr>
                <w:color w:val="FFFFFF"/>
              </w:rPr>
              <w:t>R</w:t>
            </w:r>
            <w:r w:rsidR="00F84A58">
              <w:rPr>
                <w:color w:val="FFFFFF"/>
              </w:rPr>
              <w:t>ecovery-</w:t>
            </w:r>
            <w:r>
              <w:rPr>
                <w:color w:val="FFFFFF"/>
              </w:rPr>
              <w:t>O</w:t>
            </w:r>
            <w:r w:rsidR="00F84A58">
              <w:rPr>
                <w:color w:val="FFFFFF"/>
              </w:rPr>
              <w:t>riented</w:t>
            </w:r>
            <w:r>
              <w:rPr>
                <w:color w:val="FFFFFF"/>
              </w:rPr>
              <w:t xml:space="preserve"> C</w:t>
            </w:r>
            <w:r w:rsidR="00F84A58">
              <w:rPr>
                <w:color w:val="FFFFFF"/>
              </w:rPr>
              <w:t>are</w:t>
            </w:r>
          </w:p>
        </w:tc>
      </w:tr>
      <w:tr w:rsidR="00CC2BB0" w14:paraId="57DD6103" w14:textId="77777777" w:rsidTr="00F2127C">
        <w:tc>
          <w:tcPr>
            <w:tcW w:w="7353" w:type="dxa"/>
            <w:shd w:val="clear" w:color="auto" w:fill="D9E1F2"/>
            <w:tcMar>
              <w:top w:w="160" w:type="dxa"/>
              <w:left w:w="200" w:type="dxa"/>
              <w:bottom w:w="160" w:type="dxa"/>
              <w:right w:w="200" w:type="dxa"/>
            </w:tcMar>
          </w:tcPr>
          <w:p w14:paraId="5932BE4D" w14:textId="77777777" w:rsidR="00CC2BB0" w:rsidRPr="00FB1B10" w:rsidRDefault="00F84A58" w:rsidP="00A46FC6">
            <w:pPr>
              <w:spacing w:after="80"/>
              <w:jc w:val="center"/>
              <w:rPr>
                <w:u w:val="single"/>
              </w:rPr>
            </w:pPr>
            <w:r w:rsidRPr="00FB1B10">
              <w:rPr>
                <w:b/>
                <w:sz w:val="32"/>
                <w:u w:val="single"/>
              </w:rPr>
              <w:t>1952: the antipsychotic era</w:t>
            </w:r>
          </w:p>
          <w:p w14:paraId="0ABB7AD3" w14:textId="77777777" w:rsidR="00CC2BB0" w:rsidRDefault="00F84A58">
            <w:pPr>
              <w:pStyle w:val="ListBullet"/>
              <w:spacing w:after="20"/>
            </w:pPr>
            <w:r>
              <w:t xml:space="preserve">Chlorpromazine (Largactil) reduced psychotic symptoms and enabled discharge from long-stay </w:t>
            </w:r>
            <w:proofErr w:type="gramStart"/>
            <w:r>
              <w:t>wards</w:t>
            </w:r>
            <w:proofErr w:type="gramEnd"/>
            <w:r>
              <w:t xml:space="preserve"> (Moncrieff, 2013).</w:t>
            </w:r>
          </w:p>
          <w:p w14:paraId="5563A4E0" w14:textId="7400A061" w:rsidR="00CC2BB0" w:rsidRDefault="00F84A58">
            <w:pPr>
              <w:pStyle w:val="ListBullet"/>
              <w:spacing w:after="20"/>
            </w:pPr>
            <w:r>
              <w:t xml:space="preserve">Most antipsychotics still rely on dopamine D2 receptor </w:t>
            </w:r>
            <w:r w:rsidR="00BC516E">
              <w:t>blockade, benefiting</w:t>
            </w:r>
            <w:r>
              <w:t xml:space="preserve"> positive symptoms but limited for negative/cognitive symptoms (Lyman and McCutcheon, 2025).</w:t>
            </w:r>
          </w:p>
          <w:p w14:paraId="06535CC0" w14:textId="77777777" w:rsidR="00CC2BB0" w:rsidRDefault="00F84A58">
            <w:pPr>
              <w:pStyle w:val="ListBullet"/>
              <w:spacing w:after="20"/>
            </w:pPr>
            <w:r>
              <w:t>Side effects (e.g., metabolic syndrome, tardive dyskinesia) remain major barriers to adherence (Lyman and McCutcheon, 2025).</w:t>
            </w:r>
          </w:p>
          <w:p w14:paraId="0B1474B9" w14:textId="77777777" w:rsidR="007D5B36" w:rsidRDefault="007D5B36" w:rsidP="007D5B36">
            <w:pPr>
              <w:pStyle w:val="ListBullet"/>
              <w:numPr>
                <w:ilvl w:val="0"/>
                <w:numId w:val="0"/>
              </w:numPr>
              <w:spacing w:after="20"/>
            </w:pPr>
          </w:p>
          <w:p w14:paraId="6AB9165D" w14:textId="77777777" w:rsidR="007D5B36" w:rsidRDefault="007D5B36" w:rsidP="007D5B36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</w:p>
        </w:tc>
        <w:tc>
          <w:tcPr>
            <w:tcW w:w="7393" w:type="dxa"/>
            <w:gridSpan w:val="2"/>
            <w:shd w:val="clear" w:color="auto" w:fill="E2EFDA"/>
            <w:tcMar>
              <w:top w:w="160" w:type="dxa"/>
              <w:left w:w="200" w:type="dxa"/>
              <w:bottom w:w="160" w:type="dxa"/>
              <w:right w:w="200" w:type="dxa"/>
            </w:tcMar>
          </w:tcPr>
          <w:p w14:paraId="599BEAB0" w14:textId="7EBACEED" w:rsidR="00CC2BB0" w:rsidRPr="00FB1B10" w:rsidRDefault="00B77816" w:rsidP="00A46FC6">
            <w:pPr>
              <w:spacing w:after="80"/>
              <w:jc w:val="center"/>
              <w:rPr>
                <w:u w:val="single"/>
              </w:rPr>
            </w:pPr>
            <w:proofErr w:type="spellStart"/>
            <w:r>
              <w:rPr>
                <w:b/>
                <w:sz w:val="32"/>
                <w:u w:val="single"/>
              </w:rPr>
              <w:t>Deinstitutionalisation</w:t>
            </w:r>
            <w:proofErr w:type="spellEnd"/>
            <w:r w:rsidR="00F84A58" w:rsidRPr="00FB1B10">
              <w:rPr>
                <w:b/>
                <w:sz w:val="32"/>
                <w:u w:val="single"/>
              </w:rPr>
              <w:t>: promise vs reality</w:t>
            </w:r>
          </w:p>
          <w:p w14:paraId="4D875A46" w14:textId="7E50D428" w:rsidR="00CC2BB0" w:rsidRDefault="00F84A58">
            <w:pPr>
              <w:pStyle w:val="ListBullet"/>
              <w:spacing w:after="20"/>
            </w:pPr>
            <w:r>
              <w:t>Asylums described as “total institutions” eroding identity (Bouras, 2014).</w:t>
            </w:r>
          </w:p>
          <w:p w14:paraId="5C9EFE54" w14:textId="77777777" w:rsidR="00CC2BB0" w:rsidRDefault="00F84A58">
            <w:pPr>
              <w:pStyle w:val="ListBullet"/>
              <w:spacing w:after="20"/>
            </w:pPr>
            <w:r>
              <w:t>Community care reforms aimed to replace long-stay hospitals with local support; outcomes depended on housing and service capacity (Sidi, 2021).</w:t>
            </w:r>
          </w:p>
          <w:p w14:paraId="7416E587" w14:textId="77777777" w:rsidR="00CC2BB0" w:rsidRDefault="00F84A58">
            <w:pPr>
              <w:pStyle w:val="ListBullet"/>
              <w:spacing w:after="20"/>
            </w:pPr>
            <w:r>
              <w:t>Weak community infrastructure can increase vulnerability and poor outcomes when continuity of care is missing (Shen and Snowden, 2014; Cummins, 2022).</w:t>
            </w:r>
          </w:p>
          <w:p w14:paraId="5A8FC09E" w14:textId="6D38F119" w:rsidR="005F0156" w:rsidRDefault="005F0156">
            <w:pPr>
              <w:pStyle w:val="ListBullet"/>
              <w:spacing w:after="20"/>
            </w:pPr>
            <w:r w:rsidRPr="005F0156">
              <w:t>This suggests that schizophrenia care has repeatedly reflected political and economic priorities alongside clinical progress.</w:t>
            </w:r>
          </w:p>
        </w:tc>
      </w:tr>
      <w:tr w:rsidR="00CC2BB0" w14:paraId="3FD0F05F" w14:textId="77777777" w:rsidTr="00F2127C">
        <w:tc>
          <w:tcPr>
            <w:tcW w:w="7353" w:type="dxa"/>
            <w:shd w:val="clear" w:color="auto" w:fill="FCE4D6"/>
            <w:tcMar>
              <w:top w:w="160" w:type="dxa"/>
              <w:left w:w="200" w:type="dxa"/>
              <w:bottom w:w="160" w:type="dxa"/>
              <w:right w:w="200" w:type="dxa"/>
            </w:tcMar>
          </w:tcPr>
          <w:p w14:paraId="62DF9458" w14:textId="77777777" w:rsidR="00CC2BB0" w:rsidRPr="00FB1B10" w:rsidRDefault="00F84A58" w:rsidP="00A46FC6">
            <w:pPr>
              <w:spacing w:after="80"/>
              <w:jc w:val="center"/>
              <w:rPr>
                <w:u w:val="single"/>
              </w:rPr>
            </w:pPr>
            <w:r w:rsidRPr="00FB1B10">
              <w:rPr>
                <w:b/>
                <w:sz w:val="32"/>
                <w:u w:val="single"/>
              </w:rPr>
              <w:t>Stigma &amp; inequality</w:t>
            </w:r>
          </w:p>
          <w:p w14:paraId="364ACF28" w14:textId="77777777" w:rsidR="00CC2BB0" w:rsidRDefault="00F84A58">
            <w:pPr>
              <w:pStyle w:val="ListBullet"/>
              <w:spacing w:after="20"/>
            </w:pPr>
            <w:r>
              <w:t>Discrimination affects employment, housing, relationships and healthcare (Thornicroft et al., 2009).</w:t>
            </w:r>
          </w:p>
          <w:p w14:paraId="6EFA0D8A" w14:textId="33D1F268" w:rsidR="00CC2BB0" w:rsidRDefault="00F84A58">
            <w:pPr>
              <w:pStyle w:val="ListBullet"/>
              <w:spacing w:after="20"/>
            </w:pPr>
            <w:r>
              <w:t xml:space="preserve">Stigma operates through ignorance </w:t>
            </w:r>
            <w:r w:rsidR="00E712E3">
              <w:t>→</w:t>
            </w:r>
            <w:r>
              <w:t xml:space="preserve"> prejudice </w:t>
            </w:r>
            <w:r w:rsidR="00E712E3">
              <w:t xml:space="preserve">→ </w:t>
            </w:r>
            <w:r>
              <w:t>discrimination, with discrimination causing the greatest harm (Thornicroft et al., 2007).</w:t>
            </w:r>
          </w:p>
          <w:p w14:paraId="31363F8C" w14:textId="77777777" w:rsidR="007D5B36" w:rsidRDefault="00F84A58" w:rsidP="007D5B36">
            <w:pPr>
              <w:pStyle w:val="ListBullet"/>
              <w:spacing w:after="20"/>
            </w:pPr>
            <w:r>
              <w:t>Structural reform is needed; awareness alone is insufficient (Thornicroft et al., 2022).</w:t>
            </w:r>
          </w:p>
          <w:p w14:paraId="09E66970" w14:textId="24A6A1F2" w:rsidR="007D5B36" w:rsidRDefault="007D5B36" w:rsidP="007D5B36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</w:p>
        </w:tc>
        <w:tc>
          <w:tcPr>
            <w:tcW w:w="7393" w:type="dxa"/>
            <w:gridSpan w:val="2"/>
            <w:shd w:val="clear" w:color="auto" w:fill="FFF2CC"/>
            <w:tcMar>
              <w:top w:w="160" w:type="dxa"/>
              <w:left w:w="200" w:type="dxa"/>
              <w:bottom w:w="160" w:type="dxa"/>
              <w:right w:w="200" w:type="dxa"/>
            </w:tcMar>
          </w:tcPr>
          <w:p w14:paraId="67679C5E" w14:textId="77777777" w:rsidR="00CC2BB0" w:rsidRPr="00FB1B10" w:rsidRDefault="00F84A58" w:rsidP="00A46FC6">
            <w:pPr>
              <w:spacing w:after="80"/>
              <w:jc w:val="center"/>
              <w:rPr>
                <w:u w:val="single"/>
              </w:rPr>
            </w:pPr>
            <w:r w:rsidRPr="00FB1B10">
              <w:rPr>
                <w:b/>
                <w:sz w:val="32"/>
                <w:u w:val="single"/>
              </w:rPr>
              <w:t>What works now: integrated recovery-oriented care</w:t>
            </w:r>
          </w:p>
          <w:p w14:paraId="0CE6A236" w14:textId="77777777" w:rsidR="00CC2BB0" w:rsidRDefault="00F84A58">
            <w:pPr>
              <w:pStyle w:val="ListBullet"/>
              <w:spacing w:after="20"/>
            </w:pPr>
            <w:r>
              <w:t>Effective care combines medication, CBT for psychosis (</w:t>
            </w:r>
            <w:proofErr w:type="spellStart"/>
            <w:r>
              <w:t>CBTp</w:t>
            </w:r>
            <w:proofErr w:type="spellEnd"/>
            <w:r>
              <w:t>), family intervention, and practical social support (NICE, 2014).</w:t>
            </w:r>
          </w:p>
          <w:p w14:paraId="06E99FDA" w14:textId="0F7C713A" w:rsidR="00CC2BB0" w:rsidRDefault="00F84A58">
            <w:pPr>
              <w:pStyle w:val="ListBullet"/>
              <w:spacing w:after="20"/>
            </w:pPr>
            <w:proofErr w:type="spellStart"/>
            <w:r>
              <w:t>CBTp</w:t>
            </w:r>
            <w:proofErr w:type="spellEnd"/>
            <w:r>
              <w:t xml:space="preserve"> benefits are real but modest; </w:t>
            </w:r>
            <w:r w:rsidR="00FB1B10">
              <w:t>evidence-based</w:t>
            </w:r>
            <w:r>
              <w:t xml:space="preserve"> and guideline optimism have been debated (Taylor and Perera, 2015).</w:t>
            </w:r>
          </w:p>
          <w:p w14:paraId="3CB18CD2" w14:textId="77777777" w:rsidR="00CC2BB0" w:rsidRDefault="00F84A58">
            <w:pPr>
              <w:pStyle w:val="ListBullet"/>
              <w:spacing w:after="20"/>
            </w:pPr>
            <w:r>
              <w:t xml:space="preserve">Recovery-oriented care focuses on </w:t>
            </w:r>
            <w:r w:rsidR="00424049">
              <w:t>rebuilding evidence-based</w:t>
            </w:r>
            <w:r>
              <w:t xml:space="preserve"> identity, hope and </w:t>
            </w:r>
            <w:r w:rsidR="00FB1B10">
              <w:t>participation, defined</w:t>
            </w:r>
            <w:r>
              <w:t xml:space="preserve"> by the person (WHO, 2024).</w:t>
            </w:r>
          </w:p>
          <w:p w14:paraId="4BA62471" w14:textId="3C42582A" w:rsidR="00B80B66" w:rsidRDefault="00B80B66" w:rsidP="00B80B66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</w:p>
        </w:tc>
      </w:tr>
      <w:tr w:rsidR="00CC2BB0" w14:paraId="3C2E07DC" w14:textId="77777777" w:rsidTr="00064685">
        <w:trPr>
          <w:gridAfter w:val="1"/>
          <w:wAfter w:w="40" w:type="dxa"/>
        </w:trPr>
        <w:tc>
          <w:tcPr>
            <w:tcW w:w="14706" w:type="dxa"/>
            <w:gridSpan w:val="2"/>
            <w:shd w:val="clear" w:color="auto" w:fill="D99594" w:themeFill="accent2" w:themeFillTint="99"/>
            <w:tcMar>
              <w:top w:w="180" w:type="dxa"/>
              <w:left w:w="240" w:type="dxa"/>
              <w:bottom w:w="180" w:type="dxa"/>
              <w:right w:w="240" w:type="dxa"/>
            </w:tcMar>
          </w:tcPr>
          <w:p w14:paraId="4DA246E0" w14:textId="52105823" w:rsidR="00CC2BB0" w:rsidRPr="00F84A58" w:rsidRDefault="00F84A58" w:rsidP="00A46FC6">
            <w:pPr>
              <w:jc w:val="center"/>
              <w:rPr>
                <w:u w:val="single"/>
              </w:rPr>
            </w:pPr>
            <w:r w:rsidRPr="00F84A58">
              <w:rPr>
                <w:b/>
                <w:sz w:val="26"/>
                <w:u w:val="single"/>
              </w:rPr>
              <w:t>RECOMMENDATIONS</w:t>
            </w:r>
          </w:p>
          <w:p w14:paraId="6585DB76" w14:textId="77777777" w:rsidR="00CC2BB0" w:rsidRPr="00F84A58" w:rsidRDefault="00F84A58">
            <w:pPr>
              <w:spacing w:after="20"/>
            </w:pPr>
            <w:r w:rsidRPr="00F84A58">
              <w:t>1) Increase long-term NHS mental health funding to match burden (Royal College of Psychiatrists, 2021).</w:t>
            </w:r>
          </w:p>
          <w:p w14:paraId="5B4120C5" w14:textId="77777777" w:rsidR="00CC2BB0" w:rsidRPr="00F84A58" w:rsidRDefault="00F84A58">
            <w:pPr>
              <w:spacing w:after="20"/>
            </w:pPr>
            <w:r w:rsidRPr="00F84A58">
              <w:t>2) Reform the Mental Health Act to address racial disparities and restore trust (DHSC, 2021).</w:t>
            </w:r>
          </w:p>
          <w:p w14:paraId="6C931CC6" w14:textId="77777777" w:rsidR="00CC2BB0" w:rsidRPr="00F84A58" w:rsidRDefault="00F84A58">
            <w:pPr>
              <w:spacing w:after="20"/>
            </w:pPr>
            <w:r w:rsidRPr="00F84A58">
              <w:t>3) Enforce anti-discrimination protections in employment, housing and healthcare (Thornicroft et al., 2022).</w:t>
            </w:r>
          </w:p>
          <w:p w14:paraId="62C3D7C1" w14:textId="77777777" w:rsidR="00CC2BB0" w:rsidRPr="00F84A58" w:rsidRDefault="00F84A58">
            <w:pPr>
              <w:spacing w:after="20"/>
            </w:pPr>
            <w:r w:rsidRPr="00F84A58">
              <w:t>4) Embed person-</w:t>
            </w:r>
            <w:proofErr w:type="spellStart"/>
            <w:r w:rsidRPr="00F84A58">
              <w:t>centred</w:t>
            </w:r>
            <w:proofErr w:type="spellEnd"/>
            <w:r w:rsidRPr="00F84A58">
              <w:t>, recovery-oriented models across services (WHO, 2024).</w:t>
            </w:r>
          </w:p>
          <w:p w14:paraId="0E3902D3" w14:textId="77777777" w:rsidR="00CC2BB0" w:rsidRDefault="00F84A58">
            <w:pPr>
              <w:spacing w:after="20"/>
            </w:pPr>
            <w:r w:rsidRPr="00F84A58">
              <w:t>5) Invest in high-quality psychotherapy research and delivery capacity (Taylor and Perera, 2015).</w:t>
            </w:r>
          </w:p>
        </w:tc>
      </w:tr>
    </w:tbl>
    <w:p w14:paraId="7C35BDA9" w14:textId="6A40A2C6" w:rsidR="0071475A" w:rsidRPr="005847E0" w:rsidRDefault="00F2127C" w:rsidP="005847E0">
      <w:pPr>
        <w:rPr>
          <w:u w:val="single"/>
        </w:rPr>
      </w:pPr>
      <w:r w:rsidRPr="00BD43BB">
        <w:rPr>
          <w:b/>
          <w:sz w:val="32"/>
          <w:u w:val="single"/>
        </w:rPr>
        <w:lastRenderedPageBreak/>
        <w:t>Reference</w:t>
      </w:r>
      <w:r w:rsidR="00F84A58">
        <w:rPr>
          <w:b/>
          <w:sz w:val="32"/>
          <w:u w:val="single"/>
        </w:rPr>
        <w:t>s:</w:t>
      </w:r>
    </w:p>
    <w:p w14:paraId="34B9FE9F" w14:textId="77777777" w:rsidR="0071475A" w:rsidRDefault="0071475A" w:rsidP="0071475A">
      <w:pPr>
        <w:spacing w:after="240"/>
        <w:rPr>
          <w:rFonts w:ascii="Arial" w:hAnsi="Arial"/>
        </w:rPr>
      </w:pPr>
    </w:p>
    <w:p w14:paraId="5E69E7E9" w14:textId="77777777" w:rsidR="0071475A" w:rsidRDefault="0071475A" w:rsidP="0071475A">
      <w:pPr>
        <w:spacing w:after="240"/>
      </w:pPr>
      <w:r>
        <w:rPr>
          <w:rFonts w:ascii="Arial" w:hAnsi="Arial"/>
        </w:rPr>
        <w:t xml:space="preserve">Benning, T.B. (2016) 'No such thing as mental illness? Critical reflections on the major ideas and legacy of Thomas Szasz', </w:t>
      </w:r>
      <w:proofErr w:type="spellStart"/>
      <w:r>
        <w:rPr>
          <w:rFonts w:ascii="Arial" w:hAnsi="Arial"/>
        </w:rPr>
        <w:t>BJPsych</w:t>
      </w:r>
      <w:proofErr w:type="spellEnd"/>
      <w:r>
        <w:rPr>
          <w:rFonts w:ascii="Arial" w:hAnsi="Arial"/>
        </w:rPr>
        <w:t xml:space="preserve"> Bulletin, 40(6), pp. 292–295. </w:t>
      </w:r>
      <w:proofErr w:type="spellStart"/>
      <w:r>
        <w:rPr>
          <w:rFonts w:ascii="Arial" w:hAnsi="Arial"/>
        </w:rPr>
        <w:t>doi</w:t>
      </w:r>
      <w:proofErr w:type="spellEnd"/>
      <w:r>
        <w:rPr>
          <w:rFonts w:ascii="Arial" w:hAnsi="Arial"/>
        </w:rPr>
        <w:t>: 10.1192/pb.bp.115.053249.</w:t>
      </w:r>
    </w:p>
    <w:p w14:paraId="1FF2C0CB" w14:textId="77777777" w:rsidR="0071475A" w:rsidRDefault="0071475A" w:rsidP="0071475A">
      <w:pPr>
        <w:spacing w:after="240"/>
      </w:pPr>
      <w:r>
        <w:rPr>
          <w:rFonts w:ascii="Arial" w:hAnsi="Arial"/>
        </w:rPr>
        <w:t xml:space="preserve">Bouras, N. (2014) 'On Asylums: Essays on the Social Situation of Mental Patients and other Inmates, by Erving Goffman', British Journal of Psychiatry, 205(6), p. 427. </w:t>
      </w:r>
      <w:proofErr w:type="spellStart"/>
      <w:r>
        <w:rPr>
          <w:rFonts w:ascii="Arial" w:hAnsi="Arial"/>
        </w:rPr>
        <w:t>doi</w:t>
      </w:r>
      <w:proofErr w:type="spellEnd"/>
      <w:r>
        <w:rPr>
          <w:rFonts w:ascii="Arial" w:hAnsi="Arial"/>
        </w:rPr>
        <w:t>: 10.1192/bjp.bp.113.140442.</w:t>
      </w:r>
    </w:p>
    <w:p w14:paraId="3EDAFBD8" w14:textId="77777777" w:rsidR="0071475A" w:rsidRDefault="0071475A" w:rsidP="0071475A">
      <w:pPr>
        <w:spacing w:after="240"/>
      </w:pPr>
      <w:r>
        <w:rPr>
          <w:rFonts w:ascii="Arial" w:hAnsi="Arial"/>
        </w:rPr>
        <w:t xml:space="preserve">Cummins, I. (2022) ‘Book Review: Understanding Mental Distress: Knowledge, Practice and Neoliberal Reform in Community Mental Health Services by Rich Moth’, Critical Social Policy, 42(4), pp. 749–751. </w:t>
      </w:r>
      <w:proofErr w:type="spellStart"/>
      <w:r>
        <w:rPr>
          <w:rFonts w:ascii="Arial" w:hAnsi="Arial"/>
        </w:rPr>
        <w:t>doi</w:t>
      </w:r>
      <w:proofErr w:type="spellEnd"/>
      <w:r>
        <w:rPr>
          <w:rFonts w:ascii="Arial" w:hAnsi="Arial"/>
        </w:rPr>
        <w:t>: 10.1177/02610183221120547.</w:t>
      </w:r>
    </w:p>
    <w:p w14:paraId="71FC6DF9" w14:textId="77777777" w:rsidR="0071475A" w:rsidRDefault="0071475A" w:rsidP="0071475A">
      <w:pPr>
        <w:spacing w:after="240"/>
      </w:pPr>
      <w:r>
        <w:rPr>
          <w:rFonts w:ascii="Arial" w:hAnsi="Arial"/>
        </w:rPr>
        <w:t>Department of Health and Social Care (DHSC) (2021) Reforming the Mental Health Act: government response to consultation. London: DHSC. Available at: https://www.gov.uk/government/consultations/reforming-the-mental-health-act/outcome/reforming-the-mental-health-act-government-response (Accessed: 5 February 2026).</w:t>
      </w:r>
    </w:p>
    <w:p w14:paraId="7C13E7DC" w14:textId="77777777" w:rsidR="0071475A" w:rsidRDefault="0071475A" w:rsidP="0071475A">
      <w:pPr>
        <w:spacing w:after="240"/>
      </w:pPr>
      <w:r>
        <w:rPr>
          <w:rFonts w:ascii="Arial" w:hAnsi="Arial"/>
        </w:rPr>
        <w:t xml:space="preserve">Gittins, D. (2010) 'The history of mental health services in modern England: practitioner memories and the direction of future research', Medical History, 54(4), pp. 435–450. </w:t>
      </w:r>
      <w:proofErr w:type="spellStart"/>
      <w:r>
        <w:rPr>
          <w:rFonts w:ascii="Arial" w:hAnsi="Arial"/>
        </w:rPr>
        <w:t>doi</w:t>
      </w:r>
      <w:proofErr w:type="spellEnd"/>
      <w:r>
        <w:rPr>
          <w:rFonts w:ascii="Arial" w:hAnsi="Arial"/>
        </w:rPr>
        <w:t>: 10.1017/S0025727300000256.</w:t>
      </w:r>
    </w:p>
    <w:p w14:paraId="22B2CD3F" w14:textId="77777777" w:rsidR="0071475A" w:rsidRDefault="0071475A" w:rsidP="0071475A">
      <w:pPr>
        <w:spacing w:after="240"/>
      </w:pPr>
      <w:proofErr w:type="spellStart"/>
      <w:r>
        <w:rPr>
          <w:rFonts w:ascii="Arial" w:hAnsi="Arial"/>
        </w:rPr>
        <w:t>Ikkos</w:t>
      </w:r>
      <w:proofErr w:type="spellEnd"/>
      <w:r>
        <w:rPr>
          <w:rFonts w:ascii="Arial" w:hAnsi="Arial"/>
        </w:rPr>
        <w:t xml:space="preserve">, G. (2017) 'Kathleen Jones’ Asylums and After. A Revised History of the Mental Health Services: From the Early 18th Century to the 1990s (1993) - reflection', British Journal of Psychiatry, 211(6), p. 380. </w:t>
      </w:r>
      <w:proofErr w:type="spellStart"/>
      <w:r>
        <w:rPr>
          <w:rFonts w:ascii="Arial" w:hAnsi="Arial"/>
        </w:rPr>
        <w:t>doi</w:t>
      </w:r>
      <w:proofErr w:type="spellEnd"/>
      <w:r>
        <w:rPr>
          <w:rFonts w:ascii="Arial" w:hAnsi="Arial"/>
        </w:rPr>
        <w:t>: 10.1192/bjp.bp.117.201293.</w:t>
      </w:r>
    </w:p>
    <w:p w14:paraId="4078BA23" w14:textId="77777777" w:rsidR="0071475A" w:rsidRDefault="0071475A" w:rsidP="0071475A">
      <w:pPr>
        <w:spacing w:after="240"/>
      </w:pPr>
      <w:r>
        <w:rPr>
          <w:rFonts w:ascii="Arial" w:hAnsi="Arial"/>
        </w:rPr>
        <w:t>Jones, K. (1993) Asylums and After: A Revised History of the Mental Health Services: From the Early 18th Century to the 1990s. London: Athlone Press.</w:t>
      </w:r>
    </w:p>
    <w:p w14:paraId="728998CB" w14:textId="77777777" w:rsidR="0071475A" w:rsidRDefault="0071475A" w:rsidP="0071475A">
      <w:pPr>
        <w:spacing w:after="240"/>
      </w:pPr>
      <w:r>
        <w:rPr>
          <w:rFonts w:ascii="Arial" w:hAnsi="Arial"/>
        </w:rPr>
        <w:t>Lyman, M. and McCutcheon, R.A. (2025) ‘Antipsychotic drugs at 75: the past, present, and future of psychosis management’, British Medical Bulletin, 156(1), ldaf016. Available at: https://pmc.ncbi.nlm.nih.gov/articles/PMC12499752/ (Accessed: 2 February 2026).</w:t>
      </w:r>
    </w:p>
    <w:p w14:paraId="23B799E9" w14:textId="77777777" w:rsidR="0071475A" w:rsidRDefault="0071475A" w:rsidP="0071475A">
      <w:pPr>
        <w:spacing w:after="240"/>
      </w:pPr>
      <w:r>
        <w:rPr>
          <w:rFonts w:ascii="Arial" w:hAnsi="Arial"/>
        </w:rPr>
        <w:t>Meyer, J. (2009) 'Killing as a kindness: the history of euthanasia in Germany c. 1895–1945', Medical History, 53(2), pp. 317–319. Available at: https://www.ncbi.nlm.nih.gov/pmc/articles/PMC2800142/ (Accessed: 4 February 2026).</w:t>
      </w:r>
    </w:p>
    <w:p w14:paraId="00051285" w14:textId="77777777" w:rsidR="008F5402" w:rsidRDefault="008F5402" w:rsidP="008F5402">
      <w:pPr>
        <w:spacing w:after="240"/>
      </w:pPr>
      <w:r>
        <w:rPr>
          <w:rFonts w:ascii="Arial" w:hAnsi="Arial"/>
        </w:rPr>
        <w:t xml:space="preserve">Moncrieff, J. (2013) 'Magic bullets for mental disorders: the emergence of the concept of an "antipsychotic" drug', Journal of the History of the Neurosciences, 22(1), pp. 30–46. </w:t>
      </w:r>
      <w:proofErr w:type="spellStart"/>
      <w:r>
        <w:rPr>
          <w:rFonts w:ascii="Arial" w:hAnsi="Arial"/>
        </w:rPr>
        <w:t>doi</w:t>
      </w:r>
      <w:proofErr w:type="spellEnd"/>
      <w:r>
        <w:rPr>
          <w:rFonts w:ascii="Arial" w:hAnsi="Arial"/>
        </w:rPr>
        <w:t>: 10.1080/0964704X.2012.664847.</w:t>
      </w:r>
    </w:p>
    <w:p w14:paraId="0C7C65FA" w14:textId="57C369A5" w:rsidR="0071475A" w:rsidRDefault="0071475A">
      <w:r>
        <w:br w:type="page"/>
      </w:r>
    </w:p>
    <w:p w14:paraId="476DFC06" w14:textId="77777777" w:rsidR="003F77EC" w:rsidRDefault="003F77EC" w:rsidP="003F77EC">
      <w:pPr>
        <w:spacing w:after="240"/>
      </w:pPr>
      <w:r>
        <w:rPr>
          <w:rFonts w:ascii="Arial" w:hAnsi="Arial"/>
        </w:rPr>
        <w:lastRenderedPageBreak/>
        <w:t>National Institute for Health and Care Excellence (NICE) (2014) Psychosis and schizophrenia in adults: prevention and management. Clinical guideline [CG178]. Available at: https://www.nice.org.uk/guidance/cg178 (Accessed: 5 February 2026).</w:t>
      </w:r>
    </w:p>
    <w:p w14:paraId="616A44D3" w14:textId="77777777" w:rsidR="003F77EC" w:rsidRDefault="003F77EC" w:rsidP="003F77EC">
      <w:pPr>
        <w:spacing w:after="240"/>
      </w:pPr>
      <w:r>
        <w:rPr>
          <w:rFonts w:ascii="Arial" w:hAnsi="Arial"/>
        </w:rPr>
        <w:t>Royal College of Psychiatrists (2021) RC Psych briefing on the NHS Funding Bill. Available at: https://www.rcpsych.ac.uk/docs/default-source/improving-care/better-mh-policy/parliamentary/rcpsych-briefing---nhs-funding-bill.pdf (Accessed: 4 February 2026).</w:t>
      </w:r>
    </w:p>
    <w:p w14:paraId="44DF39E7" w14:textId="77777777" w:rsidR="003F77EC" w:rsidRDefault="003F77EC" w:rsidP="003F77EC">
      <w:pPr>
        <w:spacing w:after="240"/>
      </w:pPr>
      <w:r>
        <w:rPr>
          <w:rFonts w:ascii="Arial" w:hAnsi="Arial"/>
        </w:rPr>
        <w:t>Science Museum (2020) Heroic therapies in psychiatry. Available at: https://www.sciencemuseum.org.uk/objects-and-stories/medicine/heroic-therapies-psychiatry (Accessed: 4 February 2026).</w:t>
      </w:r>
    </w:p>
    <w:p w14:paraId="42BD384C" w14:textId="77777777" w:rsidR="003F77EC" w:rsidRDefault="003F77EC" w:rsidP="003F77EC">
      <w:pPr>
        <w:spacing w:after="240"/>
      </w:pPr>
      <w:r>
        <w:rPr>
          <w:rFonts w:ascii="Arial" w:hAnsi="Arial"/>
        </w:rPr>
        <w:t>Shen, G.C. and Snowden, L.R. (2014) '</w:t>
      </w:r>
      <w:proofErr w:type="spellStart"/>
      <w:r>
        <w:rPr>
          <w:rFonts w:ascii="Arial" w:hAnsi="Arial"/>
        </w:rPr>
        <w:t>Institutionalisation</w:t>
      </w:r>
      <w:proofErr w:type="spellEnd"/>
      <w:r>
        <w:rPr>
          <w:rFonts w:ascii="Arial" w:hAnsi="Arial"/>
        </w:rPr>
        <w:t xml:space="preserve"> of </w:t>
      </w:r>
      <w:proofErr w:type="spellStart"/>
      <w:r>
        <w:rPr>
          <w:rFonts w:ascii="Arial" w:hAnsi="Arial"/>
        </w:rPr>
        <w:t>deinstitutionalisation</w:t>
      </w:r>
      <w:proofErr w:type="spellEnd"/>
      <w:r>
        <w:rPr>
          <w:rFonts w:ascii="Arial" w:hAnsi="Arial"/>
        </w:rPr>
        <w:t>: a cross-national analysis of mental health system reform', International Journal of Mental Health Systems, 8, 47. Available at: https://pmc.ncbi.nlm.nih.gov/articles/PMC4253997/ (Accessed: 7 February 2026).</w:t>
      </w:r>
    </w:p>
    <w:p w14:paraId="70258C3B" w14:textId="77777777" w:rsidR="003F77EC" w:rsidRDefault="003F77EC" w:rsidP="003F77EC">
      <w:pPr>
        <w:spacing w:after="240"/>
      </w:pPr>
      <w:r>
        <w:rPr>
          <w:rFonts w:ascii="Arial" w:hAnsi="Arial"/>
        </w:rPr>
        <w:t xml:space="preserve">Sidi, L. (2021) 'After the madhouses: the emotional politics of psychiatry and community care in the UK tabloid press 1980–1995', Medical Humanities, 48(4), pp. 451–457. </w:t>
      </w:r>
      <w:proofErr w:type="spellStart"/>
      <w:r>
        <w:rPr>
          <w:rFonts w:ascii="Arial" w:hAnsi="Arial"/>
        </w:rPr>
        <w:t>doi</w:t>
      </w:r>
      <w:proofErr w:type="spellEnd"/>
      <w:r>
        <w:rPr>
          <w:rFonts w:ascii="Arial" w:hAnsi="Arial"/>
        </w:rPr>
        <w:t>: 10.1136/medhum-2020-012117.</w:t>
      </w:r>
    </w:p>
    <w:p w14:paraId="6B819E5B" w14:textId="77777777" w:rsidR="003F77EC" w:rsidRDefault="003F77EC" w:rsidP="003F77EC">
      <w:pPr>
        <w:spacing w:after="240"/>
      </w:pPr>
      <w:r>
        <w:rPr>
          <w:rFonts w:ascii="Arial" w:hAnsi="Arial"/>
        </w:rPr>
        <w:t>Taylor, M. and Perera, U. (2015) 'NICE CG178 psychosis and schizophrenia in adults: treatment and management – an evidence-based guideline?', British Journal of Psychiatry, 206(5), pp. 410–412. Available at: https://www.cambridge.org/core/journals/the-british-journal-of-psychiatry/article/nice-cg178-psychosis-and-schizophrenia-in-adults-treatment-and-management-an-evidencebased-guideline/CD4C1BE4FFE1D0155BC4ED6C36581402 (Accessed: 5 February 2026).</w:t>
      </w:r>
    </w:p>
    <w:p w14:paraId="66A4EAB0" w14:textId="77777777" w:rsidR="003F77EC" w:rsidRDefault="003F77EC" w:rsidP="003F77EC">
      <w:pPr>
        <w:spacing w:after="240"/>
      </w:pPr>
      <w:r>
        <w:rPr>
          <w:rFonts w:ascii="Arial" w:hAnsi="Arial"/>
        </w:rPr>
        <w:t>Thornicroft, G. et al. (2022) 'The Lancet Commission on ending stigma and discrimination in mental health', The Lancet, 399(10342), pp. 2438–2470. Available at: https://www.thelancet.com/journals/lancet/article/PIIS0140-6736(22)00505-4/fulltext (Accessed: 5 February 2026).</w:t>
      </w:r>
    </w:p>
    <w:p w14:paraId="5FCC55DA" w14:textId="77777777" w:rsidR="003F77EC" w:rsidRDefault="003F77EC" w:rsidP="003F77EC">
      <w:pPr>
        <w:spacing w:after="240"/>
      </w:pPr>
      <w:r>
        <w:rPr>
          <w:rFonts w:ascii="Arial" w:hAnsi="Arial"/>
        </w:rPr>
        <w:t>Thornicroft, G., Rose, D., Kassam, A. and Sartorius, N. (2007) 'Stigma: ignorance, prejudice or discrimination?', British Journal of Psychiatry, 190, pp. 192–193. Available at: https://www.cambridge.org/core/journals/the-british-journal-of-psychiatry/article/stigma-ignorance-prejudice-or-discrimination/E6F23CE48666A53C8E99870F0474E1AA (Accessed: 5 February 2026).</w:t>
      </w:r>
    </w:p>
    <w:p w14:paraId="5A5F1D42" w14:textId="77777777" w:rsidR="008F5402" w:rsidRDefault="008F5402" w:rsidP="008F5402">
      <w:pPr>
        <w:spacing w:after="240"/>
      </w:pPr>
      <w:r>
        <w:rPr>
          <w:rFonts w:ascii="Arial" w:hAnsi="Arial"/>
        </w:rPr>
        <w:t>Wing, J.K. and Brown, G.W. (1970) Institutionalism and Schizophrenia: A Comparative Study of Three Mental Hospitals 1960–1968. London: Cambridge University Press.</w:t>
      </w:r>
    </w:p>
    <w:p w14:paraId="22D33C76" w14:textId="5E5AD47C" w:rsidR="008F5402" w:rsidRDefault="008F5402" w:rsidP="008F5402">
      <w:pPr>
        <w:spacing w:after="240"/>
      </w:pPr>
      <w:r>
        <w:rPr>
          <w:rFonts w:ascii="Arial" w:hAnsi="Arial"/>
        </w:rPr>
        <w:t xml:space="preserve">World Health </w:t>
      </w:r>
      <w:proofErr w:type="spellStart"/>
      <w:r w:rsidR="000C402C">
        <w:rPr>
          <w:rFonts w:ascii="Arial" w:hAnsi="Arial"/>
        </w:rPr>
        <w:t>Organisation</w:t>
      </w:r>
      <w:proofErr w:type="spellEnd"/>
      <w:r w:rsidR="000C402C">
        <w:rPr>
          <w:rFonts w:ascii="Arial" w:hAnsi="Arial"/>
        </w:rPr>
        <w:t xml:space="preserve"> (</w:t>
      </w:r>
      <w:r>
        <w:rPr>
          <w:rFonts w:ascii="Arial" w:hAnsi="Arial"/>
        </w:rPr>
        <w:t>2022) ICD-11 for Mortality and Morbidity Statistics. Available at: https://icd.who.int/browse11 (Accessed: 7 February 2026).</w:t>
      </w:r>
    </w:p>
    <w:p w14:paraId="7FFC0F71" w14:textId="1A22EBD3" w:rsidR="008F5402" w:rsidRDefault="008F5402" w:rsidP="008F5402">
      <w:pPr>
        <w:spacing w:after="240"/>
      </w:pPr>
      <w:r>
        <w:rPr>
          <w:rFonts w:ascii="Arial" w:hAnsi="Arial"/>
        </w:rPr>
        <w:t xml:space="preserve">World Health </w:t>
      </w:r>
      <w:proofErr w:type="spellStart"/>
      <w:r>
        <w:rPr>
          <w:rFonts w:ascii="Arial" w:hAnsi="Arial"/>
        </w:rPr>
        <w:t>Organisation</w:t>
      </w:r>
      <w:proofErr w:type="spellEnd"/>
      <w:r>
        <w:rPr>
          <w:rFonts w:ascii="Arial" w:hAnsi="Arial"/>
        </w:rPr>
        <w:t xml:space="preserve"> (2024) International Classification of Diseases (ICD). Available at: https://www.who.int/standards/classifications/classification-of-diseases (Accessed: 3 February 2026).</w:t>
      </w:r>
    </w:p>
    <w:p w14:paraId="2F7EF194" w14:textId="6265F2A1" w:rsidR="008F5402" w:rsidRDefault="008F5402" w:rsidP="008F5402">
      <w:pPr>
        <w:spacing w:after="240"/>
      </w:pPr>
      <w:r>
        <w:rPr>
          <w:rFonts w:ascii="Arial" w:hAnsi="Arial"/>
        </w:rPr>
        <w:t xml:space="preserve">World Health </w:t>
      </w:r>
      <w:proofErr w:type="spellStart"/>
      <w:r>
        <w:rPr>
          <w:rFonts w:ascii="Arial" w:hAnsi="Arial"/>
        </w:rPr>
        <w:t>Organisation</w:t>
      </w:r>
      <w:proofErr w:type="spellEnd"/>
      <w:r>
        <w:rPr>
          <w:rFonts w:ascii="Arial" w:hAnsi="Arial"/>
        </w:rPr>
        <w:t xml:space="preserve"> (2025) Schizophrenia fact sheet. Available at: https://www.who.int/news-room/fact-sheets/detail/schizophrenia (Accessed: 4 February 2026).</w:t>
      </w:r>
    </w:p>
    <w:p w14:paraId="4AA43209" w14:textId="4F16A7F1" w:rsidR="00F84A58" w:rsidRDefault="00F84A58"/>
    <w:sectPr w:rsidR="00F84A58" w:rsidSect="00034616">
      <w:pgSz w:w="15840" w:h="12240" w:orient="landscape"/>
      <w:pgMar w:top="567" w:right="567" w:bottom="567" w:left="567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CFDCBC24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002050510">
    <w:abstractNumId w:val="8"/>
  </w:num>
  <w:num w:numId="2" w16cid:durableId="1490973284">
    <w:abstractNumId w:val="6"/>
  </w:num>
  <w:num w:numId="3" w16cid:durableId="36049492">
    <w:abstractNumId w:val="5"/>
  </w:num>
  <w:num w:numId="4" w16cid:durableId="2107459574">
    <w:abstractNumId w:val="4"/>
  </w:num>
  <w:num w:numId="5" w16cid:durableId="225186964">
    <w:abstractNumId w:val="7"/>
  </w:num>
  <w:num w:numId="6" w16cid:durableId="54476479">
    <w:abstractNumId w:val="3"/>
  </w:num>
  <w:num w:numId="7" w16cid:durableId="1163547242">
    <w:abstractNumId w:val="2"/>
  </w:num>
  <w:num w:numId="8" w16cid:durableId="421536291">
    <w:abstractNumId w:val="1"/>
  </w:num>
  <w:num w:numId="9" w16cid:durableId="17329981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07480"/>
    <w:rsid w:val="000158FB"/>
    <w:rsid w:val="0001752A"/>
    <w:rsid w:val="00034616"/>
    <w:rsid w:val="0006063C"/>
    <w:rsid w:val="00064685"/>
    <w:rsid w:val="00096180"/>
    <w:rsid w:val="000C402C"/>
    <w:rsid w:val="00107752"/>
    <w:rsid w:val="001404DB"/>
    <w:rsid w:val="0015074B"/>
    <w:rsid w:val="00170474"/>
    <w:rsid w:val="001816BE"/>
    <w:rsid w:val="001F5284"/>
    <w:rsid w:val="00213D4B"/>
    <w:rsid w:val="00222502"/>
    <w:rsid w:val="00275B16"/>
    <w:rsid w:val="00282544"/>
    <w:rsid w:val="00284319"/>
    <w:rsid w:val="00284F89"/>
    <w:rsid w:val="0029639D"/>
    <w:rsid w:val="002A537E"/>
    <w:rsid w:val="002E375D"/>
    <w:rsid w:val="00326F90"/>
    <w:rsid w:val="00330D74"/>
    <w:rsid w:val="003B0801"/>
    <w:rsid w:val="003F77EC"/>
    <w:rsid w:val="004169A2"/>
    <w:rsid w:val="00424049"/>
    <w:rsid w:val="004255FF"/>
    <w:rsid w:val="004336AB"/>
    <w:rsid w:val="004755BF"/>
    <w:rsid w:val="004F0E42"/>
    <w:rsid w:val="005847E0"/>
    <w:rsid w:val="005F0156"/>
    <w:rsid w:val="00656C1C"/>
    <w:rsid w:val="006B6DFC"/>
    <w:rsid w:val="006D6601"/>
    <w:rsid w:val="0071475A"/>
    <w:rsid w:val="00736888"/>
    <w:rsid w:val="00737F13"/>
    <w:rsid w:val="00746F18"/>
    <w:rsid w:val="007D5B36"/>
    <w:rsid w:val="008152EB"/>
    <w:rsid w:val="008902F0"/>
    <w:rsid w:val="008D01AE"/>
    <w:rsid w:val="008E4A37"/>
    <w:rsid w:val="008F2349"/>
    <w:rsid w:val="008F5402"/>
    <w:rsid w:val="009B46C4"/>
    <w:rsid w:val="009B6E59"/>
    <w:rsid w:val="009B705C"/>
    <w:rsid w:val="009E472C"/>
    <w:rsid w:val="009F187A"/>
    <w:rsid w:val="00A366E8"/>
    <w:rsid w:val="00A46FC6"/>
    <w:rsid w:val="00A672FE"/>
    <w:rsid w:val="00AA1D8D"/>
    <w:rsid w:val="00AB2E09"/>
    <w:rsid w:val="00B440A0"/>
    <w:rsid w:val="00B47730"/>
    <w:rsid w:val="00B77816"/>
    <w:rsid w:val="00B80B66"/>
    <w:rsid w:val="00BB1206"/>
    <w:rsid w:val="00BC516E"/>
    <w:rsid w:val="00BD43BB"/>
    <w:rsid w:val="00C16AF4"/>
    <w:rsid w:val="00C43DD8"/>
    <w:rsid w:val="00C94DAF"/>
    <w:rsid w:val="00CA5C36"/>
    <w:rsid w:val="00CB0664"/>
    <w:rsid w:val="00CC2BB0"/>
    <w:rsid w:val="00D07159"/>
    <w:rsid w:val="00DA4EA7"/>
    <w:rsid w:val="00DC1D25"/>
    <w:rsid w:val="00DE44D1"/>
    <w:rsid w:val="00E044A2"/>
    <w:rsid w:val="00E178C0"/>
    <w:rsid w:val="00E25645"/>
    <w:rsid w:val="00E35345"/>
    <w:rsid w:val="00E629B2"/>
    <w:rsid w:val="00E712E3"/>
    <w:rsid w:val="00F014F8"/>
    <w:rsid w:val="00F2127C"/>
    <w:rsid w:val="00F35F94"/>
    <w:rsid w:val="00F40914"/>
    <w:rsid w:val="00F66EEE"/>
    <w:rsid w:val="00F84A58"/>
    <w:rsid w:val="00F94D74"/>
    <w:rsid w:val="00FB1B10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AA08A39"/>
  <w14:defaultImageDpi w14:val="300"/>
  <w15:docId w15:val="{D9B4CF59-2875-4C2B-BAEE-A629E8B22A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127C"/>
    <w:rPr>
      <w:rFonts w:ascii="Calibri" w:hAnsi="Calibri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svg"/><Relationship Id="rId13" Type="http://schemas.openxmlformats.org/officeDocument/2006/relationships/image" Target="media/image8.png"/><Relationship Id="rId18" Type="http://schemas.openxmlformats.org/officeDocument/2006/relationships/image" Target="media/image13.svg"/><Relationship Id="rId26" Type="http://schemas.openxmlformats.org/officeDocument/2006/relationships/image" Target="media/image21.svg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sv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numbering" Target="numbering.xml"/><Relationship Id="rId16" Type="http://schemas.openxmlformats.org/officeDocument/2006/relationships/image" Target="media/image11.svg"/><Relationship Id="rId20" Type="http://schemas.openxmlformats.org/officeDocument/2006/relationships/image" Target="media/image15.svg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11" Type="http://schemas.openxmlformats.org/officeDocument/2006/relationships/image" Target="media/image6.png"/><Relationship Id="rId24" Type="http://schemas.openxmlformats.org/officeDocument/2006/relationships/image" Target="media/image19.sv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theme" Target="theme/theme1.xml"/><Relationship Id="rId10" Type="http://schemas.openxmlformats.org/officeDocument/2006/relationships/image" Target="media/image5.svg"/><Relationship Id="rId19" Type="http://schemas.openxmlformats.org/officeDocument/2006/relationships/image" Target="media/image14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svg"/><Relationship Id="rId22" Type="http://schemas.openxmlformats.org/officeDocument/2006/relationships/image" Target="media/image17.sv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5</Pages>
  <Words>1537</Words>
  <Characters>8762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10279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Thara Bi</cp:lastModifiedBy>
  <cp:revision>21</cp:revision>
  <dcterms:created xsi:type="dcterms:W3CDTF">2026-02-10T09:35:00Z</dcterms:created>
  <dcterms:modified xsi:type="dcterms:W3CDTF">2026-03-08T13:12:00Z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206b8675-cb79-43c5-b4e8-98e6acf108be</vt:lpwstr>
  </property>
</Properties>
</file>