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D5F6E" w14:textId="77777777" w:rsidR="00E71121" w:rsidRDefault="00E71121">
      <w:pPr>
        <w:rPr>
          <w:b/>
          <w:sz w:val="24"/>
          <w:szCs w:val="24"/>
        </w:rPr>
      </w:pPr>
      <w:r>
        <w:rPr>
          <w:b/>
          <w:sz w:val="24"/>
          <w:szCs w:val="24"/>
        </w:rPr>
        <w:t>D Batchelor</w:t>
      </w:r>
    </w:p>
    <w:p w14:paraId="2CD1D3BC" w14:textId="1F0D2AE4" w:rsidR="00E71121" w:rsidRDefault="00E71121">
      <w:pPr>
        <w:rPr>
          <w:b/>
          <w:sz w:val="24"/>
          <w:szCs w:val="24"/>
        </w:rPr>
      </w:pPr>
      <w:r>
        <w:rPr>
          <w:b/>
          <w:sz w:val="24"/>
          <w:szCs w:val="24"/>
        </w:rPr>
        <w:t>Student No. 1602758</w:t>
      </w:r>
    </w:p>
    <w:p w14:paraId="541D2595" w14:textId="6364CB22" w:rsidR="0046793F" w:rsidRPr="0046793F" w:rsidRDefault="0046793F">
      <w:pPr>
        <w:rPr>
          <w:b/>
          <w:sz w:val="24"/>
          <w:szCs w:val="24"/>
        </w:rPr>
      </w:pPr>
      <w:r w:rsidRPr="0046793F">
        <w:rPr>
          <w:b/>
          <w:sz w:val="24"/>
          <w:szCs w:val="24"/>
        </w:rPr>
        <w:t>Scholarly Reply</w:t>
      </w:r>
    </w:p>
    <w:p w14:paraId="7D3796A6" w14:textId="77777777" w:rsidR="0046793F" w:rsidRPr="0046793F" w:rsidRDefault="0046793F">
      <w:pPr>
        <w:rPr>
          <w:b/>
          <w:sz w:val="24"/>
          <w:szCs w:val="24"/>
        </w:rPr>
      </w:pPr>
      <w:r w:rsidRPr="0046793F">
        <w:rPr>
          <w:b/>
          <w:sz w:val="24"/>
          <w:szCs w:val="24"/>
        </w:rPr>
        <w:t>M. Carroll, Spirits of the Dead:  Roman funerary commemoration in Western Europe.  Oxford:  Oxford University Press 2006, Chapter 9 “Social Change and Social Mobility”, pp.233-59</w:t>
      </w:r>
    </w:p>
    <w:p w14:paraId="45B454E9" w14:textId="22E82A06" w:rsidR="00026C38" w:rsidRPr="00026C38" w:rsidRDefault="00026C38">
      <w:pPr>
        <w:rPr>
          <w:b/>
          <w:sz w:val="24"/>
          <w:szCs w:val="24"/>
        </w:rPr>
      </w:pPr>
      <w:bookmarkStart w:id="0" w:name="_GoBack"/>
      <w:r w:rsidRPr="00026C38">
        <w:rPr>
          <w:b/>
          <w:sz w:val="24"/>
          <w:szCs w:val="24"/>
        </w:rPr>
        <w:t>Work in Progress</w:t>
      </w:r>
    </w:p>
    <w:bookmarkEnd w:id="0"/>
    <w:p w14:paraId="595D8BCD" w14:textId="6F08F538" w:rsidR="00851D0A" w:rsidRPr="0046793F" w:rsidRDefault="00851D0A">
      <w:pPr>
        <w:rPr>
          <w:sz w:val="24"/>
          <w:szCs w:val="24"/>
        </w:rPr>
      </w:pPr>
      <w:r w:rsidRPr="0046793F">
        <w:rPr>
          <w:sz w:val="24"/>
          <w:szCs w:val="24"/>
        </w:rPr>
        <w:t>Carroll’s chapter starts with a brief reminder on the contents of the previous chapter on physical mobility within the empire and the usefulness of memorial inscriptions in assessing movement.</w:t>
      </w:r>
    </w:p>
    <w:p w14:paraId="0E187F54" w14:textId="5044D607" w:rsidR="008F08BD" w:rsidRPr="00E71121" w:rsidRDefault="00851D0A" w:rsidP="008F08BD">
      <w:pPr>
        <w:rPr>
          <w:sz w:val="24"/>
          <w:szCs w:val="24"/>
        </w:rPr>
      </w:pPr>
      <w:r w:rsidRPr="0046793F">
        <w:rPr>
          <w:sz w:val="24"/>
          <w:szCs w:val="24"/>
        </w:rPr>
        <w:t xml:space="preserve">This chapter </w:t>
      </w:r>
      <w:r w:rsidR="009513A5">
        <w:rPr>
          <w:sz w:val="24"/>
          <w:szCs w:val="24"/>
        </w:rPr>
        <w:t xml:space="preserve">on social change and social mobility </w:t>
      </w:r>
      <w:r w:rsidRPr="0046793F">
        <w:rPr>
          <w:sz w:val="24"/>
          <w:szCs w:val="24"/>
        </w:rPr>
        <w:t xml:space="preserve">is divided into </w:t>
      </w:r>
      <w:r w:rsidR="00E71121">
        <w:rPr>
          <w:sz w:val="24"/>
          <w:szCs w:val="24"/>
        </w:rPr>
        <w:t xml:space="preserve">sections that discuss </w:t>
      </w:r>
      <w:r w:rsidR="00E71121" w:rsidRPr="00E71121">
        <w:t>s</w:t>
      </w:r>
      <w:r w:rsidR="008F08BD" w:rsidRPr="00E71121">
        <w:t>laves as the lowest section of society, freedom of slaves and how this was recorded, how slaves could escape slavery through buying their freedom or marrying out</w:t>
      </w:r>
      <w:r w:rsidR="00E71121">
        <w:t>.</w:t>
      </w:r>
      <w:r w:rsidR="008F08BD" w:rsidRPr="00E71121">
        <w:t xml:space="preserve"> </w:t>
      </w:r>
      <w:r w:rsidR="00E71121">
        <w:t xml:space="preserve"> </w:t>
      </w:r>
      <w:r w:rsidR="008F08BD" w:rsidRPr="00E71121">
        <w:t>This is then linked to how this freedom was displayed in funeral monuments.  The argument then moves on to look at case studies in Gaul and how indigenous peoples became ‘Romanised’.</w:t>
      </w:r>
    </w:p>
    <w:p w14:paraId="5CD973E2" w14:textId="7BD39E76" w:rsidR="008F08BD" w:rsidRPr="008F08BD" w:rsidRDefault="008F08BD" w:rsidP="008F08BD">
      <w:pPr>
        <w:rPr>
          <w:color w:val="7030A0"/>
        </w:rPr>
      </w:pPr>
      <w:r w:rsidRPr="008F08BD">
        <w:rPr>
          <w:color w:val="7030A0"/>
        </w:rPr>
        <w:t>The term Romanisation is a generalisation and one that has recently been discounted by many scholars including Wallace-Hadrill.  The term implies that a blanket feeling of being Roman was extended over vast numbers of people across the empire and they rejected their own heritage to become Roman citizens.  This is a far too simplistic view and one that has received much criticism.  Many peopled across the empire retained a dual identity both original and Roman and this is documented in the very sources that Waddle is looking at.  For instance the funerary monument set up to Barates by her husband … shows a variety of influences.  The imagery displays both Roman and Celtic influences, the text is in two languages Roman and Syrian showing that there was more to her life than being a Roman.  It also reflects on her husband who set up this monument as he has included elements that were important to him also.  There are other funerary monuments that display this dual identity particularly in Gaul</w:t>
      </w:r>
      <w:r w:rsidR="00E71121">
        <w:rPr>
          <w:color w:val="7030A0"/>
        </w:rPr>
        <w:t>.</w:t>
      </w:r>
    </w:p>
    <w:p w14:paraId="70599F37" w14:textId="77777777" w:rsidR="008F08BD" w:rsidRPr="008F08BD" w:rsidRDefault="008F08BD" w:rsidP="008F08BD">
      <w:pPr>
        <w:rPr>
          <w:color w:val="7030A0"/>
        </w:rPr>
      </w:pPr>
    </w:p>
    <w:p w14:paraId="51ABD6C5" w14:textId="0072FF7F" w:rsidR="008F08BD" w:rsidRPr="00E71121" w:rsidRDefault="008F08BD">
      <w:pPr>
        <w:rPr>
          <w:color w:val="7030A0"/>
        </w:rPr>
      </w:pPr>
      <w:r w:rsidRPr="008F08BD">
        <w:rPr>
          <w:color w:val="7030A0"/>
        </w:rPr>
        <w:t xml:space="preserve">Waddle includes a very wide range of primary sources to support her argument including both literary and visual.  There are numerous inscriptions used which are sourced from several different databases including the CIL Corpus </w:t>
      </w:r>
      <w:proofErr w:type="spellStart"/>
      <w:r w:rsidRPr="008F08BD">
        <w:rPr>
          <w:color w:val="7030A0"/>
        </w:rPr>
        <w:t>Inscriptionum</w:t>
      </w:r>
      <w:proofErr w:type="spellEnd"/>
      <w:r w:rsidRPr="008F08BD">
        <w:rPr>
          <w:color w:val="7030A0"/>
        </w:rPr>
        <w:t xml:space="preserve"> </w:t>
      </w:r>
      <w:proofErr w:type="spellStart"/>
      <w:r w:rsidRPr="008F08BD">
        <w:rPr>
          <w:color w:val="7030A0"/>
        </w:rPr>
        <w:t>Latinarum</w:t>
      </w:r>
      <w:proofErr w:type="spellEnd"/>
      <w:r w:rsidRPr="008F08BD">
        <w:rPr>
          <w:color w:val="7030A0"/>
        </w:rPr>
        <w:t xml:space="preserve"> , ILS </w:t>
      </w:r>
      <w:proofErr w:type="spellStart"/>
      <w:r w:rsidRPr="008F08BD">
        <w:rPr>
          <w:color w:val="7030A0"/>
        </w:rPr>
        <w:t>Inscriptiones</w:t>
      </w:r>
      <w:proofErr w:type="spellEnd"/>
      <w:r w:rsidRPr="008F08BD">
        <w:rPr>
          <w:color w:val="7030A0"/>
        </w:rPr>
        <w:t xml:space="preserve"> </w:t>
      </w:r>
      <w:proofErr w:type="spellStart"/>
      <w:r w:rsidRPr="008F08BD">
        <w:rPr>
          <w:color w:val="7030A0"/>
        </w:rPr>
        <w:t>Latinae</w:t>
      </w:r>
      <w:proofErr w:type="spellEnd"/>
      <w:r w:rsidRPr="008F08BD">
        <w:rPr>
          <w:color w:val="7030A0"/>
        </w:rPr>
        <w:t xml:space="preserve"> </w:t>
      </w:r>
      <w:proofErr w:type="spellStart"/>
      <w:r w:rsidRPr="008F08BD">
        <w:rPr>
          <w:color w:val="7030A0"/>
        </w:rPr>
        <w:t>Selectae</w:t>
      </w:r>
      <w:proofErr w:type="spellEnd"/>
      <w:r w:rsidRPr="008F08BD">
        <w:rPr>
          <w:color w:val="7030A0"/>
        </w:rPr>
        <w:t xml:space="preserve"> and the RIB Roman Inscriptions of Britain.  Waddle tends to rely on visual sour</w:t>
      </w:r>
      <w:r>
        <w:rPr>
          <w:color w:val="7030A0"/>
        </w:rPr>
        <w:t>c</w:t>
      </w:r>
      <w:r w:rsidRPr="008F08BD">
        <w:rPr>
          <w:color w:val="7030A0"/>
        </w:rPr>
        <w:t>es and although she does include some literary sources such as Petronius, Pliny and Tacitus these are very few.</w:t>
      </w:r>
    </w:p>
    <w:p w14:paraId="485B196F" w14:textId="77777777" w:rsidR="008F08BD" w:rsidRPr="0046793F" w:rsidRDefault="008F08BD">
      <w:pPr>
        <w:rPr>
          <w:sz w:val="24"/>
          <w:szCs w:val="24"/>
        </w:rPr>
      </w:pPr>
    </w:p>
    <w:p w14:paraId="653BE719" w14:textId="1A49588F" w:rsidR="00851D0A" w:rsidRDefault="00851D0A">
      <w:pPr>
        <w:rPr>
          <w:sz w:val="24"/>
          <w:szCs w:val="24"/>
        </w:rPr>
      </w:pPr>
      <w:r w:rsidRPr="0046793F">
        <w:rPr>
          <w:sz w:val="24"/>
          <w:szCs w:val="24"/>
        </w:rPr>
        <w:t xml:space="preserve">Carroll’s main premise is that funerary inscriptions provide a valuable insight into social mobility and change particularly with regard to slaves and freedmen.  </w:t>
      </w:r>
      <w:r w:rsidR="00733EBC">
        <w:rPr>
          <w:sz w:val="24"/>
          <w:szCs w:val="24"/>
        </w:rPr>
        <w:t xml:space="preserve">The purpose of this chapter is to explain how slaves could be freed and how their status could change using funerary epitaphs as a social gauge. </w:t>
      </w:r>
    </w:p>
    <w:p w14:paraId="0AD72D0F" w14:textId="67470923" w:rsidR="00733EBC" w:rsidRDefault="00733EBC">
      <w:pPr>
        <w:rPr>
          <w:sz w:val="24"/>
          <w:szCs w:val="24"/>
        </w:rPr>
      </w:pPr>
      <w:r>
        <w:rPr>
          <w:sz w:val="24"/>
          <w:szCs w:val="24"/>
        </w:rPr>
        <w:t xml:space="preserve">The chapter </w:t>
      </w:r>
      <w:r w:rsidR="00E36CD8">
        <w:rPr>
          <w:sz w:val="24"/>
          <w:szCs w:val="24"/>
        </w:rPr>
        <w:t>acknowledges</w:t>
      </w:r>
      <w:r>
        <w:rPr>
          <w:sz w:val="24"/>
          <w:szCs w:val="24"/>
        </w:rPr>
        <w:t xml:space="preserve"> the varying wealth attached to </w:t>
      </w:r>
      <w:r w:rsidR="00E36CD8">
        <w:rPr>
          <w:sz w:val="24"/>
          <w:szCs w:val="24"/>
        </w:rPr>
        <w:t>slaves</w:t>
      </w:r>
      <w:r>
        <w:rPr>
          <w:sz w:val="24"/>
          <w:szCs w:val="24"/>
        </w:rPr>
        <w:t xml:space="preserve"> </w:t>
      </w:r>
      <w:r w:rsidR="00E36CD8">
        <w:rPr>
          <w:sz w:val="24"/>
          <w:szCs w:val="24"/>
        </w:rPr>
        <w:t>depending</w:t>
      </w:r>
      <w:r>
        <w:rPr>
          <w:sz w:val="24"/>
          <w:szCs w:val="24"/>
        </w:rPr>
        <w:t xml:space="preserve"> on their owners.  Emperors and the state paid their slaves well and they could often earn </w:t>
      </w:r>
      <w:r>
        <w:rPr>
          <w:sz w:val="24"/>
          <w:szCs w:val="24"/>
        </w:rPr>
        <w:lastRenderedPageBreak/>
        <w:t>considerable money and have positions of some power</w:t>
      </w:r>
      <w:r w:rsidR="00E36CD8">
        <w:rPr>
          <w:sz w:val="24"/>
          <w:szCs w:val="24"/>
        </w:rPr>
        <w:t xml:space="preserve">.  Carroll uses the inscriptions well to identify cases of manumission and also uses an example where this was not allowed; in the case of </w:t>
      </w:r>
      <w:proofErr w:type="spellStart"/>
      <w:r w:rsidR="00E36CD8">
        <w:rPr>
          <w:sz w:val="24"/>
          <w:szCs w:val="24"/>
        </w:rPr>
        <w:t>Narcisssus</w:t>
      </w:r>
      <w:proofErr w:type="spellEnd"/>
      <w:r w:rsidR="00E36CD8">
        <w:rPr>
          <w:sz w:val="24"/>
          <w:szCs w:val="24"/>
        </w:rPr>
        <w:t xml:space="preserve">.  However, Carroll also uses Petronius’ </w:t>
      </w:r>
      <w:proofErr w:type="spellStart"/>
      <w:r w:rsidR="00E36CD8">
        <w:rPr>
          <w:sz w:val="24"/>
          <w:szCs w:val="24"/>
        </w:rPr>
        <w:t>Satyricon</w:t>
      </w:r>
      <w:proofErr w:type="spellEnd"/>
      <w:r w:rsidR="00E36CD8">
        <w:rPr>
          <w:sz w:val="24"/>
          <w:szCs w:val="24"/>
        </w:rPr>
        <w:t xml:space="preserve"> throughout the article as a literary source to support her viewpoint.  The difficulty with this is that the satire is pure fiction and cannot be used as a reliable source.  Although it will allude to contemporary practices the satire </w:t>
      </w:r>
      <w:r w:rsidR="00F70B97">
        <w:rPr>
          <w:sz w:val="24"/>
          <w:szCs w:val="24"/>
        </w:rPr>
        <w:t>should not</w:t>
      </w:r>
      <w:r w:rsidR="00E36CD8">
        <w:rPr>
          <w:sz w:val="24"/>
          <w:szCs w:val="24"/>
        </w:rPr>
        <w:t xml:space="preserve"> be </w:t>
      </w:r>
      <w:r w:rsidR="00F70B97">
        <w:rPr>
          <w:sz w:val="24"/>
          <w:szCs w:val="24"/>
        </w:rPr>
        <w:t>relied upon so heavily by the author.</w:t>
      </w:r>
    </w:p>
    <w:p w14:paraId="2B366A98" w14:textId="76958DD4" w:rsidR="00F70B97" w:rsidRDefault="00F70B97">
      <w:pPr>
        <w:rPr>
          <w:sz w:val="24"/>
          <w:szCs w:val="24"/>
        </w:rPr>
      </w:pPr>
      <w:r>
        <w:rPr>
          <w:sz w:val="24"/>
          <w:szCs w:val="24"/>
        </w:rPr>
        <w:t>The chapter contains seven images of funeral epitaphs which is very useful, they show a variety of different designs, inscriptions and come from across the empire.</w:t>
      </w:r>
    </w:p>
    <w:p w14:paraId="6B845CE9" w14:textId="29F8215F" w:rsidR="00C64226" w:rsidRDefault="00C64226">
      <w:pPr>
        <w:rPr>
          <w:sz w:val="24"/>
          <w:szCs w:val="24"/>
        </w:rPr>
      </w:pPr>
    </w:p>
    <w:p w14:paraId="2F24EFE9" w14:textId="23907742" w:rsidR="00E71121" w:rsidRPr="0046793F" w:rsidRDefault="00E71121">
      <w:pPr>
        <w:rPr>
          <w:sz w:val="24"/>
          <w:szCs w:val="24"/>
        </w:rPr>
      </w:pPr>
      <w:r>
        <w:rPr>
          <w:sz w:val="24"/>
          <w:szCs w:val="24"/>
        </w:rPr>
        <w:t>Unable to complete due to flu.</w:t>
      </w:r>
    </w:p>
    <w:sectPr w:rsidR="00E71121" w:rsidRPr="00467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D0A"/>
    <w:rsid w:val="00026C38"/>
    <w:rsid w:val="00336926"/>
    <w:rsid w:val="0046793F"/>
    <w:rsid w:val="00733EBC"/>
    <w:rsid w:val="00851D0A"/>
    <w:rsid w:val="008F08BD"/>
    <w:rsid w:val="009513A5"/>
    <w:rsid w:val="00C64226"/>
    <w:rsid w:val="00E36CD8"/>
    <w:rsid w:val="00E71121"/>
    <w:rsid w:val="00F70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748E"/>
  <w15:docId w15:val="{C84CB67A-10D0-42D3-9E50-B550EEB15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532</Words>
  <Characters>3034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Batchelor</dc:creator>
  <cp:keywords/>
  <dc:description/>
  <cp:lastModifiedBy>C Batchelor</cp:lastModifiedBy>
  <cp:revision>2</cp:revision>
  <dcterms:created xsi:type="dcterms:W3CDTF">2018-01-31T21:48:00Z</dcterms:created>
  <dcterms:modified xsi:type="dcterms:W3CDTF">2018-01-31T21:48:00Z</dcterms:modified>
</cp:coreProperties>
</file>