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auto"/>
          <w:sz w:val="2"/>
          <w:lang w:val="en-GB" w:eastAsia="en-GB"/>
        </w:rPr>
        <w:id w:val="-1391564731"/>
        <w:docPartObj>
          <w:docPartGallery w:val="Cover Pages"/>
          <w:docPartUnique/>
        </w:docPartObj>
      </w:sdtPr>
      <w:sdtEndPr>
        <w:rPr>
          <w:noProof/>
          <w:sz w:val="20"/>
        </w:rPr>
      </w:sdtEndPr>
      <w:sdtContent>
        <w:p w14:paraId="3B74AFAB" w14:textId="25B99F5F" w:rsidR="007E5A9F" w:rsidRDefault="007E5A9F">
          <w:pPr>
            <w:pStyle w:val="NoSpacing"/>
            <w:rPr>
              <w:sz w:val="2"/>
            </w:rPr>
          </w:pPr>
          <w:r>
            <w:rPr>
              <w:noProof/>
              <w:sz w:val="2"/>
              <w14:ligatures w14:val="standardContextual"/>
            </w:rPr>
            <w:drawing>
              <wp:inline distT="0" distB="0" distL="0" distR="0" wp14:anchorId="4CEFB9CA" wp14:editId="3008B04B">
                <wp:extent cx="5423234" cy="2463286"/>
                <wp:effectExtent l="95250" t="95250" r="101600" b="775335"/>
                <wp:docPr id="105030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05419" name="Picture 105030541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442480" cy="2472028"/>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06840ADE" w14:textId="4FCF1EDE" w:rsidR="007E5A9F" w:rsidRDefault="007E5A9F">
          <w:r>
            <w:rPr>
              <w:noProof/>
              <w:color w:val="156082" w:themeColor="accent1"/>
              <w:sz w:val="36"/>
              <w:szCs w:val="36"/>
            </w:rPr>
            <mc:AlternateContent>
              <mc:Choice Requires="wpg">
                <w:drawing>
                  <wp:anchor distT="0" distB="0" distL="114300" distR="114300" simplePos="0" relativeHeight="251660288" behindDoc="1" locked="0" layoutInCell="1" allowOverlap="1" wp14:anchorId="7B4AE6B9" wp14:editId="03824F3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DE2AF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71A456B" w14:textId="57E01D4A" w:rsidR="007E5A9F" w:rsidRDefault="001E0778">
          <w:pPr>
            <w:spacing w:after="160" w:line="259" w:lineRule="auto"/>
            <w:rPr>
              <w:noProof/>
            </w:rPr>
          </w:pPr>
          <w:r>
            <w:rPr>
              <w:noProof/>
            </w:rPr>
            <mc:AlternateContent>
              <mc:Choice Requires="wps">
                <w:drawing>
                  <wp:anchor distT="0" distB="0" distL="114300" distR="114300" simplePos="0" relativeHeight="251659264" behindDoc="0" locked="0" layoutInCell="1" allowOverlap="1" wp14:anchorId="39254B71" wp14:editId="01248963">
                    <wp:simplePos x="0" y="0"/>
                    <wp:positionH relativeFrom="page">
                      <wp:posOffset>3945790</wp:posOffset>
                    </wp:positionH>
                    <wp:positionV relativeFrom="margin">
                      <wp:posOffset>7202604</wp:posOffset>
                    </wp:positionV>
                    <wp:extent cx="3449454" cy="2187508"/>
                    <wp:effectExtent l="0" t="0" r="0" b="3810"/>
                    <wp:wrapNone/>
                    <wp:docPr id="69" name="Text Box 73"/>
                    <wp:cNvGraphicFramePr/>
                    <a:graphic xmlns:a="http://schemas.openxmlformats.org/drawingml/2006/main">
                      <a:graphicData uri="http://schemas.microsoft.com/office/word/2010/wordprocessingShape">
                        <wps:wsp>
                          <wps:cNvSpPr txBox="1"/>
                          <wps:spPr>
                            <a:xfrm>
                              <a:off x="0" y="0"/>
                              <a:ext cx="3449454" cy="21875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5E514" w14:textId="5B654E30" w:rsidR="007E5A9F" w:rsidRPr="001E0778" w:rsidRDefault="0067289E" w:rsidP="0067289E">
                                <w:pPr>
                                  <w:pStyle w:val="NoSpacing"/>
                                  <w:rPr>
                                    <w:color w:val="156082" w:themeColor="accent1"/>
                                    <w:sz w:val="32"/>
                                    <w:szCs w:val="32"/>
                                  </w:rPr>
                                </w:pPr>
                                <w:r w:rsidRPr="001E0778">
                                  <w:rPr>
                                    <w:color w:val="156082" w:themeColor="accent1"/>
                                    <w:sz w:val="32"/>
                                    <w:szCs w:val="32"/>
                                  </w:rPr>
                                  <w:t>S</w:t>
                                </w:r>
                                <w:r w:rsidR="00CC5850">
                                  <w:rPr>
                                    <w:color w:val="156082" w:themeColor="accent1"/>
                                    <w:sz w:val="32"/>
                                    <w:szCs w:val="32"/>
                                  </w:rPr>
                                  <w:t>t</w:t>
                                </w:r>
                                <w:r w:rsidRPr="001E0778">
                                  <w:rPr>
                                    <w:color w:val="156082" w:themeColor="accent1"/>
                                    <w:sz w:val="32"/>
                                    <w:szCs w:val="32"/>
                                  </w:rPr>
                                  <w:t>udent name: Georgiana Mariana Geru</w:t>
                                </w:r>
                              </w:p>
                              <w:p w14:paraId="5FE22082"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Student number: 2319632</w:t>
                                </w:r>
                              </w:p>
                              <w:p w14:paraId="0105F8D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Module: LCLM 6004 – Research methods for business</w:t>
                                </w:r>
                              </w:p>
                              <w:p w14:paraId="5D27186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Lecturer: Md Ashikul Khan</w:t>
                                </w:r>
                              </w:p>
                              <w:p w14:paraId="17C4C39C" w14:textId="0E94DBD6" w:rsidR="007E5A9F" w:rsidRDefault="007E5A9F">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254B71" id="_x0000_t202" coordsize="21600,21600" o:spt="202" path="m,l,21600r21600,l21600,xe">
                    <v:stroke joinstyle="miter"/>
                    <v:path gradientshapeok="t" o:connecttype="rect"/>
                  </v:shapetype>
                  <v:shape id="Text Box 73" o:spid="_x0000_s1026" type="#_x0000_t202" style="position:absolute;margin-left:310.7pt;margin-top:567.15pt;width:271.6pt;height:17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6T2YQIAAC4FAAAOAAAAZHJzL2Uyb0RvYy54bWysVN9v2jAQfp+0/8Hy+whQ6BgiVKwV0yTU&#10;VmunPhvHLtEcn3c2JOyv39lJoOr20mkvzsX33a/v7ry4airDDgp9CTbno8GQM2UlFKV9zvn3x/WH&#10;GWc+CFsIA1bl/Kg8v1q+f7eo3VyNYQemUMjIifXz2uV8F4KbZ5mXO1UJPwCnLCk1YCUC/eJzVqCo&#10;yXtlsvFweJnVgIVDkMp7ur1plXyZ/GutZLjT2qvATM4pt5BOTOc2ntlyIebPKNyulF0a4h+yqERp&#10;KejJ1Y0Igu2x/MNVVUoEDzoMJFQZaF1KlWqgakbDV9U87IRTqRYix7sTTf7/uZW3hwd3jyw0n6Gh&#10;BkZCaufnni5jPY3GKn4pU0Z6ovB4ok01gUm6vJhMPk2mE84k6caj2cfpcBb9ZGdzhz58UVCxKOQc&#10;qS+JLnHY+NBCe0iMZmFdGpN6Yyyrc355MR0mg5OGnBsbsSp1uXNzTj1J4WhUxBj7TWlWFqmCeJHm&#10;S10bZAdBkyGkVDak4pNfQkeUpiTeYtjhz1m9xbito48MNpyMq9ICpupfpV386FPWLZ44f1F3FEOz&#10;bbqWbqE4UqcR2iXwTq5L6sZG+HAvkKaemkubHO7o0AaIdegkznaAv/52H/E0jKTlrKYtyrn/uReo&#10;ODNfLY1pXLlewF7Y9oLdV9dA9I/ojXAyiWSAwfSiRqieaMFXMQqphJUUK+fbXrwO7S7TAyHVapVA&#10;tFhOhI19cDK6jt2Is/XYPAl03QAGmt1b6PdLzF/NYYuNlhZW+wC6TEMaCW1Z7IimpUxj3j0gcetf&#10;/ifU+Zlb/gYAAP//AwBQSwMEFAAGAAgAAAAhAJVCDUnkAAAADgEAAA8AAABkcnMvZG93bnJldi54&#10;bWxMj8tOwzAQRfdI/IM1SOyo4yaYKMSpEBVCSCxooV078ZBEje0odh7l63FXsJvRPbpzJt8suiMT&#10;Dq61RgBbRUDQVFa1phbw9flylwJxXholO2tQwBkdbIrrq1xmys5mh9Pe1ySUGJdJAY33fUapqxrU&#10;0q1sjyZk33bQ0od1qKka5BzKdUfXUcSplq0JFxrZ43OD1Wk/agEfP+WBvx/H87x92047PL2O9ywW&#10;4vZmeXoE4nHxfzBc9IM6FMGptKNRjnQC+JolAQ0Bi5MYyAVhPOFAyjAlD2kKtMjp/zeKXwAAAP//&#10;AwBQSwECLQAUAAYACAAAACEAtoM4kv4AAADhAQAAEwAAAAAAAAAAAAAAAAAAAAAAW0NvbnRlbnRf&#10;VHlwZXNdLnhtbFBLAQItABQABgAIAAAAIQA4/SH/1gAAAJQBAAALAAAAAAAAAAAAAAAAAC8BAABf&#10;cmVscy8ucmVsc1BLAQItABQABgAIAAAAIQCqS6T2YQIAAC4FAAAOAAAAAAAAAAAAAAAAAC4CAABk&#10;cnMvZTJvRG9jLnhtbFBLAQItABQABgAIAAAAIQCVQg1J5AAAAA4BAAAPAAAAAAAAAAAAAAAAALsE&#10;AABkcnMvZG93bnJldi54bWxQSwUGAAAAAAQABADzAAAAzAUAAAAA&#10;" filled="f" stroked="f" strokeweight=".5pt">
                    <v:textbox inset="0,0,0,0">
                      <w:txbxContent>
                        <w:p w14:paraId="6275E514" w14:textId="5B654E30" w:rsidR="007E5A9F" w:rsidRPr="001E0778" w:rsidRDefault="0067289E" w:rsidP="0067289E">
                          <w:pPr>
                            <w:pStyle w:val="NoSpacing"/>
                            <w:rPr>
                              <w:color w:val="156082" w:themeColor="accent1"/>
                              <w:sz w:val="32"/>
                              <w:szCs w:val="32"/>
                            </w:rPr>
                          </w:pPr>
                          <w:r w:rsidRPr="001E0778">
                            <w:rPr>
                              <w:color w:val="156082" w:themeColor="accent1"/>
                              <w:sz w:val="32"/>
                              <w:szCs w:val="32"/>
                            </w:rPr>
                            <w:t>S</w:t>
                          </w:r>
                          <w:r w:rsidR="00CC5850">
                            <w:rPr>
                              <w:color w:val="156082" w:themeColor="accent1"/>
                              <w:sz w:val="32"/>
                              <w:szCs w:val="32"/>
                            </w:rPr>
                            <w:t>t</w:t>
                          </w:r>
                          <w:r w:rsidRPr="001E0778">
                            <w:rPr>
                              <w:color w:val="156082" w:themeColor="accent1"/>
                              <w:sz w:val="32"/>
                              <w:szCs w:val="32"/>
                            </w:rPr>
                            <w:t>udent name: Georgiana Mariana Geru</w:t>
                          </w:r>
                        </w:p>
                        <w:p w14:paraId="5FE22082"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Student number: 2319632</w:t>
                          </w:r>
                        </w:p>
                        <w:p w14:paraId="0105F8D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Module: LCLM 6004 – Research methods for business</w:t>
                          </w:r>
                        </w:p>
                        <w:p w14:paraId="5D27186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Lecturer: Md Ashikul Khan</w:t>
                          </w:r>
                        </w:p>
                        <w:p w14:paraId="17C4C39C" w14:textId="0E94DBD6" w:rsidR="007E5A9F" w:rsidRDefault="007E5A9F">
                          <w:pPr>
                            <w:pStyle w:val="NoSpacing"/>
                            <w:jc w:val="right"/>
                            <w:rPr>
                              <w:color w:val="156082" w:themeColor="accent1"/>
                              <w:sz w:val="36"/>
                              <w:szCs w:val="36"/>
                            </w:rPr>
                          </w:pPr>
                        </w:p>
                      </w:txbxContent>
                    </v:textbox>
                    <w10:wrap anchorx="page" anchory="margin"/>
                  </v:shape>
                </w:pict>
              </mc:Fallback>
            </mc:AlternateContent>
          </w:r>
          <w:r w:rsidR="0067289E">
            <w:rPr>
              <w:noProof/>
            </w:rPr>
            <mc:AlternateContent>
              <mc:Choice Requires="wps">
                <w:drawing>
                  <wp:anchor distT="0" distB="0" distL="114300" distR="114300" simplePos="0" relativeHeight="251661312" behindDoc="0" locked="0" layoutInCell="1" allowOverlap="1" wp14:anchorId="12A18EAA" wp14:editId="10A39C8B">
                    <wp:simplePos x="0" y="0"/>
                    <wp:positionH relativeFrom="page">
                      <wp:posOffset>495333</wp:posOffset>
                    </wp:positionH>
                    <wp:positionV relativeFrom="margin">
                      <wp:posOffset>3537284</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702D66" w14:textId="77777777" w:rsidR="007E5A9F" w:rsidRDefault="007E5A9F"/>
                              <w:p w14:paraId="068A8138" w14:textId="77777777" w:rsidR="007E5A9F" w:rsidRDefault="007E5A9F"/>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E5D211" w14:textId="77777777" w:rsidR="007E5A9F" w:rsidRDefault="00E87566">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Diversity and Inclusion</w:t>
                                    </w:r>
                                  </w:p>
                                </w:sdtContent>
                              </w:sdt>
                              <w:bookmarkStart w:id="0" w:name="_Toc233623245"/>
                              <w:p w14:paraId="3CB8B8DB" w14:textId="1B8C7CA0" w:rsidR="007E5A9F" w:rsidRPr="0067289E" w:rsidRDefault="00D24312">
                                <w:pPr>
                                  <w:pStyle w:val="NoSpacing"/>
                                  <w:spacing w:before="120"/>
                                  <w:rPr>
                                    <w:rStyle w:val="Heading1Char"/>
                                  </w:rPr>
                                </w:pPr>
                                <w:sdt>
                                  <w:sdtPr>
                                    <w:rPr>
                                      <w:rStyle w:val="Heading1Cha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r w:rsidR="00E87566">
                                      <w:rPr>
                                        <w:rStyle w:val="Heading1Char"/>
                                      </w:rPr>
                                      <w:t>Business Research Proposal</w:t>
                                    </w:r>
                                  </w:sdtContent>
                                </w:sdt>
                                <w:bookmarkEnd w:id="0"/>
                              </w:p>
                              <w:p w14:paraId="15988BDE" w14:textId="77777777" w:rsidR="007E5A9F" w:rsidRDefault="007E5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12A18EAA" id="Text Box 66" o:spid="_x0000_s1027" type="#_x0000_t202" style="position:absolute;margin-left:39pt;margin-top:278.5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Bd8+F4wAAAAsBAAAPAAAAZHJzL2Rv&#10;d25yZXYueG1sTI/NTsMwEITvSLyDtUhcotZ2RWkV4lT89cChQm1B4ujGSxwRr0PstilPj3uC486M&#10;Zr8pFoNr2QH70HhSIMcCGFLlTUO1grftcjQHFqImo1tPqOCEARbl5UWhc+OPtMbDJtYslVDItQIb&#10;Y5dzHiqLToex75CS9+l7p2M6+5qbXh9TuWv5RIhb7nRD6YPVHT5arL42e6fAN8+n91ezyibLLPt+&#10;eqnXPw8fVqnrq+H+DljEIf6F4Yyf0KFMTDu/JxNYq2A2T1Oigul0JoGdA0LeJGmXLCEl8LLg/zeU&#10;vwAAAP//AwBQSwECLQAUAAYACAAAACEAtoM4kv4AAADhAQAAEwAAAAAAAAAAAAAAAAAAAAAAW0Nv&#10;bnRlbnRfVHlwZXNdLnhtbFBLAQItABQABgAIAAAAIQA4/SH/1gAAAJQBAAALAAAAAAAAAAAAAAAA&#10;AC8BAABfcmVscy8ucmVsc1BLAQItABQABgAIAAAAIQA7FkBeaAIAAEQFAAAOAAAAAAAAAAAAAAAA&#10;AC4CAABkcnMvZTJvRG9jLnhtbFBLAQItABQABgAIAAAAIQDBd8+F4wAAAAsBAAAPAAAAAAAAAAAA&#10;AAAAAMIEAABkcnMvZG93bnJldi54bWxQSwUGAAAAAAQABADzAAAA0gUAAAAA&#10;" filled="f" stroked="f" strokeweight=".5pt">
                    <v:textbox style="mso-fit-shape-to-text:t">
                      <w:txbxContent>
                        <w:p w14:paraId="4C702D66" w14:textId="77777777" w:rsidR="007E5A9F" w:rsidRDefault="007E5A9F"/>
                        <w:p w14:paraId="068A8138" w14:textId="77777777" w:rsidR="007E5A9F" w:rsidRDefault="007E5A9F"/>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E5D211" w14:textId="77777777" w:rsidR="007E5A9F" w:rsidRDefault="00E87566">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Diversity and Inclusion</w:t>
                              </w:r>
                            </w:p>
                          </w:sdtContent>
                        </w:sdt>
                        <w:bookmarkStart w:id="1" w:name="_Toc233623245"/>
                        <w:p w14:paraId="3CB8B8DB" w14:textId="1B8C7CA0" w:rsidR="007E5A9F" w:rsidRPr="0067289E" w:rsidRDefault="00D24312">
                          <w:pPr>
                            <w:pStyle w:val="NoSpacing"/>
                            <w:spacing w:before="120"/>
                            <w:rPr>
                              <w:rStyle w:val="Heading1Char"/>
                            </w:rPr>
                          </w:pPr>
                          <w:sdt>
                            <w:sdtPr>
                              <w:rPr>
                                <w:rStyle w:val="Heading1Cha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r w:rsidR="00E87566">
                                <w:rPr>
                                  <w:rStyle w:val="Heading1Char"/>
                                </w:rPr>
                                <w:t>Business Research Proposal</w:t>
                              </w:r>
                            </w:sdtContent>
                          </w:sdt>
                          <w:bookmarkEnd w:id="1"/>
                        </w:p>
                        <w:p w14:paraId="15988BDE" w14:textId="77777777" w:rsidR="007E5A9F" w:rsidRDefault="007E5A9F"/>
                      </w:txbxContent>
                    </v:textbox>
                    <w10:wrap anchorx="page" anchory="margin"/>
                  </v:shape>
                </w:pict>
              </mc:Fallback>
            </mc:AlternateContent>
          </w:r>
          <w:r w:rsidR="007E5A9F">
            <w:rPr>
              <w:noProof/>
            </w:rPr>
            <w:br w:type="page"/>
          </w:r>
        </w:p>
      </w:sdtContent>
    </w:sdt>
    <w:p w14:paraId="310B9C6E" w14:textId="5037C37B" w:rsidR="004C1710" w:rsidRPr="00B214DA" w:rsidRDefault="002E254E" w:rsidP="007E5A9F">
      <w:pPr>
        <w:pStyle w:val="Heading1"/>
        <w:rPr>
          <w:color w:val="153D63" w:themeColor="text2" w:themeTint="E6"/>
        </w:rPr>
      </w:pPr>
      <w:r w:rsidRPr="00B214DA">
        <w:rPr>
          <w:color w:val="153D63" w:themeColor="text2" w:themeTint="E6"/>
        </w:rPr>
        <w:lastRenderedPageBreak/>
        <w:t xml:space="preserve">Abstract </w:t>
      </w:r>
    </w:p>
    <w:p w14:paraId="3F7310B0" w14:textId="2340D3C4" w:rsidR="00B214DA" w:rsidRPr="00B214DA" w:rsidRDefault="00B214DA" w:rsidP="00B214DA">
      <w:pPr>
        <w:spacing w:line="360" w:lineRule="auto"/>
        <w:rPr>
          <w:rFonts w:ascii="Arial" w:hAnsi="Arial" w:cs="Arial"/>
          <w:sz w:val="22"/>
          <w:szCs w:val="22"/>
        </w:rPr>
      </w:pPr>
      <w:r w:rsidRPr="00B214DA">
        <w:rPr>
          <w:rFonts w:ascii="Arial" w:hAnsi="Arial" w:cs="Arial"/>
          <w:sz w:val="22"/>
          <w:szCs w:val="22"/>
        </w:rPr>
        <w:t>Workplace diversity and inclusion have become increasingly important as organisations seek to create more inclusive and productive working environments. This research proposal explores how diversity and inclusion influence organisational performance by reviewing existing academic literature and secondary data from international organisations and industry reports. Using a qualitative secondary research approach, the study examines the opportunities, challenges, and factors that contribute to successful diversity and inclusion practices. The research aims to provide a better understanding of how organisations can create inclusive workplaces while improving organisational performance and supporting long-term sustainability.</w:t>
      </w:r>
    </w:p>
    <w:p w14:paraId="51824929" w14:textId="77777777" w:rsidR="007E24D8" w:rsidRDefault="007E24D8" w:rsidP="007E24D8">
      <w:pPr>
        <w:rPr>
          <w:rFonts w:ascii="Arial" w:hAnsi="Arial" w:cs="Arial"/>
          <w:sz w:val="22"/>
          <w:szCs w:val="22"/>
        </w:rPr>
      </w:pPr>
    </w:p>
    <w:p w14:paraId="68AE9812" w14:textId="77777777" w:rsidR="007E24D8" w:rsidRDefault="007E24D8" w:rsidP="007E24D8">
      <w:pPr>
        <w:rPr>
          <w:rFonts w:ascii="Arial" w:hAnsi="Arial" w:cs="Arial"/>
          <w:sz w:val="22"/>
          <w:szCs w:val="22"/>
        </w:rPr>
      </w:pPr>
    </w:p>
    <w:p w14:paraId="41182968" w14:textId="77777777" w:rsidR="007E24D8" w:rsidRDefault="007E24D8" w:rsidP="007E24D8">
      <w:pPr>
        <w:rPr>
          <w:rFonts w:ascii="Arial" w:hAnsi="Arial" w:cs="Arial"/>
          <w:sz w:val="22"/>
          <w:szCs w:val="22"/>
        </w:rPr>
      </w:pPr>
    </w:p>
    <w:p w14:paraId="353EB44C" w14:textId="77777777" w:rsidR="007E24D8" w:rsidRDefault="007E24D8" w:rsidP="007E24D8">
      <w:pPr>
        <w:rPr>
          <w:rFonts w:ascii="Arial" w:hAnsi="Arial" w:cs="Arial"/>
          <w:sz w:val="22"/>
          <w:szCs w:val="22"/>
        </w:rPr>
      </w:pPr>
    </w:p>
    <w:p w14:paraId="712AC9AC" w14:textId="77777777" w:rsidR="007E24D8" w:rsidRDefault="007E24D8" w:rsidP="007E24D8">
      <w:pPr>
        <w:rPr>
          <w:rFonts w:ascii="Arial" w:hAnsi="Arial" w:cs="Arial"/>
          <w:sz w:val="22"/>
          <w:szCs w:val="22"/>
        </w:rPr>
      </w:pPr>
    </w:p>
    <w:p w14:paraId="1DD81C24" w14:textId="77777777" w:rsidR="007E24D8" w:rsidRDefault="007E24D8" w:rsidP="007E24D8">
      <w:pPr>
        <w:rPr>
          <w:rFonts w:ascii="Arial" w:hAnsi="Arial" w:cs="Arial"/>
          <w:sz w:val="22"/>
          <w:szCs w:val="22"/>
        </w:rPr>
      </w:pPr>
    </w:p>
    <w:p w14:paraId="0122DBCE" w14:textId="77777777" w:rsidR="007E24D8" w:rsidRDefault="007E24D8" w:rsidP="007E24D8">
      <w:pPr>
        <w:rPr>
          <w:rFonts w:ascii="Arial" w:hAnsi="Arial" w:cs="Arial"/>
          <w:sz w:val="22"/>
          <w:szCs w:val="22"/>
        </w:rPr>
      </w:pPr>
    </w:p>
    <w:p w14:paraId="73B1CDBF" w14:textId="77777777" w:rsidR="007E24D8" w:rsidRDefault="007E24D8" w:rsidP="007E24D8">
      <w:pPr>
        <w:rPr>
          <w:rFonts w:ascii="Arial" w:hAnsi="Arial" w:cs="Arial"/>
          <w:sz w:val="22"/>
          <w:szCs w:val="22"/>
        </w:rPr>
      </w:pPr>
    </w:p>
    <w:p w14:paraId="322A3906" w14:textId="77777777" w:rsidR="007E24D8" w:rsidRDefault="007E24D8" w:rsidP="007E24D8">
      <w:pPr>
        <w:rPr>
          <w:rFonts w:ascii="Arial" w:hAnsi="Arial" w:cs="Arial"/>
          <w:sz w:val="22"/>
          <w:szCs w:val="22"/>
        </w:rPr>
      </w:pPr>
    </w:p>
    <w:p w14:paraId="0C331BBF" w14:textId="77777777" w:rsidR="007E24D8" w:rsidRDefault="007E24D8" w:rsidP="007E24D8">
      <w:pPr>
        <w:rPr>
          <w:rFonts w:ascii="Arial" w:hAnsi="Arial" w:cs="Arial"/>
          <w:sz w:val="22"/>
          <w:szCs w:val="22"/>
        </w:rPr>
      </w:pPr>
    </w:p>
    <w:p w14:paraId="10E47C05" w14:textId="77777777" w:rsidR="007E24D8" w:rsidRDefault="007E24D8" w:rsidP="007E24D8">
      <w:pPr>
        <w:rPr>
          <w:rFonts w:ascii="Arial" w:hAnsi="Arial" w:cs="Arial"/>
          <w:sz w:val="22"/>
          <w:szCs w:val="22"/>
        </w:rPr>
      </w:pPr>
    </w:p>
    <w:p w14:paraId="6482977A" w14:textId="77777777" w:rsidR="007E24D8" w:rsidRDefault="007E24D8" w:rsidP="007E24D8">
      <w:pPr>
        <w:rPr>
          <w:rFonts w:ascii="Arial" w:hAnsi="Arial" w:cs="Arial"/>
          <w:sz w:val="22"/>
          <w:szCs w:val="22"/>
        </w:rPr>
      </w:pPr>
    </w:p>
    <w:p w14:paraId="14EFD759" w14:textId="77777777" w:rsidR="007E24D8" w:rsidRDefault="007E24D8" w:rsidP="007E24D8">
      <w:pPr>
        <w:rPr>
          <w:rFonts w:ascii="Arial" w:hAnsi="Arial" w:cs="Arial"/>
          <w:sz w:val="22"/>
          <w:szCs w:val="22"/>
        </w:rPr>
      </w:pPr>
    </w:p>
    <w:p w14:paraId="3F57AFF7" w14:textId="77777777" w:rsidR="007E24D8" w:rsidRDefault="007E24D8" w:rsidP="007E24D8">
      <w:pPr>
        <w:rPr>
          <w:rFonts w:ascii="Arial" w:hAnsi="Arial" w:cs="Arial"/>
          <w:sz w:val="22"/>
          <w:szCs w:val="22"/>
        </w:rPr>
      </w:pPr>
    </w:p>
    <w:p w14:paraId="6908A604" w14:textId="77777777" w:rsidR="007E24D8" w:rsidRDefault="007E24D8" w:rsidP="007E24D8">
      <w:pPr>
        <w:rPr>
          <w:rFonts w:ascii="Arial" w:hAnsi="Arial" w:cs="Arial"/>
          <w:sz w:val="22"/>
          <w:szCs w:val="22"/>
        </w:rPr>
      </w:pPr>
    </w:p>
    <w:p w14:paraId="2433F719" w14:textId="77777777" w:rsidR="007E24D8" w:rsidRDefault="007E24D8" w:rsidP="007E24D8">
      <w:pPr>
        <w:rPr>
          <w:rFonts w:ascii="Arial" w:hAnsi="Arial" w:cs="Arial"/>
          <w:sz w:val="22"/>
          <w:szCs w:val="22"/>
        </w:rPr>
      </w:pPr>
    </w:p>
    <w:p w14:paraId="782C0AB5" w14:textId="77777777" w:rsidR="007E24D8" w:rsidRDefault="007E24D8" w:rsidP="007E24D8">
      <w:pPr>
        <w:rPr>
          <w:rFonts w:ascii="Arial" w:hAnsi="Arial" w:cs="Arial"/>
          <w:sz w:val="22"/>
          <w:szCs w:val="22"/>
        </w:rPr>
      </w:pPr>
    </w:p>
    <w:p w14:paraId="407FEF52" w14:textId="77777777" w:rsidR="007E24D8" w:rsidRDefault="007E24D8" w:rsidP="007E24D8">
      <w:pPr>
        <w:rPr>
          <w:rFonts w:ascii="Arial" w:hAnsi="Arial" w:cs="Arial"/>
          <w:sz w:val="22"/>
          <w:szCs w:val="22"/>
        </w:rPr>
      </w:pPr>
    </w:p>
    <w:p w14:paraId="180DA846" w14:textId="77777777" w:rsidR="007E24D8" w:rsidRDefault="007E24D8" w:rsidP="007E24D8">
      <w:pPr>
        <w:rPr>
          <w:rFonts w:ascii="Arial" w:hAnsi="Arial" w:cs="Arial"/>
          <w:sz w:val="22"/>
          <w:szCs w:val="22"/>
        </w:rPr>
      </w:pPr>
    </w:p>
    <w:p w14:paraId="35FDF11D" w14:textId="77777777" w:rsidR="007E24D8" w:rsidRDefault="007E24D8" w:rsidP="007E24D8">
      <w:pPr>
        <w:rPr>
          <w:rFonts w:ascii="Arial" w:hAnsi="Arial" w:cs="Arial"/>
          <w:sz w:val="22"/>
          <w:szCs w:val="22"/>
        </w:rPr>
      </w:pPr>
    </w:p>
    <w:p w14:paraId="2C46755A" w14:textId="77777777" w:rsidR="007E24D8" w:rsidRDefault="007E24D8" w:rsidP="007E24D8">
      <w:pPr>
        <w:rPr>
          <w:rFonts w:ascii="Arial" w:hAnsi="Arial" w:cs="Arial"/>
          <w:sz w:val="22"/>
          <w:szCs w:val="22"/>
        </w:rPr>
      </w:pPr>
    </w:p>
    <w:p w14:paraId="6A584BEB" w14:textId="77777777" w:rsidR="007E24D8" w:rsidRDefault="007E24D8" w:rsidP="007E24D8">
      <w:pPr>
        <w:rPr>
          <w:rFonts w:ascii="Arial" w:hAnsi="Arial" w:cs="Arial"/>
          <w:sz w:val="22"/>
          <w:szCs w:val="22"/>
        </w:rPr>
      </w:pPr>
    </w:p>
    <w:p w14:paraId="47ED124A" w14:textId="77777777" w:rsidR="007E24D8" w:rsidRDefault="007E24D8" w:rsidP="007E24D8">
      <w:pPr>
        <w:rPr>
          <w:rFonts w:ascii="Arial" w:hAnsi="Arial" w:cs="Arial"/>
          <w:sz w:val="22"/>
          <w:szCs w:val="22"/>
        </w:rPr>
      </w:pPr>
    </w:p>
    <w:p w14:paraId="6DFBFBF9" w14:textId="77777777" w:rsidR="007E24D8" w:rsidRDefault="007E24D8" w:rsidP="007E24D8">
      <w:pPr>
        <w:rPr>
          <w:rFonts w:ascii="Arial" w:hAnsi="Arial" w:cs="Arial"/>
          <w:sz w:val="22"/>
          <w:szCs w:val="22"/>
        </w:rPr>
      </w:pPr>
    </w:p>
    <w:p w14:paraId="18133A95" w14:textId="77777777" w:rsidR="007E24D8" w:rsidRDefault="007E24D8" w:rsidP="007E24D8">
      <w:pPr>
        <w:rPr>
          <w:rFonts w:ascii="Arial" w:hAnsi="Arial" w:cs="Arial"/>
          <w:sz w:val="22"/>
          <w:szCs w:val="22"/>
        </w:rPr>
      </w:pPr>
    </w:p>
    <w:p w14:paraId="0933DC96" w14:textId="77777777" w:rsidR="007E24D8" w:rsidRDefault="007E24D8" w:rsidP="007E24D8">
      <w:pPr>
        <w:rPr>
          <w:rFonts w:ascii="Arial" w:hAnsi="Arial" w:cs="Arial"/>
          <w:sz w:val="22"/>
          <w:szCs w:val="22"/>
        </w:rPr>
      </w:pPr>
    </w:p>
    <w:p w14:paraId="58B97A85" w14:textId="77777777" w:rsidR="007E24D8" w:rsidRDefault="007E24D8" w:rsidP="007E24D8">
      <w:pPr>
        <w:rPr>
          <w:rFonts w:ascii="Arial" w:hAnsi="Arial" w:cs="Arial"/>
          <w:sz w:val="22"/>
          <w:szCs w:val="22"/>
        </w:rPr>
      </w:pPr>
    </w:p>
    <w:p w14:paraId="754F6051" w14:textId="77777777" w:rsidR="007E24D8" w:rsidRDefault="007E24D8" w:rsidP="007E24D8">
      <w:pPr>
        <w:rPr>
          <w:rFonts w:ascii="Arial" w:hAnsi="Arial" w:cs="Arial"/>
          <w:sz w:val="22"/>
          <w:szCs w:val="22"/>
        </w:rPr>
      </w:pPr>
    </w:p>
    <w:p w14:paraId="02C51396" w14:textId="77777777" w:rsidR="007E24D8" w:rsidRDefault="007E24D8" w:rsidP="007E24D8">
      <w:pPr>
        <w:rPr>
          <w:rFonts w:ascii="Arial" w:hAnsi="Arial" w:cs="Arial"/>
          <w:sz w:val="22"/>
          <w:szCs w:val="22"/>
        </w:rPr>
      </w:pPr>
    </w:p>
    <w:p w14:paraId="070E7AEB" w14:textId="77777777" w:rsidR="007E24D8" w:rsidRDefault="007E24D8" w:rsidP="007E24D8">
      <w:pPr>
        <w:rPr>
          <w:rFonts w:ascii="Arial" w:hAnsi="Arial" w:cs="Arial"/>
          <w:sz w:val="22"/>
          <w:szCs w:val="22"/>
        </w:rPr>
      </w:pPr>
    </w:p>
    <w:p w14:paraId="576DF1C3" w14:textId="77777777" w:rsidR="007E24D8" w:rsidRDefault="007E24D8" w:rsidP="007E24D8">
      <w:pPr>
        <w:rPr>
          <w:rFonts w:ascii="Arial" w:hAnsi="Arial" w:cs="Arial"/>
          <w:sz w:val="22"/>
          <w:szCs w:val="22"/>
        </w:rPr>
      </w:pPr>
    </w:p>
    <w:p w14:paraId="5B2BFBE9" w14:textId="77777777" w:rsidR="007E24D8" w:rsidRDefault="007E24D8" w:rsidP="007E24D8">
      <w:pPr>
        <w:rPr>
          <w:rFonts w:ascii="Arial" w:hAnsi="Arial" w:cs="Arial"/>
          <w:sz w:val="22"/>
          <w:szCs w:val="22"/>
        </w:rPr>
      </w:pPr>
    </w:p>
    <w:p w14:paraId="6814CEF0" w14:textId="77777777" w:rsidR="007E24D8" w:rsidRDefault="007E24D8" w:rsidP="007E24D8">
      <w:pPr>
        <w:rPr>
          <w:rFonts w:ascii="Arial" w:hAnsi="Arial" w:cs="Arial"/>
          <w:sz w:val="22"/>
          <w:szCs w:val="22"/>
        </w:rPr>
      </w:pPr>
    </w:p>
    <w:p w14:paraId="03A86D49" w14:textId="77777777" w:rsidR="007E24D8" w:rsidRDefault="007E24D8" w:rsidP="007E24D8">
      <w:pPr>
        <w:rPr>
          <w:rFonts w:ascii="Arial" w:hAnsi="Arial" w:cs="Arial"/>
          <w:sz w:val="22"/>
          <w:szCs w:val="22"/>
        </w:rPr>
      </w:pPr>
    </w:p>
    <w:p w14:paraId="7E75AE07" w14:textId="77777777" w:rsidR="007E24D8" w:rsidRDefault="007E24D8" w:rsidP="007E24D8">
      <w:pPr>
        <w:rPr>
          <w:rFonts w:ascii="Arial" w:hAnsi="Arial" w:cs="Arial"/>
          <w:sz w:val="22"/>
          <w:szCs w:val="22"/>
        </w:rPr>
      </w:pPr>
    </w:p>
    <w:p w14:paraId="02D62BEA" w14:textId="77777777" w:rsidR="007E24D8" w:rsidRDefault="007E24D8" w:rsidP="007E24D8">
      <w:pPr>
        <w:rPr>
          <w:rFonts w:ascii="Arial" w:hAnsi="Arial" w:cs="Arial"/>
          <w:sz w:val="22"/>
          <w:szCs w:val="22"/>
        </w:rPr>
      </w:pPr>
    </w:p>
    <w:p w14:paraId="7E674A01" w14:textId="77777777" w:rsidR="007E24D8" w:rsidRDefault="007E24D8" w:rsidP="007E24D8">
      <w:pPr>
        <w:rPr>
          <w:rFonts w:ascii="Arial" w:hAnsi="Arial" w:cs="Arial"/>
          <w:sz w:val="22"/>
          <w:szCs w:val="22"/>
        </w:rPr>
      </w:pPr>
    </w:p>
    <w:p w14:paraId="1817C222" w14:textId="77777777" w:rsidR="007E24D8" w:rsidRDefault="007E24D8" w:rsidP="007E24D8">
      <w:pPr>
        <w:rPr>
          <w:rFonts w:ascii="Arial" w:hAnsi="Arial" w:cs="Arial"/>
          <w:sz w:val="22"/>
          <w:szCs w:val="22"/>
        </w:rPr>
      </w:pPr>
    </w:p>
    <w:p w14:paraId="568AD08E" w14:textId="77777777" w:rsidR="007E24D8" w:rsidRDefault="007E24D8" w:rsidP="007E24D8">
      <w:pPr>
        <w:rPr>
          <w:rFonts w:ascii="Arial" w:hAnsi="Arial" w:cs="Arial"/>
          <w:sz w:val="22"/>
          <w:szCs w:val="22"/>
        </w:rPr>
      </w:pPr>
    </w:p>
    <w:p w14:paraId="25107E9E" w14:textId="70184D7E" w:rsidR="007E24D8" w:rsidRDefault="007E24D8" w:rsidP="00CB65E8">
      <w:pPr>
        <w:pStyle w:val="Heading2"/>
      </w:pPr>
      <w:r>
        <w:lastRenderedPageBreak/>
        <w:t>Table of Contents</w:t>
      </w:r>
    </w:p>
    <w:p w14:paraId="2CAD099F" w14:textId="2543F738"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1: Introduction </w:t>
      </w:r>
    </w:p>
    <w:p w14:paraId="0556E438" w14:textId="0FBB7353"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1.1 Background of the Study </w:t>
      </w:r>
    </w:p>
    <w:p w14:paraId="717DE872" w14:textId="71C0E26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1.2 Problem Statement </w:t>
      </w:r>
    </w:p>
    <w:p w14:paraId="064B4EC9" w14:textId="40DB4809"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1.3 Research Aim, Objectives</w:t>
      </w:r>
      <w:r w:rsidR="009E2CEA">
        <w:rPr>
          <w:rFonts w:ascii="Arial" w:hAnsi="Arial" w:cs="Arial"/>
          <w:sz w:val="22"/>
          <w:szCs w:val="22"/>
        </w:rPr>
        <w:t>,</w:t>
      </w:r>
      <w:r w:rsidRPr="007E24D8">
        <w:rPr>
          <w:rFonts w:ascii="Arial" w:hAnsi="Arial" w:cs="Arial"/>
          <w:sz w:val="22"/>
          <w:szCs w:val="22"/>
        </w:rPr>
        <w:t xml:space="preserve"> and Research Questions </w:t>
      </w:r>
    </w:p>
    <w:p w14:paraId="121A21C1" w14:textId="628CF769"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1.3.1 Aim </w:t>
      </w:r>
    </w:p>
    <w:p w14:paraId="0F8DAD73" w14:textId="46631798"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1.3.2 Objectives </w:t>
      </w:r>
    </w:p>
    <w:p w14:paraId="4943E16E" w14:textId="3B2CF29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1.3.3 Research Questions </w:t>
      </w:r>
    </w:p>
    <w:p w14:paraId="4C2C0BD5" w14:textId="161B94E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1.4 Research Proposal </w:t>
      </w:r>
    </w:p>
    <w:p w14:paraId="50CEC02C" w14:textId="3641D1D4"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1.5 Thesis Structure </w:t>
      </w:r>
    </w:p>
    <w:p w14:paraId="26AF3100" w14:textId="57D234D6"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2: Literature Review </w:t>
      </w:r>
    </w:p>
    <w:p w14:paraId="29F79EC0" w14:textId="47530AC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2.1 Introduction </w:t>
      </w:r>
    </w:p>
    <w:p w14:paraId="1B91E5BF" w14:textId="30A865B8"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2.2 Understanding Workplace Diversity and Inclusion </w:t>
      </w:r>
    </w:p>
    <w:p w14:paraId="47279A7E" w14:textId="34F185D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2.3 Theoretical Framework </w:t>
      </w:r>
    </w:p>
    <w:p w14:paraId="555E9FE6" w14:textId="6A40044A"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2.4 Benefits and Challenges </w:t>
      </w:r>
    </w:p>
    <w:p w14:paraId="2A292960" w14:textId="3EF5796C"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2.5 Literature Gaps </w:t>
      </w:r>
    </w:p>
    <w:p w14:paraId="08251428" w14:textId="1FCE0DD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2.6 Summary </w:t>
      </w:r>
    </w:p>
    <w:p w14:paraId="1182F290" w14:textId="6E3C7128"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3: Methodology </w:t>
      </w:r>
    </w:p>
    <w:p w14:paraId="67A04258" w14:textId="75879A6E"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3.1 Research Approach </w:t>
      </w:r>
    </w:p>
    <w:p w14:paraId="0A1E277A" w14:textId="14BEC491"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3.2 Research Design </w:t>
      </w:r>
    </w:p>
    <w:p w14:paraId="41DD3050" w14:textId="297BFDA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3.3 Data Collection </w:t>
      </w:r>
    </w:p>
    <w:p w14:paraId="5D93415B" w14:textId="14234E3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3.4 Sampling Strategy </w:t>
      </w:r>
    </w:p>
    <w:p w14:paraId="753F2728" w14:textId="05EDF02B"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3.5 Data Analysis </w:t>
      </w:r>
    </w:p>
    <w:p w14:paraId="12CE2757" w14:textId="776C044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3.6 Research Ethics </w:t>
      </w:r>
    </w:p>
    <w:p w14:paraId="09C7E730" w14:textId="3F8BF613"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3.7 Reliability and Validity </w:t>
      </w:r>
    </w:p>
    <w:p w14:paraId="54FCC0DA" w14:textId="196B2C3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3.8 Project Timeline </w:t>
      </w:r>
    </w:p>
    <w:p w14:paraId="7F7F4FAC" w14:textId="5492A906"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4: Results and Analysis </w:t>
      </w:r>
    </w:p>
    <w:p w14:paraId="52206994" w14:textId="6BA5D96A"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5: Discussion and Conclusion </w:t>
      </w:r>
    </w:p>
    <w:p w14:paraId="68581991" w14:textId="60E27B6C" w:rsidR="007E24D8" w:rsidRPr="00E94F76" w:rsidRDefault="007E24D8" w:rsidP="00D75DED">
      <w:pPr>
        <w:spacing w:line="360" w:lineRule="auto"/>
        <w:rPr>
          <w:b/>
          <w:bCs/>
        </w:rPr>
      </w:pPr>
      <w:r w:rsidRPr="00E94F76">
        <w:rPr>
          <w:rFonts w:ascii="Arial" w:hAnsi="Arial" w:cs="Arial"/>
          <w:b/>
          <w:bCs/>
          <w:sz w:val="22"/>
          <w:szCs w:val="22"/>
        </w:rPr>
        <w:t xml:space="preserve">References </w:t>
      </w:r>
    </w:p>
    <w:p w14:paraId="78BD3F4B" w14:textId="77777777" w:rsidR="007E24D8" w:rsidRPr="007E24D8" w:rsidRDefault="007E24D8" w:rsidP="007E24D8"/>
    <w:p w14:paraId="744EFFF5" w14:textId="77777777" w:rsidR="004C1710" w:rsidRDefault="004C1710" w:rsidP="007E5A9F">
      <w:pPr>
        <w:pStyle w:val="Heading1"/>
      </w:pPr>
    </w:p>
    <w:p w14:paraId="3EC0613B" w14:textId="77777777" w:rsidR="004C1710" w:rsidRDefault="004C1710" w:rsidP="007E5A9F">
      <w:pPr>
        <w:pStyle w:val="Heading1"/>
      </w:pPr>
    </w:p>
    <w:p w14:paraId="33B4A045" w14:textId="77777777" w:rsidR="00E94F76" w:rsidRPr="00E94F76" w:rsidRDefault="00E94F76" w:rsidP="00E94F76"/>
    <w:p w14:paraId="739D5B0F" w14:textId="3F238C82" w:rsidR="00130A24" w:rsidRDefault="007E5A9F" w:rsidP="007E5A9F">
      <w:pPr>
        <w:pStyle w:val="Heading1"/>
      </w:pPr>
      <w:r>
        <w:lastRenderedPageBreak/>
        <w:t xml:space="preserve">1. </w:t>
      </w:r>
      <w:r w:rsidR="00130A24">
        <w:t>Introduction</w:t>
      </w:r>
    </w:p>
    <w:p w14:paraId="3816426E" w14:textId="455FC9FF" w:rsidR="00C10A46" w:rsidRPr="00C10A46" w:rsidRDefault="00FB305B" w:rsidP="007E5A9F">
      <w:pPr>
        <w:pStyle w:val="Heading2"/>
      </w:pPr>
      <w:r w:rsidRPr="00130A24">
        <w:rPr>
          <w:b/>
          <w:bCs/>
          <w:sz w:val="24"/>
          <w:szCs w:val="24"/>
        </w:rPr>
        <w:t xml:space="preserve"> </w:t>
      </w:r>
      <w:r w:rsidR="00C10A46">
        <w:t>1</w:t>
      </w:r>
      <w:r w:rsidR="00130A24">
        <w:t xml:space="preserve">.1 </w:t>
      </w:r>
      <w:r w:rsidR="00C10A46" w:rsidRPr="00C10A46">
        <w:t>Background of the Study:</w:t>
      </w:r>
    </w:p>
    <w:p w14:paraId="163DF0C9" w14:textId="3B6D782F" w:rsidR="00A91C6B" w:rsidRPr="004A4DC3" w:rsidRDefault="00A91C6B" w:rsidP="004A4DC3">
      <w:pPr>
        <w:spacing w:line="360" w:lineRule="auto"/>
        <w:rPr>
          <w:rFonts w:ascii="Arial" w:hAnsi="Arial" w:cs="Arial"/>
          <w:sz w:val="22"/>
          <w:szCs w:val="22"/>
        </w:rPr>
      </w:pPr>
      <w:r w:rsidRPr="004A4DC3">
        <w:rPr>
          <w:rFonts w:ascii="Arial" w:hAnsi="Arial" w:cs="Arial"/>
          <w:sz w:val="22"/>
          <w:szCs w:val="22"/>
        </w:rPr>
        <w:t xml:space="preserve">In today's global business environment, workplace diversity and inclusion (D&amp;I) have become increasingly important to organisational success. As workforces continue to diversify </w:t>
      </w:r>
      <w:r w:rsidR="005F22AB" w:rsidRPr="004A4DC3">
        <w:rPr>
          <w:rFonts w:ascii="Arial" w:hAnsi="Arial" w:cs="Arial"/>
          <w:sz w:val="22"/>
          <w:szCs w:val="22"/>
        </w:rPr>
        <w:t>due to globalisation, demographic changes, and evolving social expectations, organisations are under increasing pressure to create workplaces where employees from diverse</w:t>
      </w:r>
      <w:r w:rsidRPr="004A4DC3">
        <w:rPr>
          <w:rFonts w:ascii="Arial" w:hAnsi="Arial" w:cs="Arial"/>
          <w:sz w:val="22"/>
          <w:szCs w:val="22"/>
        </w:rPr>
        <w:t xml:space="preserve"> backgrounds feel valued and included. Consequently, diversity and inclusion are no longer viewed solely as legal or ethical responsibilities but as strategic priorities that can enhance innovation, employee engagement, organisational effectiveness, and long-term business performance (Nair and Vohra, 2015).</w:t>
      </w:r>
    </w:p>
    <w:p w14:paraId="614B154D" w14:textId="6637A0EA" w:rsidR="00A91C6B" w:rsidRPr="004A4DC3" w:rsidRDefault="00A91C6B" w:rsidP="004A4DC3">
      <w:pPr>
        <w:spacing w:line="360" w:lineRule="auto"/>
        <w:rPr>
          <w:rFonts w:ascii="Arial" w:hAnsi="Arial" w:cs="Arial"/>
          <w:sz w:val="22"/>
          <w:szCs w:val="22"/>
        </w:rPr>
      </w:pPr>
      <w:r w:rsidRPr="004A4DC3">
        <w:rPr>
          <w:rFonts w:ascii="Arial" w:hAnsi="Arial" w:cs="Arial"/>
          <w:sz w:val="22"/>
          <w:szCs w:val="22"/>
        </w:rPr>
        <w:t>The increasing importance of diversity and inclusion is reflected in recent global workforce statistics. The World Economic Forum (2024) reports that only 68.5% of the global gender gap has been closed, leaving significant inequalities across economic participation, education, health, and political representation. At the current pace, full gender equality is not expected to be achieved for approximately 134 years. These findings demonstrate that</w:t>
      </w:r>
      <w:r w:rsidR="005F22AB" w:rsidRPr="004A4DC3">
        <w:rPr>
          <w:rFonts w:ascii="Arial" w:hAnsi="Arial" w:cs="Arial"/>
          <w:sz w:val="22"/>
          <w:szCs w:val="22"/>
        </w:rPr>
        <w:t xml:space="preserve"> despite considerable organisational investment in diversity initiatives, inequalities persist</w:t>
      </w:r>
      <w:r w:rsidRPr="004A4DC3">
        <w:rPr>
          <w:rFonts w:ascii="Arial" w:hAnsi="Arial" w:cs="Arial"/>
          <w:sz w:val="22"/>
          <w:szCs w:val="22"/>
        </w:rPr>
        <w:t xml:space="preserve"> across workplaces worldwide. Although progress has been made since the Global Gender Gap Index was introduced in 2006, the pace of change remains relatively slow.</w:t>
      </w:r>
    </w:p>
    <w:p w14:paraId="14C5C339" w14:textId="39319076" w:rsidR="00C055DF" w:rsidRDefault="008140FF" w:rsidP="00C055DF">
      <w:pPr>
        <w:keepNext/>
        <w:spacing w:line="360" w:lineRule="auto"/>
      </w:pPr>
      <w:r>
        <w:t xml:space="preserve">            </w:t>
      </w:r>
      <w:r w:rsidR="008A66B9">
        <w:rPr>
          <w:noProof/>
          <w14:ligatures w14:val="standardContextual"/>
        </w:rPr>
        <w:drawing>
          <wp:inline distT="0" distB="0" distL="0" distR="0" wp14:anchorId="3AF29767" wp14:editId="283FEAC5">
            <wp:extent cx="6124575" cy="2924175"/>
            <wp:effectExtent l="0" t="0" r="9525" b="9525"/>
            <wp:docPr id="366925826" name="Chart 1">
              <a:extLst xmlns:a="http://schemas.openxmlformats.org/drawingml/2006/main">
                <a:ext uri="{FF2B5EF4-FFF2-40B4-BE49-F238E27FC236}">
                  <a16:creationId xmlns:a16="http://schemas.microsoft.com/office/drawing/2014/main" id="{F253693C-58E0-82CB-F005-EB5908EB7E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51766DA" w14:textId="3769AD6B" w:rsidR="0087180F" w:rsidRPr="001147BD" w:rsidRDefault="00C055DF" w:rsidP="00C055DF">
      <w:pPr>
        <w:pStyle w:val="Caption"/>
        <w:rPr>
          <w:rFonts w:ascii="Arial" w:hAnsi="Arial" w:cs="Arial"/>
          <w:sz w:val="22"/>
          <w:szCs w:val="22"/>
        </w:rPr>
      </w:pPr>
      <w:r>
        <w:t xml:space="preserve">Figure </w:t>
      </w:r>
      <w:fldSimple w:instr=" SEQ Figure \* ARABIC ">
        <w:r w:rsidR="001E617F">
          <w:rPr>
            <w:noProof/>
          </w:rPr>
          <w:t>1</w:t>
        </w:r>
      </w:fldSimple>
      <w:r>
        <w:t xml:space="preserve">.Global gender </w:t>
      </w:r>
      <w:r w:rsidR="00860715">
        <w:t>Ga</w:t>
      </w:r>
      <w:r>
        <w:t xml:space="preserve">p </w:t>
      </w:r>
      <w:r w:rsidR="00426714">
        <w:t>trend 2006-2025</w:t>
      </w:r>
    </w:p>
    <w:p w14:paraId="7CD39230" w14:textId="77777777"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 xml:space="preserve">Workplace diversity and inclusion encompass a wide range of individual characteristics and experiences. Diversity refers to the differences that exist between employees, including gender, age, ethnicity, religion, disability, sexual orientation, educational background, and </w:t>
      </w:r>
      <w:r w:rsidRPr="00010E6C">
        <w:rPr>
          <w:rFonts w:ascii="Arial" w:hAnsi="Arial" w:cs="Arial"/>
          <w:sz w:val="22"/>
          <w:szCs w:val="22"/>
        </w:rPr>
        <w:lastRenderedPageBreak/>
        <w:t>cultural perspectives. Inclusion extends beyond representation by creating an environment where employees feel respected, valued, and able to participate fully in organisational life (Grissom, 2018). While organisations have become more successful in recruiting diverse workforces, Nair and Vohra (2015) argue that diversity alone is unlikely to deliver organisational benefits unless it is accompanied by genuine inclusion.</w:t>
      </w:r>
    </w:p>
    <w:p w14:paraId="5B9C47C7" w14:textId="77777777"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The concept of workplace diversity first gained significant attention during the 1980s as organisations responded to increasingly diverse labour markets. Initially, diversity was mainly associated with race, ethnicity, and gender. However, as organisations became more global and culturally diverse, the concept expanded to include differences in education, language, values, experiences, and cultural backgrounds (Hays-Thomas, 2016). This broader understanding reflects the changing nature of today's workforce and highlights the need for organisations to manage diversity more effectively.</w:t>
      </w:r>
    </w:p>
    <w:p w14:paraId="157A7F61" w14:textId="06ADC8D9"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 xml:space="preserve">Early diversity initiatives primarily focused on improving the representation of women and minority groups through recruitment. Although these initiatives increased workforce diversity, many employees from </w:t>
      </w:r>
      <w:r w:rsidR="00010E6C" w:rsidRPr="00010E6C">
        <w:rPr>
          <w:rFonts w:ascii="Arial" w:hAnsi="Arial" w:cs="Arial"/>
          <w:sz w:val="22"/>
          <w:szCs w:val="22"/>
        </w:rPr>
        <w:t>underrepresented</w:t>
      </w:r>
      <w:r w:rsidRPr="00010E6C">
        <w:rPr>
          <w:rFonts w:ascii="Arial" w:hAnsi="Arial" w:cs="Arial"/>
          <w:sz w:val="22"/>
          <w:szCs w:val="22"/>
        </w:rPr>
        <w:t xml:space="preserve"> groups continued to face barriers to career progression, leadership opportunities, and workplace inclusion (Hays-Thomas, 2016). As a result, organisational attention gradually shifted from simply increasing representation towards creating inclusive workplace cultures where employees feel a genuine sense of belonging and have equal opportunities to develop and succeed.</w:t>
      </w:r>
    </w:p>
    <w:p w14:paraId="780CCA32" w14:textId="7AB7964E" w:rsidR="003670C0" w:rsidRDefault="00493C31" w:rsidP="003670C0">
      <w:pPr>
        <w:pStyle w:val="Heading2"/>
      </w:pPr>
      <w:r>
        <w:t xml:space="preserve">1.2 </w:t>
      </w:r>
      <w:r w:rsidR="003670C0">
        <w:t xml:space="preserve">Problem </w:t>
      </w:r>
      <w:r w:rsidR="009C23E5">
        <w:t>S</w:t>
      </w:r>
      <w:r w:rsidR="003670C0">
        <w:t>tatement:</w:t>
      </w:r>
    </w:p>
    <w:p w14:paraId="743E189F" w14:textId="77777777" w:rsidR="00DC689D" w:rsidRPr="00DC689D" w:rsidRDefault="00DC689D" w:rsidP="00DC689D">
      <w:pPr>
        <w:spacing w:line="360" w:lineRule="auto"/>
        <w:rPr>
          <w:rFonts w:ascii="Arial" w:hAnsi="Arial" w:cs="Arial"/>
          <w:sz w:val="22"/>
          <w:szCs w:val="22"/>
        </w:rPr>
      </w:pPr>
      <w:r w:rsidRPr="00DC689D">
        <w:rPr>
          <w:rFonts w:ascii="Arial" w:hAnsi="Arial" w:cs="Arial"/>
          <w:sz w:val="22"/>
          <w:szCs w:val="22"/>
        </w:rPr>
        <w:t>Inclusion is now widely recognised as a fundamental aspect of effective diversity management. While recruiting employees from different backgrounds can improve workforce representation, it does not necessarily create an inclusive working environment. Collins (1986) argues that employees who experience exclusion or marginalisation are more likely to report lower job satisfaction and are less likely to remain with an organisation. These issues can ultimately affect employee wellbeing, productivity, and overall organisational performance.</w:t>
      </w:r>
    </w:p>
    <w:p w14:paraId="0D438440" w14:textId="77777777" w:rsidR="00DC689D" w:rsidRPr="00DC689D" w:rsidRDefault="00DC689D" w:rsidP="00DC689D">
      <w:pPr>
        <w:spacing w:line="360" w:lineRule="auto"/>
        <w:rPr>
          <w:rFonts w:ascii="Arial" w:hAnsi="Arial" w:cs="Arial"/>
          <w:sz w:val="22"/>
          <w:szCs w:val="22"/>
        </w:rPr>
      </w:pPr>
      <w:r w:rsidRPr="00DC689D">
        <w:rPr>
          <w:rFonts w:ascii="Arial" w:hAnsi="Arial" w:cs="Arial"/>
          <w:sz w:val="22"/>
          <w:szCs w:val="22"/>
        </w:rPr>
        <w:t>Despite considerable investment in diversity and inclusion initiatives, many organisations continue to struggle with translating policies into meaningful workplace practices. Challenges such as unconscious bias, discrimination, unequal access to career opportunities, and the underrepresentation of diverse groups in leadership positions remain common across many industries. Although existing research generally supports a positive relationship between diversity, inclusion, and organisational performance, there is still uncertainty regarding the conditions that enable these initiatives to produce sustainable organisational outcomes. This highlights the need for further research into how organisations can move beyond policy development and create genuinely inclusive workplaces.</w:t>
      </w:r>
    </w:p>
    <w:p w14:paraId="0C6ED404" w14:textId="599C6476" w:rsidR="00FB305B" w:rsidRDefault="009232B6" w:rsidP="009232B6">
      <w:pPr>
        <w:pStyle w:val="Heading2"/>
      </w:pPr>
      <w:r>
        <w:lastRenderedPageBreak/>
        <w:t>1.3</w:t>
      </w:r>
      <w:r w:rsidR="00FB305B">
        <w:t xml:space="preserve"> Research Aim</w:t>
      </w:r>
      <w:r>
        <w:t>, Objectives</w:t>
      </w:r>
      <w:r w:rsidR="00A10FEF">
        <w:t>,</w:t>
      </w:r>
      <w:r w:rsidR="00FB305B">
        <w:t xml:space="preserve"> and Questions</w:t>
      </w:r>
    </w:p>
    <w:p w14:paraId="3EB8A7D9" w14:textId="77777777" w:rsidR="00155F60" w:rsidRPr="00155F60" w:rsidRDefault="00155F60" w:rsidP="00155F60"/>
    <w:p w14:paraId="4D74ED0C" w14:textId="3D365D89" w:rsidR="00CB703D" w:rsidRPr="001E0778" w:rsidRDefault="001E0778" w:rsidP="00014799">
      <w:pPr>
        <w:spacing w:line="360" w:lineRule="auto"/>
        <w:rPr>
          <w:rFonts w:ascii="Arial" w:hAnsi="Arial" w:cs="Arial"/>
          <w:color w:val="000000" w:themeColor="text1"/>
          <w:sz w:val="22"/>
          <w:szCs w:val="22"/>
        </w:rPr>
      </w:pPr>
      <w:r w:rsidRPr="001E0778">
        <w:rPr>
          <w:rFonts w:ascii="Arial" w:hAnsi="Arial" w:cs="Arial"/>
          <w:b/>
          <w:bCs/>
          <w:color w:val="000000" w:themeColor="text1"/>
          <w:sz w:val="22"/>
          <w:szCs w:val="22"/>
        </w:rPr>
        <w:t>1.3.1.</w:t>
      </w:r>
      <w:r>
        <w:rPr>
          <w:rFonts w:ascii="Arial" w:hAnsi="Arial" w:cs="Arial"/>
          <w:color w:val="000000" w:themeColor="text1"/>
          <w:sz w:val="22"/>
          <w:szCs w:val="22"/>
        </w:rPr>
        <w:t xml:space="preserve"> </w:t>
      </w:r>
      <w:r w:rsidR="00CB703D" w:rsidRPr="001E0778">
        <w:rPr>
          <w:rFonts w:ascii="Arial" w:hAnsi="Arial" w:cs="Arial"/>
          <w:b/>
          <w:bCs/>
          <w:color w:val="000000" w:themeColor="text1"/>
          <w:sz w:val="22"/>
          <w:szCs w:val="22"/>
        </w:rPr>
        <w:t>Aim</w:t>
      </w:r>
      <w:r w:rsidR="00CB703D" w:rsidRPr="001E0778">
        <w:rPr>
          <w:rFonts w:ascii="Arial" w:hAnsi="Arial" w:cs="Arial"/>
          <w:color w:val="000000" w:themeColor="text1"/>
          <w:sz w:val="22"/>
          <w:szCs w:val="22"/>
        </w:rPr>
        <w:t>:</w:t>
      </w:r>
    </w:p>
    <w:p w14:paraId="10C2225A" w14:textId="77777777" w:rsidR="00D07C40" w:rsidRPr="00D07C40" w:rsidRDefault="00D07C40" w:rsidP="00FE409E">
      <w:pPr>
        <w:spacing w:line="360" w:lineRule="auto"/>
        <w:rPr>
          <w:rFonts w:ascii="Arial" w:hAnsi="Arial" w:cs="Arial"/>
          <w:sz w:val="22"/>
          <w:szCs w:val="22"/>
        </w:rPr>
      </w:pPr>
      <w:r w:rsidRPr="00D07C40">
        <w:rPr>
          <w:rFonts w:ascii="Arial" w:hAnsi="Arial" w:cs="Arial"/>
          <w:sz w:val="22"/>
          <w:szCs w:val="22"/>
        </w:rPr>
        <w:t>This research aims to investigate the impact of workplace diversity and inclusion on organisational performance through the review of academic literature and secondary data obtained from international organisations and industry reports.</w:t>
      </w:r>
    </w:p>
    <w:p w14:paraId="4A6214DB" w14:textId="6E7B719A" w:rsidR="00CB703D" w:rsidRPr="00CB703D" w:rsidRDefault="001E0778" w:rsidP="00014799">
      <w:pPr>
        <w:spacing w:line="360" w:lineRule="auto"/>
        <w:rPr>
          <w:rFonts w:ascii="Arial" w:hAnsi="Arial" w:cs="Arial"/>
          <w:b/>
          <w:bCs/>
          <w:sz w:val="22"/>
          <w:szCs w:val="22"/>
        </w:rPr>
      </w:pPr>
      <w:r w:rsidRPr="001E0778">
        <w:rPr>
          <w:rFonts w:ascii="Arial" w:hAnsi="Arial" w:cs="Arial"/>
          <w:b/>
          <w:bCs/>
          <w:sz w:val="22"/>
          <w:szCs w:val="22"/>
        </w:rPr>
        <w:t>1.3.2</w:t>
      </w:r>
      <w:r>
        <w:rPr>
          <w:rFonts w:ascii="Arial" w:hAnsi="Arial" w:cs="Arial"/>
          <w:b/>
          <w:bCs/>
          <w:sz w:val="22"/>
          <w:szCs w:val="22"/>
        </w:rPr>
        <w:t>.</w:t>
      </w:r>
      <w:r w:rsidRPr="001E0778">
        <w:rPr>
          <w:rFonts w:ascii="Arial" w:hAnsi="Arial" w:cs="Arial"/>
          <w:b/>
          <w:bCs/>
          <w:sz w:val="22"/>
          <w:szCs w:val="22"/>
        </w:rPr>
        <w:t xml:space="preserve"> Objectives</w:t>
      </w:r>
      <w:r w:rsidR="00CB703D" w:rsidRPr="00CB703D">
        <w:rPr>
          <w:rFonts w:ascii="Arial" w:hAnsi="Arial" w:cs="Arial"/>
          <w:b/>
          <w:bCs/>
          <w:sz w:val="22"/>
          <w:szCs w:val="22"/>
        </w:rPr>
        <w:t>:</w:t>
      </w:r>
    </w:p>
    <w:p w14:paraId="13BCB0FC" w14:textId="17FB8D76"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 xml:space="preserve"> To examine the opportunities and challenges associated with workplace diversity and inclusion practices.</w:t>
      </w:r>
    </w:p>
    <w:p w14:paraId="48DE612E" w14:textId="3F3F0667"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develop a deeper understanding of how organisations can foster inclusive workplace environments.</w:t>
      </w:r>
    </w:p>
    <w:p w14:paraId="1642ECF1" w14:textId="44F3C367"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explore the relationship between workplace diversity, inclusion, and organisational performance.</w:t>
      </w:r>
    </w:p>
    <w:p w14:paraId="47276F9B" w14:textId="59495FDE" w:rsidR="009B4E72" w:rsidRPr="00934008"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examine the role of diversity and inclusion in supporting long-term organisational sustainability.</w:t>
      </w:r>
    </w:p>
    <w:p w14:paraId="7EF780EB" w14:textId="1FD88CCD" w:rsidR="00CB703D" w:rsidRDefault="00233BC4" w:rsidP="00014799">
      <w:pPr>
        <w:spacing w:line="360" w:lineRule="auto"/>
        <w:rPr>
          <w:rFonts w:ascii="Arial" w:hAnsi="Arial" w:cs="Arial"/>
          <w:b/>
          <w:bCs/>
          <w:sz w:val="22"/>
          <w:szCs w:val="22"/>
        </w:rPr>
      </w:pPr>
      <w:r>
        <w:rPr>
          <w:rFonts w:ascii="Arial" w:hAnsi="Arial" w:cs="Arial"/>
          <w:b/>
          <w:bCs/>
          <w:sz w:val="22"/>
          <w:szCs w:val="22"/>
        </w:rPr>
        <w:t xml:space="preserve">1.3.3. </w:t>
      </w:r>
      <w:r w:rsidR="00021088" w:rsidRPr="00021088">
        <w:rPr>
          <w:rFonts w:ascii="Arial" w:hAnsi="Arial" w:cs="Arial"/>
          <w:b/>
          <w:bCs/>
          <w:sz w:val="22"/>
          <w:szCs w:val="22"/>
        </w:rPr>
        <w:t>Research Questions:</w:t>
      </w:r>
    </w:p>
    <w:p w14:paraId="1F9BFBFA" w14:textId="503C65E8"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What is workplace diversity and inclusion, and why is it important in current organisations?</w:t>
      </w:r>
    </w:p>
    <w:p w14:paraId="3E1E78C4" w14:textId="295D3CCD"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What opportunities and challenges are associated with implementing diversity and inclusion initiatives in the workplace?</w:t>
      </w:r>
    </w:p>
    <w:p w14:paraId="320BD3F7" w14:textId="38F47D4D"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To what extent do workplace diversity and inclusion practices contribute to organisational performance?</w:t>
      </w:r>
    </w:p>
    <w:p w14:paraId="5657F5BF" w14:textId="073B1B79" w:rsidR="00155F60" w:rsidRPr="00155F60" w:rsidRDefault="007E63FC" w:rsidP="00155F60">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What factors influence the effectiveness of diversity and inclusion initiatives in improving organisational outcomes?</w:t>
      </w:r>
    </w:p>
    <w:p w14:paraId="6ADA1FC0" w14:textId="0DE87901" w:rsidR="009232B6" w:rsidRDefault="00E90D91" w:rsidP="00E90D91">
      <w:pPr>
        <w:pStyle w:val="Heading2"/>
        <w:numPr>
          <w:ilvl w:val="1"/>
          <w:numId w:val="8"/>
        </w:numPr>
      </w:pPr>
      <w:r>
        <w:t>Research Proposal</w:t>
      </w:r>
    </w:p>
    <w:p w14:paraId="4D2BBC14" w14:textId="398427AE" w:rsidR="001D13F7" w:rsidRPr="001D13F7" w:rsidRDefault="00F64951" w:rsidP="001D13F7">
      <w:pPr>
        <w:spacing w:line="360" w:lineRule="auto"/>
        <w:rPr>
          <w:rFonts w:ascii="Arial" w:hAnsi="Arial" w:cs="Arial"/>
          <w:sz w:val="22"/>
          <w:szCs w:val="22"/>
        </w:rPr>
      </w:pPr>
      <w:r w:rsidRPr="001D13F7">
        <w:rPr>
          <w:rFonts w:ascii="Arial" w:hAnsi="Arial" w:cs="Arial"/>
          <w:sz w:val="22"/>
          <w:szCs w:val="22"/>
        </w:rPr>
        <w:t>While</w:t>
      </w:r>
      <w:r w:rsidR="001D13F7" w:rsidRPr="001D13F7">
        <w:rPr>
          <w:rFonts w:ascii="Arial" w:hAnsi="Arial" w:cs="Arial"/>
          <w:sz w:val="22"/>
          <w:szCs w:val="22"/>
        </w:rPr>
        <w:t xml:space="preserve"> organisations have invested considerable resources in promoting workplace diversity and inclusion, creating genuinely inclusive working environments remains a significant challenge. As Bakre, Seow</w:t>
      </w:r>
      <w:r w:rsidR="00CD5707">
        <w:rPr>
          <w:rFonts w:ascii="Arial" w:hAnsi="Arial" w:cs="Arial"/>
          <w:sz w:val="22"/>
          <w:szCs w:val="22"/>
        </w:rPr>
        <w:t>,</w:t>
      </w:r>
      <w:r w:rsidR="001D13F7" w:rsidRPr="001D13F7">
        <w:rPr>
          <w:rFonts w:ascii="Arial" w:hAnsi="Arial" w:cs="Arial"/>
          <w:sz w:val="22"/>
          <w:szCs w:val="22"/>
        </w:rPr>
        <w:t xml:space="preserve"> and Vakhariya (2024) note, barriers such as unconscious </w:t>
      </w:r>
      <w:r w:rsidR="00C558A2">
        <w:rPr>
          <w:rFonts w:ascii="Arial" w:hAnsi="Arial" w:cs="Arial"/>
          <w:sz w:val="22"/>
          <w:szCs w:val="22"/>
        </w:rPr>
        <w:t>bias</w:t>
      </w:r>
      <w:r w:rsidR="001D13F7" w:rsidRPr="001D13F7">
        <w:rPr>
          <w:rFonts w:ascii="Arial" w:hAnsi="Arial" w:cs="Arial"/>
          <w:sz w:val="22"/>
          <w:szCs w:val="22"/>
        </w:rPr>
        <w:t xml:space="preserve">, unequal opportunities, and inconsistent organisational practices continue to influence employee experiences and organisational effectiveness. This research </w:t>
      </w:r>
      <w:r w:rsidRPr="001D13F7">
        <w:rPr>
          <w:rFonts w:ascii="Arial" w:hAnsi="Arial" w:cs="Arial"/>
          <w:sz w:val="22"/>
          <w:szCs w:val="22"/>
        </w:rPr>
        <w:t>then</w:t>
      </w:r>
      <w:r w:rsidR="001D13F7" w:rsidRPr="001D13F7">
        <w:rPr>
          <w:rFonts w:ascii="Arial" w:hAnsi="Arial" w:cs="Arial"/>
          <w:sz w:val="22"/>
          <w:szCs w:val="22"/>
        </w:rPr>
        <w:t xml:space="preserve"> investigates the relationship between workplace diversity, inclusion, and organisational performance from a global perspective. By examining existing literature and secondary evidence, the study aims to identify the factors that contribute to successful implementation and provide insights that may support organisations in developing more inclusive workplaces while improving long-term organisational performance.</w:t>
      </w:r>
    </w:p>
    <w:p w14:paraId="1CAF9185" w14:textId="1474566D" w:rsidR="00355F1C" w:rsidRDefault="00E90D91" w:rsidP="00355F1C">
      <w:pPr>
        <w:pStyle w:val="Heading2"/>
        <w:numPr>
          <w:ilvl w:val="1"/>
          <w:numId w:val="8"/>
        </w:numPr>
      </w:pPr>
      <w:r>
        <w:lastRenderedPageBreak/>
        <w:t>Thesis Structure</w:t>
      </w:r>
    </w:p>
    <w:p w14:paraId="64B5057B" w14:textId="77777777" w:rsidR="00E20EF6" w:rsidRPr="00E20EF6" w:rsidRDefault="00E20EF6" w:rsidP="00E20EF6"/>
    <w:p w14:paraId="491CD528" w14:textId="623A44E4" w:rsidR="001E617F" w:rsidRDefault="00355F1C" w:rsidP="00355F1C">
      <w:pPr>
        <w:keepNext/>
        <w:spacing w:line="360" w:lineRule="auto"/>
      </w:pPr>
      <w:r w:rsidRPr="00355F1C">
        <w:rPr>
          <w:rFonts w:ascii="Arial" w:hAnsi="Arial" w:cs="Arial"/>
          <w:sz w:val="22"/>
          <w:szCs w:val="22"/>
        </w:rPr>
        <w:t>Kumar (2018) describes a thesis structure as the organised framework that guides readers through each stage of a research project. Following this approach, the proposal is organised into five chapters. Chapter One introduces the research topic, outlines the problem, and presents the research aim, objectives, and questions. Chapter Two reviews the existing literature, examines relevant theories, and identifies gaps in current knowledge. Chapter Three explains the research methodology, including the research design, data collection methods, and analytical approach. Chapters Four and Five present the proposed analysis, discussion, and conclusion, together with the practical relevance of the research.</w:t>
      </w:r>
      <w:r w:rsidR="009449AF">
        <w:rPr>
          <w:noProof/>
          <w14:ligatures w14:val="standardContextual"/>
        </w:rPr>
        <w:drawing>
          <wp:inline distT="0" distB="0" distL="0" distR="0" wp14:anchorId="505B68D2" wp14:editId="0DBAFCCB">
            <wp:extent cx="5876925" cy="6057900"/>
            <wp:effectExtent l="38100" t="19050" r="28575" b="38100"/>
            <wp:docPr id="621598475"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7CA5585" w14:textId="7F8E804F" w:rsidR="009449AF" w:rsidRPr="009449AF" w:rsidRDefault="001E617F" w:rsidP="001E617F">
      <w:pPr>
        <w:pStyle w:val="Caption"/>
      </w:pPr>
      <w:r>
        <w:t xml:space="preserve">Figure </w:t>
      </w:r>
      <w:fldSimple w:instr=" SEQ Figure \* ARABIC ">
        <w:r>
          <w:rPr>
            <w:noProof/>
          </w:rPr>
          <w:t>2</w:t>
        </w:r>
      </w:fldSimple>
      <w:r>
        <w:t>.Thesis Framework</w:t>
      </w:r>
    </w:p>
    <w:p w14:paraId="2B0602E0" w14:textId="1A4F4682" w:rsidR="008B6D69" w:rsidRDefault="008B6D69" w:rsidP="007B7CCF">
      <w:pPr>
        <w:pStyle w:val="Heading1"/>
        <w:numPr>
          <w:ilvl w:val="0"/>
          <w:numId w:val="8"/>
        </w:numPr>
        <w:rPr>
          <w:sz w:val="36"/>
          <w:szCs w:val="36"/>
        </w:rPr>
      </w:pPr>
      <w:r w:rsidRPr="00364A9B">
        <w:rPr>
          <w:sz w:val="36"/>
          <w:szCs w:val="36"/>
        </w:rPr>
        <w:lastRenderedPageBreak/>
        <w:t>Literature Review</w:t>
      </w:r>
    </w:p>
    <w:p w14:paraId="5832107F" w14:textId="77777777" w:rsidR="00E20EF6" w:rsidRPr="00E20EF6" w:rsidRDefault="00E20EF6" w:rsidP="00E20EF6"/>
    <w:p w14:paraId="24D04279" w14:textId="72242BE3" w:rsidR="00835189" w:rsidRDefault="00835189" w:rsidP="007B7CCF">
      <w:pPr>
        <w:pStyle w:val="Heading2"/>
        <w:numPr>
          <w:ilvl w:val="1"/>
          <w:numId w:val="14"/>
        </w:numPr>
      </w:pPr>
      <w:r>
        <w:t>Introduction</w:t>
      </w:r>
    </w:p>
    <w:p w14:paraId="564B957E" w14:textId="77777777" w:rsidR="00E20EF6" w:rsidRPr="00E20EF6" w:rsidRDefault="00E20EF6" w:rsidP="00E20EF6"/>
    <w:p w14:paraId="3E7152BC" w14:textId="00DEB291" w:rsidR="00155F60" w:rsidRPr="00B8036E" w:rsidRDefault="00B601CE" w:rsidP="00B8036E">
      <w:pPr>
        <w:spacing w:line="360" w:lineRule="auto"/>
        <w:rPr>
          <w:rFonts w:ascii="Arial" w:hAnsi="Arial" w:cs="Arial"/>
          <w:sz w:val="22"/>
          <w:szCs w:val="22"/>
        </w:rPr>
      </w:pPr>
      <w:r w:rsidRPr="00B8036E">
        <w:rPr>
          <w:rFonts w:ascii="Arial" w:hAnsi="Arial" w:cs="Arial"/>
          <w:sz w:val="22"/>
          <w:szCs w:val="22"/>
        </w:rPr>
        <w:t>This chapter reviews the existing literature on workplace diversity and inclusion and examines its relationship with organisational performance. It explores the key concepts of diversity and inclusion, relevant theoretical perspectives, the benefits and challenges identified in previous research, and the gaps that justify further investigation.</w:t>
      </w:r>
    </w:p>
    <w:p w14:paraId="7A95AA36" w14:textId="56B34FCE" w:rsidR="00F41B59" w:rsidRDefault="00835189" w:rsidP="00F41B59">
      <w:pPr>
        <w:pStyle w:val="Heading2"/>
        <w:numPr>
          <w:ilvl w:val="1"/>
          <w:numId w:val="14"/>
        </w:numPr>
      </w:pPr>
      <w:r>
        <w:t>Understanding Workplace Diversity and Inclusion</w:t>
      </w:r>
    </w:p>
    <w:p w14:paraId="7F807603" w14:textId="7777777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Workplace diversity and inclusion have become increasingly important as organisations respond to globalisation, changing workforce demographics, and evolving employee expectations. Diversity refers to the differences that exist between employees, while inclusion focuses on creating an environment where individuals feel respected, valued, and able to contribute fully (Shore et al., 2011). Although these concepts are closely connected, the literature suggests that they should not be viewed as interchangeable.</w:t>
      </w:r>
    </w:p>
    <w:p w14:paraId="7E3C4C91" w14:textId="7777777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Earlier studies argue that workforce diversity can strengthen organisational performance by encouraging creativity, innovation, and more effective decision-making (Cox and Blake, 1991; Richard, 2000). Similarly, Hunt et al. (2018) found that organisations with more diverse workforces often achieve stronger business performance. However, these studies also imply that diversity alone is unlikely to deliver positive outcomes. Roberson (2006) and Shore et al. (2011) emphasise that the benefits of diversity depend largely on whether employees feel included and able to participate equally within the organisation.</w:t>
      </w:r>
    </w:p>
    <w:p w14:paraId="596068E2" w14:textId="3966FA5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More recent research continues to support this perspective. Saha et al. (2024), Okatta and Ajayi (2024), Leuhery et al. (2025), and Chukwu, Ugbaja</w:t>
      </w:r>
      <w:r w:rsidR="00CD5707">
        <w:rPr>
          <w:rFonts w:ascii="Arial" w:hAnsi="Arial" w:cs="Arial"/>
          <w:sz w:val="22"/>
          <w:szCs w:val="22"/>
        </w:rPr>
        <w:t>,</w:t>
      </w:r>
      <w:r w:rsidRPr="00A227B7">
        <w:rPr>
          <w:rFonts w:ascii="Arial" w:hAnsi="Arial" w:cs="Arial"/>
          <w:sz w:val="22"/>
          <w:szCs w:val="22"/>
        </w:rPr>
        <w:t xml:space="preserve"> and Okafor (2025) suggest that organisations with effective diversity and inclusion practices are more likely to improve organisational performance, employee satisfaction, and overall effectiveness. </w:t>
      </w:r>
      <w:r w:rsidR="00C57805" w:rsidRPr="00A227B7">
        <w:rPr>
          <w:rFonts w:ascii="Arial" w:hAnsi="Arial" w:cs="Arial"/>
          <w:sz w:val="22"/>
          <w:szCs w:val="22"/>
        </w:rPr>
        <w:t>Still</w:t>
      </w:r>
      <w:r w:rsidRPr="00A227B7">
        <w:rPr>
          <w:rFonts w:ascii="Arial" w:hAnsi="Arial" w:cs="Arial"/>
          <w:sz w:val="22"/>
          <w:szCs w:val="22"/>
        </w:rPr>
        <w:t xml:space="preserve">, positive outcomes are not always guaranteed. Challenges such as unconscious </w:t>
      </w:r>
      <w:r w:rsidR="004255FA">
        <w:rPr>
          <w:rFonts w:ascii="Arial" w:hAnsi="Arial" w:cs="Arial"/>
          <w:sz w:val="22"/>
          <w:szCs w:val="22"/>
        </w:rPr>
        <w:t>bias</w:t>
      </w:r>
      <w:r w:rsidRPr="00A227B7">
        <w:rPr>
          <w:rFonts w:ascii="Arial" w:hAnsi="Arial" w:cs="Arial"/>
          <w:sz w:val="22"/>
          <w:szCs w:val="22"/>
        </w:rPr>
        <w:t>, discrimination, and communication barriers remain significant obstacles that can reduce the effectiveness of diversity initiatives (Mor Barak, 2017; Nishii, 2013). This suggests that successful diversity management depends not only on workforce representation but also on the creation of an inclusive organisational culture.</w:t>
      </w:r>
    </w:p>
    <w:p w14:paraId="4EDF92DF" w14:textId="2F120292" w:rsidR="006863A4" w:rsidRDefault="00835189" w:rsidP="006863A4">
      <w:pPr>
        <w:pStyle w:val="Heading2"/>
        <w:numPr>
          <w:ilvl w:val="1"/>
          <w:numId w:val="14"/>
        </w:numPr>
      </w:pPr>
      <w:r w:rsidRPr="00946082">
        <w:t xml:space="preserve">Theoretical Framework </w:t>
      </w:r>
    </w:p>
    <w:p w14:paraId="17418F11"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t>This study is informed by Social Identity Theory and the Resource-Based View (RBV), which together provide a useful framework for understanding how workplace diversity and inclusion influence organisational performance.</w:t>
      </w:r>
    </w:p>
    <w:p w14:paraId="491A43CF"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lastRenderedPageBreak/>
        <w:t>Social Identity Theory, developed by Tajfel and Turner (1979), proposes that individuals naturally identify with particular social groups based on characteristics such as gender, ethnicity, age, and culture. These group identities can influence workplace relationships and may contribute to experiences of inclusion or exclusion. As a result, the theory helps explain why organisations may experience challenges in creating inclusive workplace environments despite having diverse workforces.</w:t>
      </w:r>
    </w:p>
    <w:p w14:paraId="0FA844BA"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t>The Resource-Based View, introduced by Barney (1991), takes a different perspective by suggesting that organisations gain competitive advantage through valuable and distinctive internal resources. From this viewpoint, workforce diversity represents a strategic resource because employees bring different skills, knowledge, and experiences that can encourage innovation and improve organisational performance. This perspective is supported by recent research, which suggests that organisations with effective diversity and inclusion practices are better positioned to achieve positive organisational outcomes (Saha et al., 2024; Al-Daoud et al., 2025).</w:t>
      </w:r>
    </w:p>
    <w:p w14:paraId="5076BDB5" w14:textId="27B92E40" w:rsidR="006863A4" w:rsidRDefault="006863A4" w:rsidP="00A227B7">
      <w:pPr>
        <w:spacing w:line="360" w:lineRule="auto"/>
        <w:rPr>
          <w:rFonts w:ascii="Arial" w:hAnsi="Arial" w:cs="Arial"/>
          <w:sz w:val="22"/>
          <w:szCs w:val="22"/>
        </w:rPr>
      </w:pPr>
      <w:r w:rsidRPr="00A227B7">
        <w:rPr>
          <w:rFonts w:ascii="Arial" w:hAnsi="Arial" w:cs="Arial"/>
          <w:sz w:val="22"/>
          <w:szCs w:val="22"/>
        </w:rPr>
        <w:t>Together, these theories complement one another by explaining both the social challenges associated with workplace diversity and the strategic value that inclusive organisations can achieve through effective management of a diverse workforce.</w:t>
      </w:r>
    </w:p>
    <w:p w14:paraId="6B83A15D" w14:textId="77777777" w:rsidR="00155F60" w:rsidRPr="00A227B7" w:rsidRDefault="00155F60" w:rsidP="00A227B7">
      <w:pPr>
        <w:spacing w:line="360" w:lineRule="auto"/>
        <w:rPr>
          <w:rFonts w:ascii="Arial" w:hAnsi="Arial" w:cs="Arial"/>
          <w:sz w:val="22"/>
          <w:szCs w:val="22"/>
        </w:rPr>
      </w:pPr>
    </w:p>
    <w:p w14:paraId="6C3EC618" w14:textId="442BEDEA" w:rsidR="00835189" w:rsidRDefault="00835189" w:rsidP="00080D2A">
      <w:pPr>
        <w:pStyle w:val="Heading2"/>
        <w:numPr>
          <w:ilvl w:val="1"/>
          <w:numId w:val="21"/>
        </w:numPr>
      </w:pPr>
      <w:r>
        <w:t>Benefits and Challenges</w:t>
      </w:r>
    </w:p>
    <w:p w14:paraId="29ED92EF" w14:textId="4B264718" w:rsidR="00FA7ACB" w:rsidRPr="00A227B7" w:rsidRDefault="00FA7ACB" w:rsidP="00A227B7">
      <w:pPr>
        <w:spacing w:line="360" w:lineRule="auto"/>
        <w:rPr>
          <w:rFonts w:ascii="Arial" w:hAnsi="Arial" w:cs="Arial"/>
          <w:sz w:val="22"/>
          <w:szCs w:val="22"/>
        </w:rPr>
      </w:pPr>
      <w:r w:rsidRPr="00A227B7">
        <w:rPr>
          <w:rFonts w:ascii="Arial" w:hAnsi="Arial" w:cs="Arial"/>
          <w:sz w:val="22"/>
          <w:szCs w:val="22"/>
        </w:rPr>
        <w:t xml:space="preserve">The literature consistently suggests that workplace diversity and inclusion can contribute positively to organisational success when implemented effectively. Inclusive workplaces are more likely to encourage employee engagement, collaboration, and knowledge sharing, enabling organisations to make better use of diverse perspectives. Roberson (2019) argues that inclusion strengthens </w:t>
      </w:r>
      <w:r w:rsidR="00B72E14">
        <w:rPr>
          <w:rFonts w:ascii="Arial" w:hAnsi="Arial" w:cs="Arial"/>
          <w:sz w:val="22"/>
          <w:szCs w:val="22"/>
        </w:rPr>
        <w:t>employees'</w:t>
      </w:r>
      <w:r w:rsidRPr="00A227B7">
        <w:rPr>
          <w:rFonts w:ascii="Arial" w:hAnsi="Arial" w:cs="Arial"/>
          <w:sz w:val="22"/>
          <w:szCs w:val="22"/>
        </w:rPr>
        <w:t xml:space="preserve"> sense of belonging, while Shore et al. (2018) suggest that inclusive working environments improve commitment, teamwork, and workplace relationships.</w:t>
      </w:r>
    </w:p>
    <w:p w14:paraId="5E5A7E62" w14:textId="3F897B55" w:rsidR="00A227B7" w:rsidRDefault="00FA7ACB" w:rsidP="00A227B7">
      <w:pPr>
        <w:spacing w:line="360" w:lineRule="auto"/>
        <w:rPr>
          <w:rFonts w:ascii="Arial" w:hAnsi="Arial" w:cs="Arial"/>
          <w:sz w:val="22"/>
          <w:szCs w:val="22"/>
        </w:rPr>
      </w:pPr>
      <w:r w:rsidRPr="00A227B7">
        <w:rPr>
          <w:rFonts w:ascii="Arial" w:hAnsi="Arial" w:cs="Arial"/>
          <w:sz w:val="22"/>
          <w:szCs w:val="22"/>
        </w:rPr>
        <w:t xml:space="preserve">Despite these recognised benefits, implementing diversity and inclusion successfully remains challenging. Research highlights that unconscious </w:t>
      </w:r>
      <w:r w:rsidR="00CF664A">
        <w:rPr>
          <w:rFonts w:ascii="Arial" w:hAnsi="Arial" w:cs="Arial"/>
          <w:sz w:val="22"/>
          <w:szCs w:val="22"/>
        </w:rPr>
        <w:t>bias</w:t>
      </w:r>
      <w:r w:rsidRPr="00A227B7">
        <w:rPr>
          <w:rFonts w:ascii="Arial" w:hAnsi="Arial" w:cs="Arial"/>
          <w:sz w:val="22"/>
          <w:szCs w:val="22"/>
        </w:rPr>
        <w:t>, discrimination, and resistance to organisational change continue to influence employee experiences and limit the effectiveness of diversity initiatives. This indicates that organisations must move beyond increasing workforce diversity and instead focus on embedding inclusion within leadership practices, organisational culture, and day-to-day decision-making if they wish to achieve sustainable organisational benefits.</w:t>
      </w:r>
    </w:p>
    <w:p w14:paraId="271CC0BB" w14:textId="77777777" w:rsidR="00155F60" w:rsidRPr="00A227B7" w:rsidRDefault="00155F60" w:rsidP="00A227B7">
      <w:pPr>
        <w:spacing w:line="360" w:lineRule="auto"/>
        <w:rPr>
          <w:rFonts w:ascii="Arial" w:hAnsi="Arial" w:cs="Arial"/>
          <w:sz w:val="22"/>
          <w:szCs w:val="22"/>
        </w:rPr>
      </w:pPr>
    </w:p>
    <w:p w14:paraId="149BDC44" w14:textId="5D29C9C7" w:rsidR="00794537" w:rsidRDefault="00794537" w:rsidP="00D326A1">
      <w:pPr>
        <w:pStyle w:val="Heading2"/>
        <w:numPr>
          <w:ilvl w:val="1"/>
          <w:numId w:val="21"/>
        </w:numPr>
      </w:pPr>
      <w:r>
        <w:lastRenderedPageBreak/>
        <w:t>Literature Gaps</w:t>
      </w:r>
    </w:p>
    <w:p w14:paraId="03B6D38F" w14:textId="5F4616A4" w:rsidR="00D00144" w:rsidRDefault="002E426C" w:rsidP="002E426C">
      <w:pPr>
        <w:spacing w:after="160" w:line="360" w:lineRule="auto"/>
        <w:rPr>
          <w:rFonts w:ascii="Arial" w:hAnsi="Arial" w:cs="Arial"/>
          <w:sz w:val="22"/>
          <w:szCs w:val="22"/>
        </w:rPr>
        <w:sectPr w:rsidR="00D00144" w:rsidSect="00862B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2E426C">
        <w:rPr>
          <w:rFonts w:ascii="Arial" w:hAnsi="Arial" w:cs="Arial"/>
          <w:sz w:val="22"/>
          <w:szCs w:val="22"/>
        </w:rPr>
        <w:t>Existing literature generally supports a positive link between workplace diversity</w:t>
      </w:r>
      <w:r w:rsidR="003925A6">
        <w:rPr>
          <w:rFonts w:ascii="Arial" w:hAnsi="Arial" w:cs="Arial"/>
          <w:sz w:val="22"/>
          <w:szCs w:val="22"/>
        </w:rPr>
        <w:t xml:space="preserve"> and inclusion</w:t>
      </w:r>
      <w:r w:rsidRPr="002E426C">
        <w:rPr>
          <w:rFonts w:ascii="Arial" w:hAnsi="Arial" w:cs="Arial"/>
          <w:sz w:val="22"/>
          <w:szCs w:val="22"/>
        </w:rPr>
        <w:t xml:space="preserve"> and organisational performance. However, much of the research focuses on specific industries and organisational settings, limiting the wider applicability of findings. In addition, relatively little attention has been given to understanding how diversity and inclusion simultaneously influence employee outcomes and organisational performance from a global perspective. This highlights the need for broader investigation into the factors that contribute to successful implementation and sustainable organisational outcomes.</w:t>
      </w:r>
    </w:p>
    <w:p w14:paraId="749CF548" w14:textId="77777777" w:rsidR="001E617F" w:rsidRDefault="001E617F" w:rsidP="001E617F">
      <w:pPr>
        <w:keepNext/>
        <w:spacing w:line="360" w:lineRule="auto"/>
      </w:pPr>
      <w:r>
        <w:rPr>
          <w:noProof/>
          <w14:ligatures w14:val="standardContextual"/>
        </w:rPr>
        <w:lastRenderedPageBreak/>
        <w:drawing>
          <wp:inline distT="0" distB="0" distL="0" distR="0" wp14:anchorId="0451A246" wp14:editId="76687705">
            <wp:extent cx="8863330" cy="5426343"/>
            <wp:effectExtent l="0" t="0" r="0" b="3175"/>
            <wp:docPr id="17790936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93604" name="Picture 1779093604"/>
                    <pic:cNvPicPr/>
                  </pic:nvPicPr>
                  <pic:blipFill>
                    <a:blip r:embed="rId16">
                      <a:extLst>
                        <a:ext uri="{28A0092B-C50C-407E-A947-70E740481C1C}">
                          <a14:useLocalDpi xmlns:a14="http://schemas.microsoft.com/office/drawing/2010/main" val="0"/>
                        </a:ext>
                      </a:extLst>
                    </a:blip>
                    <a:stretch>
                      <a:fillRect/>
                    </a:stretch>
                  </pic:blipFill>
                  <pic:spPr>
                    <a:xfrm>
                      <a:off x="0" y="0"/>
                      <a:ext cx="8863330" cy="5426343"/>
                    </a:xfrm>
                    <a:prstGeom prst="rect">
                      <a:avLst/>
                    </a:prstGeom>
                  </pic:spPr>
                </pic:pic>
              </a:graphicData>
            </a:graphic>
          </wp:inline>
        </w:drawing>
      </w:r>
    </w:p>
    <w:p w14:paraId="17DED2D8" w14:textId="65D8FA72" w:rsidR="00D00144" w:rsidRPr="001E617F" w:rsidRDefault="001E617F" w:rsidP="001E617F">
      <w:pPr>
        <w:pStyle w:val="Caption"/>
        <w:rPr>
          <w:rFonts w:ascii="Arial" w:hAnsi="Arial" w:cs="Arial"/>
          <w:sz w:val="22"/>
          <w:szCs w:val="22"/>
        </w:rPr>
        <w:sectPr w:rsidR="00D00144" w:rsidRPr="001E617F" w:rsidSect="00862B75">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t xml:space="preserve">Figure </w:t>
      </w:r>
      <w:fldSimple w:instr=" SEQ Figure \* ARABIC ">
        <w:r>
          <w:rPr>
            <w:noProof/>
          </w:rPr>
          <w:t>3</w:t>
        </w:r>
      </w:fldSimple>
      <w:r>
        <w:t>.Literature Gaps</w:t>
      </w:r>
    </w:p>
    <w:p w14:paraId="5E527B0F" w14:textId="18DB78E2" w:rsidR="00080D2A" w:rsidRDefault="00080D2A" w:rsidP="00080D2A">
      <w:pPr>
        <w:pStyle w:val="Heading2"/>
        <w:numPr>
          <w:ilvl w:val="1"/>
          <w:numId w:val="21"/>
        </w:numPr>
      </w:pPr>
      <w:r>
        <w:lastRenderedPageBreak/>
        <w:t>Summary</w:t>
      </w:r>
    </w:p>
    <w:p w14:paraId="597A1D46" w14:textId="0290C073" w:rsidR="00A227B7" w:rsidRPr="00A227B7" w:rsidRDefault="00A227B7" w:rsidP="00A227B7">
      <w:pPr>
        <w:spacing w:line="360" w:lineRule="auto"/>
        <w:rPr>
          <w:rFonts w:ascii="Arial" w:hAnsi="Arial" w:cs="Arial"/>
          <w:sz w:val="22"/>
          <w:szCs w:val="22"/>
        </w:rPr>
      </w:pPr>
      <w:r w:rsidRPr="00A227B7">
        <w:rPr>
          <w:rFonts w:ascii="Arial" w:hAnsi="Arial" w:cs="Arial"/>
          <w:sz w:val="22"/>
          <w:szCs w:val="22"/>
        </w:rPr>
        <w:t>The literature demonstrates that workplace diversity and inclusion have the potential to improve organisational performance, particularly when supported by effective leadership and inclusive workplace cultures. However, the evidence also suggests that achieving these benefits depends on how diversity and inclusion initiatives are implemented in practice. The identified gaps provide a clear justification for this research and support further investigation into the relationship between diversity, inclusion, and organisational performance.</w:t>
      </w:r>
    </w:p>
    <w:p w14:paraId="03B3AAF4" w14:textId="4A4A76C9" w:rsidR="00216C60" w:rsidRPr="00364A9B" w:rsidRDefault="00216C60" w:rsidP="006F0DF2">
      <w:pPr>
        <w:pStyle w:val="Heading1"/>
        <w:numPr>
          <w:ilvl w:val="0"/>
          <w:numId w:val="8"/>
        </w:numPr>
        <w:rPr>
          <w:sz w:val="36"/>
          <w:szCs w:val="36"/>
        </w:rPr>
      </w:pPr>
      <w:r w:rsidRPr="00364A9B">
        <w:rPr>
          <w:sz w:val="36"/>
          <w:szCs w:val="36"/>
        </w:rPr>
        <w:t>Methodology:</w:t>
      </w:r>
    </w:p>
    <w:p w14:paraId="11D98528" w14:textId="3272A2AC" w:rsidR="00C23D46" w:rsidRDefault="00C23D46" w:rsidP="00C23D46">
      <w:pPr>
        <w:pStyle w:val="Heading2"/>
        <w:ind w:left="840"/>
      </w:pPr>
      <w:r>
        <w:t>3.1.</w:t>
      </w:r>
      <w:r w:rsidR="00B45BB0">
        <w:t xml:space="preserve"> Research Approach</w:t>
      </w:r>
    </w:p>
    <w:p w14:paraId="2F5B3699" w14:textId="60F4DE9D" w:rsidR="000B5408" w:rsidRPr="00364A9B" w:rsidRDefault="000B5408" w:rsidP="00364A9B">
      <w:pPr>
        <w:spacing w:line="360" w:lineRule="auto"/>
        <w:rPr>
          <w:rFonts w:ascii="Arial" w:hAnsi="Arial" w:cs="Arial"/>
          <w:sz w:val="22"/>
          <w:szCs w:val="22"/>
        </w:rPr>
      </w:pPr>
      <w:r w:rsidRPr="00364A9B">
        <w:rPr>
          <w:rFonts w:ascii="Arial" w:hAnsi="Arial" w:cs="Arial"/>
          <w:sz w:val="22"/>
          <w:szCs w:val="22"/>
        </w:rPr>
        <w:t>This study adopts a qualitative research approach. Qualitative research focuses on understanding experiences, perceptions, and meanings rather than numerical measurements (Creswell and Creswell, 201</w:t>
      </w:r>
      <w:r w:rsidR="00AA7445">
        <w:rPr>
          <w:rFonts w:ascii="Arial" w:hAnsi="Arial" w:cs="Arial"/>
          <w:sz w:val="22"/>
          <w:szCs w:val="22"/>
        </w:rPr>
        <w:t>7</w:t>
      </w:r>
      <w:r w:rsidRPr="00364A9B">
        <w:rPr>
          <w:rFonts w:ascii="Arial" w:hAnsi="Arial" w:cs="Arial"/>
          <w:sz w:val="22"/>
          <w:szCs w:val="22"/>
        </w:rPr>
        <w:t>). This approach is appropriate as it enables a deeper exploration of workplace diversity and inclusion and their impact on organisational performance.</w:t>
      </w:r>
    </w:p>
    <w:p w14:paraId="31E5A980" w14:textId="2EC15DDF" w:rsidR="00B57362" w:rsidRDefault="00B57362" w:rsidP="00B57362">
      <w:pPr>
        <w:pStyle w:val="Heading2"/>
        <w:ind w:left="840"/>
      </w:pPr>
      <w:r>
        <w:t>3.</w:t>
      </w:r>
      <w:r w:rsidR="00B45BB0">
        <w:t>2</w:t>
      </w:r>
      <w:r>
        <w:t>.</w:t>
      </w:r>
      <w:r w:rsidR="00B45BB0">
        <w:t xml:space="preserve"> Research Design</w:t>
      </w:r>
    </w:p>
    <w:p w14:paraId="2540BC28" w14:textId="3891218D" w:rsidR="000B5408" w:rsidRPr="00364A9B" w:rsidRDefault="000B5408" w:rsidP="00364A9B">
      <w:pPr>
        <w:spacing w:line="360" w:lineRule="auto"/>
        <w:rPr>
          <w:rFonts w:ascii="Arial" w:hAnsi="Arial" w:cs="Arial"/>
          <w:sz w:val="22"/>
          <w:szCs w:val="22"/>
        </w:rPr>
      </w:pPr>
      <w:r w:rsidRPr="00364A9B">
        <w:rPr>
          <w:rFonts w:ascii="Arial" w:hAnsi="Arial" w:cs="Arial"/>
          <w:sz w:val="22"/>
          <w:szCs w:val="22"/>
        </w:rPr>
        <w:t>The research employs a secondary research design, which involves the analysis of existing data rather than collecting information directly from participants. According to Bryman (2016), secondary research provides access to a wide range of academic and professional evidence, making it suitable for exploring contemporary business issues.</w:t>
      </w:r>
    </w:p>
    <w:p w14:paraId="06F11C24" w14:textId="24487184" w:rsidR="00B57362" w:rsidRDefault="00B57362" w:rsidP="00B57362">
      <w:pPr>
        <w:pStyle w:val="Heading2"/>
        <w:ind w:left="840"/>
      </w:pPr>
      <w:r>
        <w:t>3.</w:t>
      </w:r>
      <w:r w:rsidR="00B45BB0">
        <w:t>3</w:t>
      </w:r>
      <w:r>
        <w:t>.</w:t>
      </w:r>
      <w:r w:rsidR="00B45BB0">
        <w:t xml:space="preserve"> Data Collection</w:t>
      </w:r>
    </w:p>
    <w:p w14:paraId="43960D9C" w14:textId="5401D161" w:rsidR="00AE1EC2" w:rsidRPr="00364A9B" w:rsidRDefault="00AE1EC2" w:rsidP="00364A9B">
      <w:pPr>
        <w:spacing w:line="360" w:lineRule="auto"/>
        <w:rPr>
          <w:rFonts w:ascii="Arial" w:hAnsi="Arial" w:cs="Arial"/>
          <w:sz w:val="22"/>
          <w:szCs w:val="22"/>
        </w:rPr>
      </w:pPr>
      <w:r w:rsidRPr="00364A9B">
        <w:rPr>
          <w:rFonts w:ascii="Arial" w:hAnsi="Arial" w:cs="Arial"/>
          <w:sz w:val="22"/>
          <w:szCs w:val="22"/>
        </w:rPr>
        <w:t>Information is gathered from peer-reviewed journal articles, industry reports, and publications from recognised organisations. Sources are selected based on their relevance to workplace diversity, inclusion, and organisational performance, ensuring that the evidence used is credible, reliable, and up to date.</w:t>
      </w:r>
    </w:p>
    <w:p w14:paraId="7B0318F3" w14:textId="70B18760" w:rsidR="00B57362" w:rsidRDefault="00B57362" w:rsidP="00B57362">
      <w:pPr>
        <w:pStyle w:val="Heading2"/>
        <w:ind w:left="840"/>
      </w:pPr>
      <w:r>
        <w:t>3.</w:t>
      </w:r>
      <w:r w:rsidR="00B45BB0">
        <w:t>4</w:t>
      </w:r>
      <w:r>
        <w:t>.</w:t>
      </w:r>
      <w:r w:rsidR="00B45BB0">
        <w:t xml:space="preserve"> Sampling Strategy</w:t>
      </w:r>
    </w:p>
    <w:p w14:paraId="16AB98CC" w14:textId="2769FC26" w:rsidR="00DD792C" w:rsidRPr="00364A9B" w:rsidRDefault="00AE1EC2" w:rsidP="00364A9B">
      <w:pPr>
        <w:spacing w:line="360" w:lineRule="auto"/>
        <w:rPr>
          <w:rFonts w:ascii="Arial" w:hAnsi="Arial" w:cs="Arial"/>
          <w:sz w:val="22"/>
          <w:szCs w:val="22"/>
        </w:rPr>
      </w:pPr>
      <w:r w:rsidRPr="00364A9B">
        <w:rPr>
          <w:rFonts w:ascii="Arial" w:hAnsi="Arial" w:cs="Arial"/>
          <w:sz w:val="22"/>
          <w:szCs w:val="22"/>
        </w:rPr>
        <w:t xml:space="preserve">A purposive sampling strategy is used to identify sources that are most relevant to the research objectives. </w:t>
      </w:r>
      <w:r w:rsidR="005D1036" w:rsidRPr="00364A9B">
        <w:rPr>
          <w:rFonts w:ascii="Arial" w:hAnsi="Arial" w:cs="Arial"/>
          <w:sz w:val="22"/>
          <w:szCs w:val="22"/>
        </w:rPr>
        <w:t>Importance</w:t>
      </w:r>
      <w:r w:rsidRPr="00364A9B">
        <w:rPr>
          <w:rFonts w:ascii="Arial" w:hAnsi="Arial" w:cs="Arial"/>
          <w:sz w:val="22"/>
          <w:szCs w:val="22"/>
        </w:rPr>
        <w:t xml:space="preserve"> is placed on recent studies published between 2023 and 2025 to ensure that the findings reflect current developments in diversity and inclusion research, while also including some older studies to provide a contrast between new and old perspectives.</w:t>
      </w:r>
    </w:p>
    <w:p w14:paraId="18AC9228" w14:textId="2CB46C46" w:rsidR="00B57362" w:rsidRDefault="00B57362" w:rsidP="00B57362">
      <w:pPr>
        <w:pStyle w:val="Heading2"/>
        <w:ind w:left="840"/>
      </w:pPr>
      <w:r>
        <w:lastRenderedPageBreak/>
        <w:t>3.</w:t>
      </w:r>
      <w:r w:rsidR="003F2DA9">
        <w:t>5. Data Analysis</w:t>
      </w:r>
    </w:p>
    <w:p w14:paraId="3B4A9490" w14:textId="2B0C82B9" w:rsidR="00502303" w:rsidRPr="00502303" w:rsidRDefault="00502303" w:rsidP="00502303">
      <w:pPr>
        <w:spacing w:line="360" w:lineRule="auto"/>
        <w:rPr>
          <w:rFonts w:ascii="Arial" w:hAnsi="Arial" w:cs="Arial"/>
          <w:sz w:val="22"/>
          <w:szCs w:val="22"/>
        </w:rPr>
      </w:pPr>
      <w:r w:rsidRPr="00502303">
        <w:rPr>
          <w:rFonts w:ascii="Arial" w:hAnsi="Arial" w:cs="Arial"/>
          <w:sz w:val="22"/>
          <w:szCs w:val="22"/>
        </w:rPr>
        <w:t>The collected information is analysed using thematic analysis. According to Braun and Clarke (2006), thematic analysis enables researchers to identify and interpret recurring themes within qualitative data. This approach is appropriate for examining patterns relating to workplace diversity, inclusion, organisational performance, and implementation challenges</w:t>
      </w:r>
      <w:r w:rsidR="009253DA">
        <w:rPr>
          <w:rFonts w:ascii="Arial" w:hAnsi="Arial" w:cs="Arial"/>
          <w:sz w:val="22"/>
          <w:szCs w:val="22"/>
        </w:rPr>
        <w:t>.</w:t>
      </w:r>
    </w:p>
    <w:p w14:paraId="7D3F0739" w14:textId="4EF22A38" w:rsidR="003F2DA9" w:rsidRDefault="003F2DA9" w:rsidP="003F2DA9">
      <w:pPr>
        <w:pStyle w:val="Heading2"/>
        <w:ind w:left="840"/>
      </w:pPr>
      <w:r>
        <w:t>3.6. Research Ethics</w:t>
      </w:r>
    </w:p>
    <w:p w14:paraId="46B02A70" w14:textId="3EF5BCF7" w:rsidR="00DD792C" w:rsidRPr="00364A9B" w:rsidRDefault="00DD792C" w:rsidP="00364A9B">
      <w:pPr>
        <w:spacing w:line="360" w:lineRule="auto"/>
        <w:rPr>
          <w:rFonts w:ascii="Arial" w:hAnsi="Arial" w:cs="Arial"/>
          <w:sz w:val="22"/>
          <w:szCs w:val="22"/>
        </w:rPr>
      </w:pPr>
      <w:r w:rsidRPr="00364A9B">
        <w:rPr>
          <w:rFonts w:ascii="Arial" w:hAnsi="Arial" w:cs="Arial"/>
          <w:sz w:val="22"/>
          <w:szCs w:val="22"/>
        </w:rPr>
        <w:t>As the study relies entirely on secondary data, no human participants are involved. Ethical considerations focus on the accurate representation of findings, appropriate referencing, and the avoidance of plagiarism throughout the research process.</w:t>
      </w:r>
    </w:p>
    <w:p w14:paraId="3940BEC2" w14:textId="136E412D" w:rsidR="003F2DA9" w:rsidRDefault="003F2DA9" w:rsidP="003F2DA9">
      <w:pPr>
        <w:pStyle w:val="Heading2"/>
        <w:ind w:left="840"/>
      </w:pPr>
      <w:r>
        <w:t>3.7. Reliability and Validity</w:t>
      </w:r>
    </w:p>
    <w:p w14:paraId="2DBF9F2B" w14:textId="020361E2" w:rsidR="0064765D" w:rsidRPr="00364A9B" w:rsidRDefault="0064765D" w:rsidP="00364A9B">
      <w:pPr>
        <w:spacing w:line="360" w:lineRule="auto"/>
        <w:rPr>
          <w:rFonts w:ascii="Arial" w:hAnsi="Arial" w:cs="Arial"/>
          <w:sz w:val="22"/>
          <w:szCs w:val="22"/>
        </w:rPr>
      </w:pPr>
      <w:r w:rsidRPr="00364A9B">
        <w:rPr>
          <w:rFonts w:ascii="Arial" w:hAnsi="Arial" w:cs="Arial"/>
          <w:sz w:val="22"/>
          <w:szCs w:val="22"/>
        </w:rPr>
        <w:t>Reliability refers to the consistency of research findings, while validity concerns the extent to which the research accurately measures what it intends to investigate (Saunders, Lewis</w:t>
      </w:r>
      <w:r w:rsidR="00446DEC">
        <w:rPr>
          <w:rFonts w:ascii="Arial" w:hAnsi="Arial" w:cs="Arial"/>
          <w:sz w:val="22"/>
          <w:szCs w:val="22"/>
        </w:rPr>
        <w:t>,</w:t>
      </w:r>
      <w:r w:rsidRPr="00364A9B">
        <w:rPr>
          <w:rFonts w:ascii="Arial" w:hAnsi="Arial" w:cs="Arial"/>
          <w:sz w:val="22"/>
          <w:szCs w:val="22"/>
        </w:rPr>
        <w:t xml:space="preserve"> and Thornhill, 20</w:t>
      </w:r>
      <w:r w:rsidR="00B12B86">
        <w:rPr>
          <w:rFonts w:ascii="Arial" w:hAnsi="Arial" w:cs="Arial"/>
          <w:sz w:val="22"/>
          <w:szCs w:val="22"/>
        </w:rPr>
        <w:t>19</w:t>
      </w:r>
      <w:r w:rsidRPr="00364A9B">
        <w:rPr>
          <w:rFonts w:ascii="Arial" w:hAnsi="Arial" w:cs="Arial"/>
          <w:sz w:val="22"/>
          <w:szCs w:val="22"/>
        </w:rPr>
        <w:t>). To enhance both reliability and validity, the study draws upon peer-reviewed academic sources and reputable publications while comparing evidence from multiple sources.</w:t>
      </w:r>
    </w:p>
    <w:p w14:paraId="2042DA6F" w14:textId="4D3F4BAE" w:rsidR="00A93D7D" w:rsidRDefault="00A93D7D" w:rsidP="00A93D7D">
      <w:pPr>
        <w:pStyle w:val="Heading2"/>
        <w:ind w:left="840"/>
      </w:pPr>
      <w:r>
        <w:t>3.8. Project Timeline</w:t>
      </w:r>
    </w:p>
    <w:p w14:paraId="1408D525" w14:textId="77777777" w:rsidR="00B57362" w:rsidRPr="00B57362" w:rsidRDefault="00B57362" w:rsidP="00B57362"/>
    <w:p w14:paraId="60D61523" w14:textId="77777777" w:rsidR="00C23D46" w:rsidRDefault="00C23D46" w:rsidP="00C23D46">
      <w:pPr>
        <w:spacing w:line="360" w:lineRule="auto"/>
        <w:rPr>
          <w:rFonts w:ascii="Arial" w:hAnsi="Arial" w:cs="Arial"/>
          <w:sz w:val="22"/>
          <w:szCs w:val="22"/>
        </w:rPr>
      </w:pPr>
      <w:r w:rsidRPr="00A06DE0">
        <w:rPr>
          <w:rFonts w:ascii="Arial" w:hAnsi="Arial" w:cs="Arial"/>
          <w:sz w:val="22"/>
          <w:szCs w:val="22"/>
        </w:rPr>
        <w:t xml:space="preserve">The project will be completed over </w:t>
      </w:r>
      <w:r>
        <w:rPr>
          <w:rFonts w:ascii="Arial" w:hAnsi="Arial" w:cs="Arial"/>
          <w:sz w:val="22"/>
          <w:szCs w:val="22"/>
        </w:rPr>
        <w:t>six weeks</w:t>
      </w:r>
      <w:r w:rsidRPr="00A06DE0">
        <w:rPr>
          <w:rFonts w:ascii="Arial" w:hAnsi="Arial" w:cs="Arial"/>
          <w:sz w:val="22"/>
          <w:szCs w:val="22"/>
        </w:rPr>
        <w:t xml:space="preserve">. During the first week, the research topic will be finalised and the proposal completed. Weeks two and three will focus on conducting a comprehensive literature review and collecting relevant secondary data from academic journals, industry reports, and international organisations. In week four, the collected information will be analysed and organised into key themes. Week five will be dedicated to writing the findings, discussion, and conclusion sections. Finally, week six will focus on proofreading, editing, formatting, and preparing the </w:t>
      </w:r>
      <w:r>
        <w:rPr>
          <w:rFonts w:ascii="Arial" w:hAnsi="Arial" w:cs="Arial"/>
          <w:sz w:val="22"/>
          <w:szCs w:val="22"/>
        </w:rPr>
        <w:t>project</w:t>
      </w:r>
      <w:r w:rsidRPr="00A06DE0">
        <w:rPr>
          <w:rFonts w:ascii="Arial" w:hAnsi="Arial" w:cs="Arial"/>
          <w:sz w:val="22"/>
          <w:szCs w:val="22"/>
        </w:rPr>
        <w:t xml:space="preserve"> for submission.</w:t>
      </w:r>
    </w:p>
    <w:p w14:paraId="0FF5D61B" w14:textId="77777777" w:rsidR="00C23D46" w:rsidRDefault="00C23D46" w:rsidP="00C23D46">
      <w:pPr>
        <w:keepNext/>
        <w:spacing w:line="360" w:lineRule="auto"/>
      </w:pPr>
      <w:r>
        <w:rPr>
          <w:rFonts w:ascii="Arial" w:hAnsi="Arial" w:cs="Arial"/>
          <w:noProof/>
          <w:sz w:val="22"/>
          <w:szCs w:val="22"/>
          <w14:ligatures w14:val="standardContextual"/>
        </w:rPr>
        <w:lastRenderedPageBreak/>
        <w:drawing>
          <wp:inline distT="0" distB="0" distL="0" distR="0" wp14:anchorId="1D7EABB6" wp14:editId="2013C173">
            <wp:extent cx="5324463" cy="2645938"/>
            <wp:effectExtent l="0" t="0" r="0" b="2540"/>
            <wp:docPr id="18219984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98453" name="Picture 1821998453"/>
                    <pic:cNvPicPr/>
                  </pic:nvPicPr>
                  <pic:blipFill rotWithShape="1">
                    <a:blip r:embed="rId17">
                      <a:extLst>
                        <a:ext uri="{28A0092B-C50C-407E-A947-70E740481C1C}">
                          <a14:useLocalDpi xmlns:a14="http://schemas.microsoft.com/office/drawing/2010/main" val="0"/>
                        </a:ext>
                      </a:extLst>
                    </a:blip>
                    <a:srcRect l="488"/>
                    <a:stretch>
                      <a:fillRect/>
                    </a:stretch>
                  </pic:blipFill>
                  <pic:spPr bwMode="auto">
                    <a:xfrm>
                      <a:off x="0" y="0"/>
                      <a:ext cx="5461308" cy="2713942"/>
                    </a:xfrm>
                    <a:prstGeom prst="rect">
                      <a:avLst/>
                    </a:prstGeom>
                    <a:ln>
                      <a:noFill/>
                    </a:ln>
                    <a:extLst>
                      <a:ext uri="{53640926-AAD7-44D8-BBD7-CCE9431645EC}">
                        <a14:shadowObscured xmlns:a14="http://schemas.microsoft.com/office/drawing/2010/main"/>
                      </a:ext>
                    </a:extLst>
                  </pic:spPr>
                </pic:pic>
              </a:graphicData>
            </a:graphic>
          </wp:inline>
        </w:drawing>
      </w:r>
    </w:p>
    <w:p w14:paraId="2DCB1DED" w14:textId="4B17B749" w:rsidR="00BD44FD" w:rsidRPr="00D75DED" w:rsidRDefault="00C23D46" w:rsidP="00D75DED">
      <w:pPr>
        <w:pStyle w:val="Caption"/>
        <w:rPr>
          <w:rFonts w:ascii="Arial" w:hAnsi="Arial" w:cs="Arial"/>
          <w:sz w:val="22"/>
          <w:szCs w:val="22"/>
        </w:rPr>
      </w:pPr>
      <w:r>
        <w:t xml:space="preserve">Figure </w:t>
      </w:r>
      <w:fldSimple w:instr=" SEQ Figure \* ARABIC ">
        <w:r w:rsidR="001E617F">
          <w:rPr>
            <w:noProof/>
          </w:rPr>
          <w:t>4</w:t>
        </w:r>
      </w:fldSimple>
      <w:r>
        <w:t>.Gantt Chart</w:t>
      </w:r>
    </w:p>
    <w:p w14:paraId="768B4AAC" w14:textId="4E314ECC" w:rsidR="000E7F28" w:rsidRDefault="00216C60" w:rsidP="000E7F28">
      <w:pPr>
        <w:pStyle w:val="Heading1"/>
        <w:numPr>
          <w:ilvl w:val="0"/>
          <w:numId w:val="8"/>
        </w:numPr>
      </w:pPr>
      <w:r>
        <w:t>Result</w:t>
      </w:r>
      <w:r w:rsidR="008A7002">
        <w:t>s</w:t>
      </w:r>
      <w:r>
        <w:t xml:space="preserve"> and </w:t>
      </w:r>
      <w:r w:rsidR="009C23E5">
        <w:t>A</w:t>
      </w:r>
      <w:r>
        <w:t>nalysis</w:t>
      </w:r>
    </w:p>
    <w:p w14:paraId="5941D911" w14:textId="1E2F94FA" w:rsidR="000E7F28" w:rsidRPr="000E7F28" w:rsidRDefault="000E7F28" w:rsidP="000B2334">
      <w:pPr>
        <w:spacing w:line="360" w:lineRule="auto"/>
        <w:rPr>
          <w:rFonts w:ascii="Arial" w:hAnsi="Arial" w:cs="Arial"/>
          <w:sz w:val="22"/>
          <w:szCs w:val="22"/>
        </w:rPr>
      </w:pPr>
      <w:r w:rsidRPr="000E7F28">
        <w:rPr>
          <w:rFonts w:ascii="Arial" w:hAnsi="Arial" w:cs="Arial"/>
          <w:sz w:val="22"/>
          <w:szCs w:val="22"/>
        </w:rPr>
        <w:t>The analysis examines the relationship between workplace diversity, inclusion, and organisational performance by identifying key themes within the existing literature. It explores the factors that support successful implementation, as well as the challenges organisations face when creating inclusive workplaces. By comparing evidence from academic studies and industry reports, the research identifies common patterns and differing perspectives, providing a broader understanding of the topic from a global perspective.</w:t>
      </w:r>
    </w:p>
    <w:p w14:paraId="20539917" w14:textId="414105E0" w:rsidR="00826C6A" w:rsidRDefault="00510194" w:rsidP="008C4FE5">
      <w:pPr>
        <w:pStyle w:val="Heading1"/>
      </w:pPr>
      <w:r>
        <w:t>5.</w:t>
      </w:r>
      <w:r w:rsidR="008C4FE5">
        <w:t xml:space="preserve"> </w:t>
      </w:r>
      <w:r w:rsidR="00216C60">
        <w:t>Discussion</w:t>
      </w:r>
      <w:r w:rsidR="00836517">
        <w:t xml:space="preserve"> and </w:t>
      </w:r>
      <w:r w:rsidR="009C23E5">
        <w:t>C</w:t>
      </w:r>
      <w:r w:rsidR="008C4FE5">
        <w:t>onclusion</w:t>
      </w:r>
    </w:p>
    <w:p w14:paraId="0132B8EC" w14:textId="38748DAC" w:rsidR="00041662" w:rsidRPr="00041662" w:rsidRDefault="00041662" w:rsidP="00041662">
      <w:pPr>
        <w:spacing w:line="360" w:lineRule="auto"/>
        <w:rPr>
          <w:rFonts w:ascii="Arial" w:hAnsi="Arial" w:cs="Arial"/>
          <w:sz w:val="22"/>
          <w:szCs w:val="22"/>
        </w:rPr>
      </w:pPr>
      <w:r w:rsidRPr="00041662">
        <w:rPr>
          <w:rFonts w:ascii="Arial" w:hAnsi="Arial" w:cs="Arial"/>
          <w:sz w:val="22"/>
          <w:szCs w:val="22"/>
        </w:rPr>
        <w:t>The research contributes to a better understanding of workplace diversity and inclusion by bringing together evidence from different academic and professional sources. It highlights the importance of creating inclusive workplaces and identifies factors that may influence the success of diversity and inclusion initiatives. The findings are expected to support organisations in developing more informed strategies while identifying areas where further research is needed.</w:t>
      </w:r>
    </w:p>
    <w:p w14:paraId="3CBB97A7" w14:textId="28E55676" w:rsidR="00374831" w:rsidRPr="00011E8C" w:rsidRDefault="00374831" w:rsidP="00FC20B1">
      <w:pPr>
        <w:spacing w:line="360" w:lineRule="auto"/>
        <w:rPr>
          <w:rFonts w:ascii="Arial" w:hAnsi="Arial" w:cs="Arial"/>
          <w:b/>
          <w:bCs/>
          <w:sz w:val="22"/>
          <w:szCs w:val="22"/>
        </w:rPr>
      </w:pPr>
      <w:r w:rsidRPr="00011E8C">
        <w:rPr>
          <w:rFonts w:ascii="Arial" w:hAnsi="Arial" w:cs="Arial"/>
          <w:b/>
          <w:bCs/>
          <w:sz w:val="22"/>
          <w:szCs w:val="22"/>
        </w:rPr>
        <w:t>Business Relevance</w:t>
      </w:r>
    </w:p>
    <w:p w14:paraId="6AD08340" w14:textId="7FE0E91F" w:rsidR="00CC5850" w:rsidRPr="00D75DED" w:rsidRDefault="00CC5850" w:rsidP="00D75DED">
      <w:pPr>
        <w:spacing w:line="360" w:lineRule="auto"/>
        <w:rPr>
          <w:rFonts w:ascii="Arial" w:hAnsi="Arial" w:cs="Arial"/>
          <w:sz w:val="22"/>
          <w:szCs w:val="22"/>
        </w:rPr>
      </w:pPr>
      <w:r w:rsidRPr="00CC5850">
        <w:rPr>
          <w:rFonts w:ascii="Arial" w:hAnsi="Arial" w:cs="Arial"/>
          <w:sz w:val="22"/>
          <w:szCs w:val="22"/>
        </w:rPr>
        <w:t>Workplace diversity and inclusion continue to be important priorities for organisations operating in increasingly diverse environments. The research may support decision-making in areas such as recruitment, leadership development, and workplace culture, while helping organisations develop more inclusive practices. It also demonstrates how secondary data can be used to investigate a contemporary business issue and contribute to applied business research.</w:t>
      </w:r>
    </w:p>
    <w:p w14:paraId="5598A794" w14:textId="77777777" w:rsidR="00CC5850" w:rsidRDefault="00CC5850" w:rsidP="00446DEC"/>
    <w:p w14:paraId="5155B0D8" w14:textId="77777777" w:rsidR="00CC5850" w:rsidRDefault="00CC5850" w:rsidP="00446DEC"/>
    <w:p w14:paraId="14A9FDAA" w14:textId="23B24A1E" w:rsidR="00C87B07" w:rsidRDefault="00C87B07" w:rsidP="000D7F28">
      <w:pPr>
        <w:pStyle w:val="ListParagraph"/>
        <w:numPr>
          <w:ilvl w:val="0"/>
          <w:numId w:val="7"/>
        </w:numPr>
        <w:spacing w:line="360" w:lineRule="auto"/>
        <w:rPr>
          <w:rFonts w:ascii="Arial" w:hAnsi="Arial" w:cs="Arial"/>
          <w:sz w:val="22"/>
          <w:szCs w:val="22"/>
        </w:rPr>
      </w:pPr>
    </w:p>
    <w:sectPr w:rsidR="00C87B07" w:rsidSect="00862B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59622" w14:textId="77777777" w:rsidR="00D24312" w:rsidRDefault="00D24312" w:rsidP="00184787">
      <w:r>
        <w:separator/>
      </w:r>
    </w:p>
  </w:endnote>
  <w:endnote w:type="continuationSeparator" w:id="0">
    <w:p w14:paraId="7314A066" w14:textId="77777777" w:rsidR="00D24312" w:rsidRDefault="00D24312" w:rsidP="00184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B0ADA" w14:textId="77777777" w:rsidR="00D24312" w:rsidRDefault="00D24312" w:rsidP="00184787">
      <w:r>
        <w:separator/>
      </w:r>
    </w:p>
  </w:footnote>
  <w:footnote w:type="continuationSeparator" w:id="0">
    <w:p w14:paraId="30738AC4" w14:textId="77777777" w:rsidR="00D24312" w:rsidRDefault="00D24312" w:rsidP="001847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1024"/>
    <w:multiLevelType w:val="multilevel"/>
    <w:tmpl w:val="CCD0E168"/>
    <w:lvl w:ilvl="0">
      <w:start w:val="2"/>
      <w:numFmt w:val="decimal"/>
      <w:lvlText w:val="%1"/>
      <w:lvlJc w:val="left"/>
      <w:pPr>
        <w:ind w:left="405" w:hanging="405"/>
      </w:pPr>
      <w:rPr>
        <w:rFonts w:hint="default"/>
      </w:rPr>
    </w:lvl>
    <w:lvl w:ilvl="1">
      <w:start w:val="5"/>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1" w15:restartNumberingAfterBreak="0">
    <w:nsid w:val="061E6802"/>
    <w:multiLevelType w:val="hybridMultilevel"/>
    <w:tmpl w:val="C6D455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BB2C45"/>
    <w:multiLevelType w:val="multilevel"/>
    <w:tmpl w:val="152C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C1FC8"/>
    <w:multiLevelType w:val="multilevel"/>
    <w:tmpl w:val="ED740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2440F"/>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5645CC8"/>
    <w:multiLevelType w:val="multilevel"/>
    <w:tmpl w:val="42205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8192B"/>
    <w:multiLevelType w:val="hybridMultilevel"/>
    <w:tmpl w:val="88AE1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F68DB"/>
    <w:multiLevelType w:val="multilevel"/>
    <w:tmpl w:val="D1564872"/>
    <w:lvl w:ilvl="0">
      <w:start w:val="2"/>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235B7B"/>
    <w:multiLevelType w:val="hybridMultilevel"/>
    <w:tmpl w:val="AE16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7670E"/>
    <w:multiLevelType w:val="multilevel"/>
    <w:tmpl w:val="7E667922"/>
    <w:lvl w:ilvl="0">
      <w:start w:val="2"/>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39F35FE5"/>
    <w:multiLevelType w:val="hybridMultilevel"/>
    <w:tmpl w:val="7AE89BCA"/>
    <w:lvl w:ilvl="0" w:tplc="DF484D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526024"/>
    <w:multiLevelType w:val="multilevel"/>
    <w:tmpl w:val="1B8C1F9C"/>
    <w:lvl w:ilvl="0">
      <w:start w:val="2"/>
      <w:numFmt w:val="decimal"/>
      <w:lvlText w:val="%1"/>
      <w:lvlJc w:val="left"/>
      <w:pPr>
        <w:ind w:left="405" w:hanging="405"/>
      </w:pPr>
      <w:rPr>
        <w:rFonts w:hint="default"/>
      </w:rPr>
    </w:lvl>
    <w:lvl w:ilvl="1">
      <w:start w:val="1"/>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12" w15:restartNumberingAfterBreak="0">
    <w:nsid w:val="54F22168"/>
    <w:multiLevelType w:val="hybridMultilevel"/>
    <w:tmpl w:val="79E27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C4728F"/>
    <w:multiLevelType w:val="multilevel"/>
    <w:tmpl w:val="547C7D54"/>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5857C35"/>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9553E10"/>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95A6A9D"/>
    <w:multiLevelType w:val="multilevel"/>
    <w:tmpl w:val="4AECD708"/>
    <w:lvl w:ilvl="0">
      <w:start w:val="2"/>
      <w:numFmt w:val="decimal"/>
      <w:lvlText w:val="%1"/>
      <w:lvlJc w:val="left"/>
      <w:pPr>
        <w:ind w:left="720" w:hanging="360"/>
      </w:pPr>
      <w:rPr>
        <w:rFonts w:hint="default"/>
      </w:rPr>
    </w:lvl>
    <w:lvl w:ilvl="1">
      <w:start w:val="1"/>
      <w:numFmt w:val="decimal"/>
      <w:isLgl/>
      <w:lvlText w:val="%1.%2."/>
      <w:lvlJc w:val="left"/>
      <w:pPr>
        <w:ind w:left="915" w:hanging="55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6A8259A6"/>
    <w:multiLevelType w:val="multilevel"/>
    <w:tmpl w:val="21842F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0C09E0"/>
    <w:multiLevelType w:val="multilevel"/>
    <w:tmpl w:val="012A1922"/>
    <w:lvl w:ilvl="0">
      <w:start w:val="2"/>
      <w:numFmt w:val="decimal"/>
      <w:lvlText w:val="%1"/>
      <w:lvlJc w:val="left"/>
      <w:pPr>
        <w:ind w:left="405" w:hanging="405"/>
      </w:pPr>
      <w:rPr>
        <w:rFonts w:hint="default"/>
      </w:rPr>
    </w:lvl>
    <w:lvl w:ilvl="1">
      <w:start w:val="5"/>
      <w:numFmt w:val="decimal"/>
      <w:lvlText w:val="%1.%2"/>
      <w:lvlJc w:val="left"/>
      <w:pPr>
        <w:ind w:left="960" w:hanging="72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400" w:hanging="144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840" w:hanging="2160"/>
      </w:pPr>
      <w:rPr>
        <w:rFonts w:hint="default"/>
      </w:rPr>
    </w:lvl>
    <w:lvl w:ilvl="8">
      <w:start w:val="1"/>
      <w:numFmt w:val="decimal"/>
      <w:lvlText w:val="%1.%2.%3.%4.%5.%6.%7.%8.%9"/>
      <w:lvlJc w:val="left"/>
      <w:pPr>
        <w:ind w:left="4080" w:hanging="2160"/>
      </w:pPr>
      <w:rPr>
        <w:rFonts w:hint="default"/>
      </w:rPr>
    </w:lvl>
  </w:abstractNum>
  <w:abstractNum w:abstractNumId="19" w15:restartNumberingAfterBreak="0">
    <w:nsid w:val="70967F6C"/>
    <w:multiLevelType w:val="multilevel"/>
    <w:tmpl w:val="713C8608"/>
    <w:lvl w:ilvl="0">
      <w:start w:val="2"/>
      <w:numFmt w:val="decimal"/>
      <w:lvlText w:val="%1."/>
      <w:lvlJc w:val="left"/>
      <w:pPr>
        <w:ind w:left="480" w:hanging="48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0" w15:restartNumberingAfterBreak="0">
    <w:nsid w:val="78343260"/>
    <w:multiLevelType w:val="multilevel"/>
    <w:tmpl w:val="B0C03A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B33D78"/>
    <w:multiLevelType w:val="multilevel"/>
    <w:tmpl w:val="CEBA4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AB4A27"/>
    <w:multiLevelType w:val="multilevel"/>
    <w:tmpl w:val="EA94A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4B2204"/>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808791434">
    <w:abstractNumId w:val="21"/>
  </w:num>
  <w:num w:numId="2" w16cid:durableId="537553415">
    <w:abstractNumId w:val="5"/>
  </w:num>
  <w:num w:numId="3" w16cid:durableId="514535202">
    <w:abstractNumId w:val="3"/>
  </w:num>
  <w:num w:numId="4" w16cid:durableId="358435324">
    <w:abstractNumId w:val="17"/>
  </w:num>
  <w:num w:numId="5" w16cid:durableId="1402170133">
    <w:abstractNumId w:val="20"/>
  </w:num>
  <w:num w:numId="6" w16cid:durableId="554313280">
    <w:abstractNumId w:val="22"/>
  </w:num>
  <w:num w:numId="7" w16cid:durableId="881093934">
    <w:abstractNumId w:val="12"/>
  </w:num>
  <w:num w:numId="8" w16cid:durableId="2001303042">
    <w:abstractNumId w:val="15"/>
  </w:num>
  <w:num w:numId="9" w16cid:durableId="319038870">
    <w:abstractNumId w:val="8"/>
  </w:num>
  <w:num w:numId="10" w16cid:durableId="1545018636">
    <w:abstractNumId w:val="4"/>
  </w:num>
  <w:num w:numId="11" w16cid:durableId="1464884823">
    <w:abstractNumId w:val="14"/>
  </w:num>
  <w:num w:numId="12" w16cid:durableId="970132648">
    <w:abstractNumId w:val="16"/>
  </w:num>
  <w:num w:numId="13" w16cid:durableId="255677973">
    <w:abstractNumId w:val="11"/>
  </w:num>
  <w:num w:numId="14" w16cid:durableId="802771423">
    <w:abstractNumId w:val="13"/>
  </w:num>
  <w:num w:numId="15" w16cid:durableId="952590783">
    <w:abstractNumId w:val="2"/>
  </w:num>
  <w:num w:numId="16" w16cid:durableId="1269775768">
    <w:abstractNumId w:val="6"/>
  </w:num>
  <w:num w:numId="17" w16cid:durableId="1150681504">
    <w:abstractNumId w:val="19"/>
  </w:num>
  <w:num w:numId="18" w16cid:durableId="1941451121">
    <w:abstractNumId w:val="0"/>
  </w:num>
  <w:num w:numId="19" w16cid:durableId="1635865936">
    <w:abstractNumId w:val="7"/>
  </w:num>
  <w:num w:numId="20" w16cid:durableId="1110274924">
    <w:abstractNumId w:val="18"/>
  </w:num>
  <w:num w:numId="21" w16cid:durableId="637951125">
    <w:abstractNumId w:val="9"/>
  </w:num>
  <w:num w:numId="22" w16cid:durableId="1427966925">
    <w:abstractNumId w:val="1"/>
  </w:num>
  <w:num w:numId="23" w16cid:durableId="1541165638">
    <w:abstractNumId w:val="23"/>
  </w:num>
  <w:num w:numId="24" w16cid:durableId="15772768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8C"/>
    <w:rsid w:val="00010E6C"/>
    <w:rsid w:val="00011E8C"/>
    <w:rsid w:val="00014799"/>
    <w:rsid w:val="000174D6"/>
    <w:rsid w:val="00021088"/>
    <w:rsid w:val="0002481B"/>
    <w:rsid w:val="00026932"/>
    <w:rsid w:val="00032AC7"/>
    <w:rsid w:val="00041662"/>
    <w:rsid w:val="00050AA6"/>
    <w:rsid w:val="00054BEF"/>
    <w:rsid w:val="00054C4C"/>
    <w:rsid w:val="00061FF6"/>
    <w:rsid w:val="0006278C"/>
    <w:rsid w:val="00075F15"/>
    <w:rsid w:val="00080D2A"/>
    <w:rsid w:val="000A1A78"/>
    <w:rsid w:val="000B2334"/>
    <w:rsid w:val="000B5408"/>
    <w:rsid w:val="000C120C"/>
    <w:rsid w:val="000C7952"/>
    <w:rsid w:val="000D2431"/>
    <w:rsid w:val="000D4FBD"/>
    <w:rsid w:val="000D7F28"/>
    <w:rsid w:val="000E2A9C"/>
    <w:rsid w:val="000E7F28"/>
    <w:rsid w:val="000F00B8"/>
    <w:rsid w:val="000F7669"/>
    <w:rsid w:val="0010738D"/>
    <w:rsid w:val="001147BD"/>
    <w:rsid w:val="00130A24"/>
    <w:rsid w:val="001343C3"/>
    <w:rsid w:val="00135CE9"/>
    <w:rsid w:val="00155F60"/>
    <w:rsid w:val="00184787"/>
    <w:rsid w:val="00187125"/>
    <w:rsid w:val="00195BBA"/>
    <w:rsid w:val="001B6FC4"/>
    <w:rsid w:val="001D13F7"/>
    <w:rsid w:val="001D272B"/>
    <w:rsid w:val="001E0778"/>
    <w:rsid w:val="001E4C37"/>
    <w:rsid w:val="001E617F"/>
    <w:rsid w:val="001E6E59"/>
    <w:rsid w:val="001E7D5A"/>
    <w:rsid w:val="00200B76"/>
    <w:rsid w:val="002041E1"/>
    <w:rsid w:val="00210F2D"/>
    <w:rsid w:val="00216C60"/>
    <w:rsid w:val="00233BC4"/>
    <w:rsid w:val="002504AE"/>
    <w:rsid w:val="00257053"/>
    <w:rsid w:val="002648E5"/>
    <w:rsid w:val="00281902"/>
    <w:rsid w:val="00282EC6"/>
    <w:rsid w:val="002B23E7"/>
    <w:rsid w:val="002B5461"/>
    <w:rsid w:val="002C0E82"/>
    <w:rsid w:val="002C6367"/>
    <w:rsid w:val="002D0798"/>
    <w:rsid w:val="002E254E"/>
    <w:rsid w:val="002E276D"/>
    <w:rsid w:val="002E426C"/>
    <w:rsid w:val="002E7FEA"/>
    <w:rsid w:val="00314ECB"/>
    <w:rsid w:val="00355F1C"/>
    <w:rsid w:val="00364A9B"/>
    <w:rsid w:val="003670C0"/>
    <w:rsid w:val="0037282D"/>
    <w:rsid w:val="003736E6"/>
    <w:rsid w:val="00374831"/>
    <w:rsid w:val="00377D5A"/>
    <w:rsid w:val="0038233A"/>
    <w:rsid w:val="003925A6"/>
    <w:rsid w:val="00393B6A"/>
    <w:rsid w:val="00395C3F"/>
    <w:rsid w:val="003966FE"/>
    <w:rsid w:val="003976B1"/>
    <w:rsid w:val="003A125D"/>
    <w:rsid w:val="003C0B98"/>
    <w:rsid w:val="003E2968"/>
    <w:rsid w:val="003E4F35"/>
    <w:rsid w:val="003F01B8"/>
    <w:rsid w:val="003F2DA9"/>
    <w:rsid w:val="00404FC7"/>
    <w:rsid w:val="00424290"/>
    <w:rsid w:val="004249B3"/>
    <w:rsid w:val="004255FA"/>
    <w:rsid w:val="00426714"/>
    <w:rsid w:val="00426A4A"/>
    <w:rsid w:val="00431340"/>
    <w:rsid w:val="00436414"/>
    <w:rsid w:val="004435D9"/>
    <w:rsid w:val="00446DEC"/>
    <w:rsid w:val="004743FE"/>
    <w:rsid w:val="00493C31"/>
    <w:rsid w:val="0049424F"/>
    <w:rsid w:val="004A180D"/>
    <w:rsid w:val="004A4DC3"/>
    <w:rsid w:val="004B6514"/>
    <w:rsid w:val="004C1710"/>
    <w:rsid w:val="004C799E"/>
    <w:rsid w:val="004D5206"/>
    <w:rsid w:val="004D7151"/>
    <w:rsid w:val="004F5A6E"/>
    <w:rsid w:val="004F5AA6"/>
    <w:rsid w:val="004F6786"/>
    <w:rsid w:val="005000DB"/>
    <w:rsid w:val="00502303"/>
    <w:rsid w:val="00504D44"/>
    <w:rsid w:val="00510194"/>
    <w:rsid w:val="0053744B"/>
    <w:rsid w:val="005374EC"/>
    <w:rsid w:val="005A5662"/>
    <w:rsid w:val="005B0080"/>
    <w:rsid w:val="005B1E4C"/>
    <w:rsid w:val="005B4F6B"/>
    <w:rsid w:val="005B5D5B"/>
    <w:rsid w:val="005B7D8C"/>
    <w:rsid w:val="005C43D8"/>
    <w:rsid w:val="005D1036"/>
    <w:rsid w:val="005D300A"/>
    <w:rsid w:val="005F22AB"/>
    <w:rsid w:val="00617F8E"/>
    <w:rsid w:val="00632AFA"/>
    <w:rsid w:val="0063497B"/>
    <w:rsid w:val="0064765D"/>
    <w:rsid w:val="0066192B"/>
    <w:rsid w:val="0067289E"/>
    <w:rsid w:val="00675EF2"/>
    <w:rsid w:val="006863A4"/>
    <w:rsid w:val="006A3A0F"/>
    <w:rsid w:val="006E742E"/>
    <w:rsid w:val="006F0DF2"/>
    <w:rsid w:val="00751BC3"/>
    <w:rsid w:val="007606A7"/>
    <w:rsid w:val="007721F6"/>
    <w:rsid w:val="00785755"/>
    <w:rsid w:val="007901BA"/>
    <w:rsid w:val="00794537"/>
    <w:rsid w:val="007A154C"/>
    <w:rsid w:val="007B02AD"/>
    <w:rsid w:val="007B7107"/>
    <w:rsid w:val="007B7CCF"/>
    <w:rsid w:val="007E24D8"/>
    <w:rsid w:val="007E36E6"/>
    <w:rsid w:val="007E5A9F"/>
    <w:rsid w:val="007E63FC"/>
    <w:rsid w:val="007F06B0"/>
    <w:rsid w:val="007F5DD0"/>
    <w:rsid w:val="008140FF"/>
    <w:rsid w:val="00822FA5"/>
    <w:rsid w:val="00826C6A"/>
    <w:rsid w:val="00826D21"/>
    <w:rsid w:val="00834E34"/>
    <w:rsid w:val="00835189"/>
    <w:rsid w:val="00836517"/>
    <w:rsid w:val="0086042A"/>
    <w:rsid w:val="00860715"/>
    <w:rsid w:val="00862B75"/>
    <w:rsid w:val="00864FE5"/>
    <w:rsid w:val="0087180F"/>
    <w:rsid w:val="008747C0"/>
    <w:rsid w:val="008A66B9"/>
    <w:rsid w:val="008A7002"/>
    <w:rsid w:val="008B1C24"/>
    <w:rsid w:val="008B2FA0"/>
    <w:rsid w:val="008B6D69"/>
    <w:rsid w:val="008C4FE5"/>
    <w:rsid w:val="008D3653"/>
    <w:rsid w:val="0090582D"/>
    <w:rsid w:val="00905906"/>
    <w:rsid w:val="009232B6"/>
    <w:rsid w:val="009253DA"/>
    <w:rsid w:val="00927286"/>
    <w:rsid w:val="00934008"/>
    <w:rsid w:val="00936340"/>
    <w:rsid w:val="00936B9F"/>
    <w:rsid w:val="009449AF"/>
    <w:rsid w:val="00944A0C"/>
    <w:rsid w:val="00946082"/>
    <w:rsid w:val="0095188B"/>
    <w:rsid w:val="0096515E"/>
    <w:rsid w:val="00965217"/>
    <w:rsid w:val="00987090"/>
    <w:rsid w:val="00995237"/>
    <w:rsid w:val="009B288C"/>
    <w:rsid w:val="009B4E72"/>
    <w:rsid w:val="009B5BD4"/>
    <w:rsid w:val="009C181E"/>
    <w:rsid w:val="009C23E5"/>
    <w:rsid w:val="009C3A77"/>
    <w:rsid w:val="009C7606"/>
    <w:rsid w:val="009E2CEA"/>
    <w:rsid w:val="009E6BAB"/>
    <w:rsid w:val="00A045B9"/>
    <w:rsid w:val="00A0603B"/>
    <w:rsid w:val="00A06DE0"/>
    <w:rsid w:val="00A10FEF"/>
    <w:rsid w:val="00A227B7"/>
    <w:rsid w:val="00A5322B"/>
    <w:rsid w:val="00A66BB2"/>
    <w:rsid w:val="00A80E93"/>
    <w:rsid w:val="00A91C6B"/>
    <w:rsid w:val="00A93D7D"/>
    <w:rsid w:val="00AA32A8"/>
    <w:rsid w:val="00AA7445"/>
    <w:rsid w:val="00AC04A6"/>
    <w:rsid w:val="00AD5676"/>
    <w:rsid w:val="00AE1EC2"/>
    <w:rsid w:val="00B00A39"/>
    <w:rsid w:val="00B045D9"/>
    <w:rsid w:val="00B1174C"/>
    <w:rsid w:val="00B12B86"/>
    <w:rsid w:val="00B214DA"/>
    <w:rsid w:val="00B36E69"/>
    <w:rsid w:val="00B45BB0"/>
    <w:rsid w:val="00B521AE"/>
    <w:rsid w:val="00B57362"/>
    <w:rsid w:val="00B57482"/>
    <w:rsid w:val="00B601CE"/>
    <w:rsid w:val="00B62FCD"/>
    <w:rsid w:val="00B7061A"/>
    <w:rsid w:val="00B71055"/>
    <w:rsid w:val="00B72E14"/>
    <w:rsid w:val="00B7346F"/>
    <w:rsid w:val="00B8036E"/>
    <w:rsid w:val="00BD1A7B"/>
    <w:rsid w:val="00BD44FD"/>
    <w:rsid w:val="00BF37D0"/>
    <w:rsid w:val="00BF5C83"/>
    <w:rsid w:val="00C055DF"/>
    <w:rsid w:val="00C10A46"/>
    <w:rsid w:val="00C203AA"/>
    <w:rsid w:val="00C23D46"/>
    <w:rsid w:val="00C321A0"/>
    <w:rsid w:val="00C558A2"/>
    <w:rsid w:val="00C57805"/>
    <w:rsid w:val="00C669E6"/>
    <w:rsid w:val="00C73540"/>
    <w:rsid w:val="00C87B07"/>
    <w:rsid w:val="00C952B1"/>
    <w:rsid w:val="00CA627B"/>
    <w:rsid w:val="00CB65E8"/>
    <w:rsid w:val="00CB703D"/>
    <w:rsid w:val="00CC2D24"/>
    <w:rsid w:val="00CC3C34"/>
    <w:rsid w:val="00CC5546"/>
    <w:rsid w:val="00CC5850"/>
    <w:rsid w:val="00CD5707"/>
    <w:rsid w:val="00CF24D9"/>
    <w:rsid w:val="00CF3F93"/>
    <w:rsid w:val="00CF664A"/>
    <w:rsid w:val="00D00144"/>
    <w:rsid w:val="00D03CB3"/>
    <w:rsid w:val="00D059D0"/>
    <w:rsid w:val="00D07C40"/>
    <w:rsid w:val="00D13393"/>
    <w:rsid w:val="00D20FC2"/>
    <w:rsid w:val="00D24312"/>
    <w:rsid w:val="00D326A1"/>
    <w:rsid w:val="00D447A6"/>
    <w:rsid w:val="00D45214"/>
    <w:rsid w:val="00D75DED"/>
    <w:rsid w:val="00D77BDB"/>
    <w:rsid w:val="00D902E5"/>
    <w:rsid w:val="00D975BF"/>
    <w:rsid w:val="00DB722B"/>
    <w:rsid w:val="00DC009E"/>
    <w:rsid w:val="00DC689D"/>
    <w:rsid w:val="00DD792C"/>
    <w:rsid w:val="00DE1261"/>
    <w:rsid w:val="00DE67FD"/>
    <w:rsid w:val="00DE7B20"/>
    <w:rsid w:val="00DF20F2"/>
    <w:rsid w:val="00DF2A06"/>
    <w:rsid w:val="00DF4406"/>
    <w:rsid w:val="00DF602B"/>
    <w:rsid w:val="00E14B46"/>
    <w:rsid w:val="00E20EF6"/>
    <w:rsid w:val="00E4495A"/>
    <w:rsid w:val="00E465FC"/>
    <w:rsid w:val="00E5278D"/>
    <w:rsid w:val="00E634E9"/>
    <w:rsid w:val="00E63D8E"/>
    <w:rsid w:val="00E71BC5"/>
    <w:rsid w:val="00E82A6A"/>
    <w:rsid w:val="00E83D2F"/>
    <w:rsid w:val="00E87566"/>
    <w:rsid w:val="00E90D91"/>
    <w:rsid w:val="00E94F76"/>
    <w:rsid w:val="00E95F2F"/>
    <w:rsid w:val="00EB6B87"/>
    <w:rsid w:val="00EF0BF7"/>
    <w:rsid w:val="00F029C4"/>
    <w:rsid w:val="00F04560"/>
    <w:rsid w:val="00F3727E"/>
    <w:rsid w:val="00F41B59"/>
    <w:rsid w:val="00F45BC2"/>
    <w:rsid w:val="00F64951"/>
    <w:rsid w:val="00F662A8"/>
    <w:rsid w:val="00F83371"/>
    <w:rsid w:val="00F8595C"/>
    <w:rsid w:val="00F9027B"/>
    <w:rsid w:val="00F934EB"/>
    <w:rsid w:val="00FA4017"/>
    <w:rsid w:val="00FA7AC1"/>
    <w:rsid w:val="00FA7ACB"/>
    <w:rsid w:val="00FA7C75"/>
    <w:rsid w:val="00FB1DED"/>
    <w:rsid w:val="00FB305B"/>
    <w:rsid w:val="00FB560D"/>
    <w:rsid w:val="00FB56E3"/>
    <w:rsid w:val="00FC0F2A"/>
    <w:rsid w:val="00FC20B1"/>
    <w:rsid w:val="00FD67C2"/>
    <w:rsid w:val="00FE409E"/>
    <w:rsid w:val="00FE4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6A9D2"/>
  <w15:chartTrackingRefBased/>
  <w15:docId w15:val="{ED07A064-C909-47BA-9E24-4D5CCA8F5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05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B2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2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8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8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8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8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2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88C"/>
    <w:rPr>
      <w:rFonts w:eastAsiaTheme="majorEastAsia" w:cstheme="majorBidi"/>
      <w:color w:val="272727" w:themeColor="text1" w:themeTint="D8"/>
    </w:rPr>
  </w:style>
  <w:style w:type="paragraph" w:styleId="Title">
    <w:name w:val="Title"/>
    <w:basedOn w:val="Normal"/>
    <w:next w:val="Normal"/>
    <w:link w:val="TitleChar"/>
    <w:uiPriority w:val="10"/>
    <w:qFormat/>
    <w:rsid w:val="009B28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88C"/>
    <w:pPr>
      <w:spacing w:before="160"/>
      <w:jc w:val="center"/>
    </w:pPr>
    <w:rPr>
      <w:i/>
      <w:iCs/>
      <w:color w:val="404040" w:themeColor="text1" w:themeTint="BF"/>
    </w:rPr>
  </w:style>
  <w:style w:type="character" w:customStyle="1" w:styleId="QuoteChar">
    <w:name w:val="Quote Char"/>
    <w:basedOn w:val="DefaultParagraphFont"/>
    <w:link w:val="Quote"/>
    <w:uiPriority w:val="29"/>
    <w:rsid w:val="009B288C"/>
    <w:rPr>
      <w:i/>
      <w:iCs/>
      <w:color w:val="404040" w:themeColor="text1" w:themeTint="BF"/>
    </w:rPr>
  </w:style>
  <w:style w:type="paragraph" w:styleId="ListParagraph">
    <w:name w:val="List Paragraph"/>
    <w:basedOn w:val="Normal"/>
    <w:uiPriority w:val="34"/>
    <w:qFormat/>
    <w:rsid w:val="009B288C"/>
    <w:pPr>
      <w:ind w:left="720"/>
      <w:contextualSpacing/>
    </w:pPr>
  </w:style>
  <w:style w:type="character" w:styleId="IntenseEmphasis">
    <w:name w:val="Intense Emphasis"/>
    <w:basedOn w:val="DefaultParagraphFont"/>
    <w:uiPriority w:val="21"/>
    <w:qFormat/>
    <w:rsid w:val="009B288C"/>
    <w:rPr>
      <w:i/>
      <w:iCs/>
      <w:color w:val="0F4761" w:themeColor="accent1" w:themeShade="BF"/>
    </w:rPr>
  </w:style>
  <w:style w:type="paragraph" w:styleId="IntenseQuote">
    <w:name w:val="Intense Quote"/>
    <w:basedOn w:val="Normal"/>
    <w:next w:val="Normal"/>
    <w:link w:val="IntenseQuoteChar"/>
    <w:uiPriority w:val="30"/>
    <w:qFormat/>
    <w:rsid w:val="009B2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88C"/>
    <w:rPr>
      <w:i/>
      <w:iCs/>
      <w:color w:val="0F4761" w:themeColor="accent1" w:themeShade="BF"/>
    </w:rPr>
  </w:style>
  <w:style w:type="character" w:styleId="IntenseReference">
    <w:name w:val="Intense Reference"/>
    <w:basedOn w:val="DefaultParagraphFont"/>
    <w:uiPriority w:val="32"/>
    <w:qFormat/>
    <w:rsid w:val="009B288C"/>
    <w:rPr>
      <w:b/>
      <w:bCs/>
      <w:smallCaps/>
      <w:color w:val="0F4761" w:themeColor="accent1" w:themeShade="BF"/>
      <w:spacing w:val="5"/>
    </w:rPr>
  </w:style>
  <w:style w:type="paragraph" w:customStyle="1" w:styleId="isselectedend">
    <w:name w:val="isselectedend"/>
    <w:basedOn w:val="Normal"/>
    <w:rsid w:val="00FA7AC1"/>
    <w:pPr>
      <w:spacing w:before="100" w:beforeAutospacing="1" w:after="100" w:afterAutospacing="1"/>
    </w:pPr>
    <w:rPr>
      <w:sz w:val="24"/>
      <w:szCs w:val="24"/>
    </w:rPr>
  </w:style>
  <w:style w:type="paragraph" w:styleId="NormalWeb">
    <w:name w:val="Normal (Web)"/>
    <w:basedOn w:val="Normal"/>
    <w:uiPriority w:val="99"/>
    <w:semiHidden/>
    <w:unhideWhenUsed/>
    <w:rsid w:val="00FA7AC1"/>
    <w:pPr>
      <w:spacing w:before="100" w:beforeAutospacing="1" w:after="100" w:afterAutospacing="1"/>
    </w:pPr>
    <w:rPr>
      <w:sz w:val="24"/>
      <w:szCs w:val="24"/>
    </w:rPr>
  </w:style>
  <w:style w:type="character" w:styleId="Hyperlink">
    <w:name w:val="Hyperlink"/>
    <w:basedOn w:val="DefaultParagraphFont"/>
    <w:uiPriority w:val="99"/>
    <w:unhideWhenUsed/>
    <w:rsid w:val="00E4495A"/>
    <w:rPr>
      <w:color w:val="467886" w:themeColor="hyperlink"/>
      <w:u w:val="single"/>
    </w:rPr>
  </w:style>
  <w:style w:type="character" w:styleId="UnresolvedMention">
    <w:name w:val="Unresolved Mention"/>
    <w:basedOn w:val="DefaultParagraphFont"/>
    <w:uiPriority w:val="99"/>
    <w:semiHidden/>
    <w:unhideWhenUsed/>
    <w:rsid w:val="00E4495A"/>
    <w:rPr>
      <w:color w:val="605E5C"/>
      <w:shd w:val="clear" w:color="auto" w:fill="E1DFDD"/>
    </w:rPr>
  </w:style>
  <w:style w:type="paragraph" w:styleId="Caption">
    <w:name w:val="caption"/>
    <w:basedOn w:val="Normal"/>
    <w:next w:val="Normal"/>
    <w:uiPriority w:val="35"/>
    <w:unhideWhenUsed/>
    <w:qFormat/>
    <w:rsid w:val="00C055DF"/>
    <w:pPr>
      <w:spacing w:after="200"/>
    </w:pPr>
    <w:rPr>
      <w:i/>
      <w:iCs/>
      <w:color w:val="0E2841" w:themeColor="text2"/>
      <w:sz w:val="18"/>
      <w:szCs w:val="18"/>
    </w:rPr>
  </w:style>
  <w:style w:type="paragraph" w:styleId="NoSpacing">
    <w:name w:val="No Spacing"/>
    <w:link w:val="NoSpacingChar"/>
    <w:uiPriority w:val="1"/>
    <w:qFormat/>
    <w:rsid w:val="007E5A9F"/>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7E5A9F"/>
    <w:rPr>
      <w:color w:val="0E2841" w:themeColor="text2"/>
      <w:kern w:val="0"/>
      <w:sz w:val="20"/>
      <w:szCs w:val="20"/>
      <w:lang w:val="en-US"/>
      <w14:ligatures w14:val="none"/>
    </w:rPr>
  </w:style>
  <w:style w:type="paragraph" w:styleId="Header">
    <w:name w:val="header"/>
    <w:basedOn w:val="Normal"/>
    <w:link w:val="HeaderChar"/>
    <w:uiPriority w:val="99"/>
    <w:unhideWhenUsed/>
    <w:rsid w:val="00184787"/>
    <w:pPr>
      <w:tabs>
        <w:tab w:val="center" w:pos="4513"/>
        <w:tab w:val="right" w:pos="9026"/>
      </w:tabs>
    </w:pPr>
  </w:style>
  <w:style w:type="character" w:customStyle="1" w:styleId="HeaderChar">
    <w:name w:val="Header Char"/>
    <w:basedOn w:val="DefaultParagraphFont"/>
    <w:link w:val="Header"/>
    <w:uiPriority w:val="99"/>
    <w:rsid w:val="00184787"/>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84787"/>
    <w:pPr>
      <w:tabs>
        <w:tab w:val="center" w:pos="4513"/>
        <w:tab w:val="right" w:pos="9026"/>
      </w:tabs>
    </w:pPr>
  </w:style>
  <w:style w:type="character" w:customStyle="1" w:styleId="FooterChar">
    <w:name w:val="Footer Char"/>
    <w:basedOn w:val="DefaultParagraphFont"/>
    <w:link w:val="Footer"/>
    <w:uiPriority w:val="99"/>
    <w:rsid w:val="00184787"/>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054C4C"/>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54C4C"/>
    <w:pPr>
      <w:spacing w:after="100"/>
    </w:pPr>
  </w:style>
  <w:style w:type="paragraph" w:styleId="TOC2">
    <w:name w:val="toc 2"/>
    <w:basedOn w:val="Normal"/>
    <w:next w:val="Normal"/>
    <w:autoRedefine/>
    <w:uiPriority w:val="39"/>
    <w:unhideWhenUsed/>
    <w:rsid w:val="00054C4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efiks.com/2019/11/11/race-and-ethnicity-prediction-in-keras/" TargetMode="External"/><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Global Gender Gap Trend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Global Gender Gap Closed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Sheet1!$B$2:$B$10</c:f>
              <c:numCache>
                <c:formatCode>General</c:formatCode>
                <c:ptCount val="9"/>
                <c:pt idx="0">
                  <c:v>2006</c:v>
                </c:pt>
                <c:pt idx="1">
                  <c:v>2010</c:v>
                </c:pt>
                <c:pt idx="2">
                  <c:v>2015</c:v>
                </c:pt>
                <c:pt idx="3">
                  <c:v>2020</c:v>
                </c:pt>
                <c:pt idx="4">
                  <c:v>2021</c:v>
                </c:pt>
                <c:pt idx="5">
                  <c:v>2022</c:v>
                </c:pt>
                <c:pt idx="6">
                  <c:v>2023</c:v>
                </c:pt>
                <c:pt idx="7">
                  <c:v>2024</c:v>
                </c:pt>
                <c:pt idx="8">
                  <c:v>2025</c:v>
                </c:pt>
              </c:numCache>
            </c:numRef>
          </c:xVal>
          <c:yVal>
            <c:numRef>
              <c:f>Sheet1!$C$2:$C$10</c:f>
              <c:numCache>
                <c:formatCode>General</c:formatCode>
                <c:ptCount val="9"/>
                <c:pt idx="0">
                  <c:v>64.3</c:v>
                </c:pt>
                <c:pt idx="1">
                  <c:v>65</c:v>
                </c:pt>
                <c:pt idx="2">
                  <c:v>68</c:v>
                </c:pt>
                <c:pt idx="3">
                  <c:v>68.599999999999994</c:v>
                </c:pt>
                <c:pt idx="4">
                  <c:v>67.7</c:v>
                </c:pt>
                <c:pt idx="5">
                  <c:v>68.099999999999994</c:v>
                </c:pt>
                <c:pt idx="6">
                  <c:v>68.400000000000006</c:v>
                </c:pt>
                <c:pt idx="7">
                  <c:v>68.5</c:v>
                </c:pt>
                <c:pt idx="8">
                  <c:v>68.8</c:v>
                </c:pt>
              </c:numCache>
            </c:numRef>
          </c:yVal>
          <c:smooth val="0"/>
          <c:extLst>
            <c:ext xmlns:c16="http://schemas.microsoft.com/office/drawing/2014/chart" uri="{C3380CC4-5D6E-409C-BE32-E72D297353CC}">
              <c16:uniqueId val="{00000000-EB31-42D4-88E3-BD1CEA4F3358}"/>
            </c:ext>
          </c:extLst>
        </c:ser>
        <c:dLbls>
          <c:showLegendKey val="0"/>
          <c:showVal val="0"/>
          <c:showCatName val="0"/>
          <c:showSerName val="0"/>
          <c:showPercent val="0"/>
          <c:showBubbleSize val="0"/>
        </c:dLbls>
        <c:axId val="2136938975"/>
        <c:axId val="231681167"/>
      </c:scatterChart>
      <c:valAx>
        <c:axId val="21369389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681167"/>
        <c:crosses val="autoZero"/>
        <c:crossBetween val="midCat"/>
        <c:majorUnit val="1"/>
      </c:valAx>
      <c:valAx>
        <c:axId val="231681167"/>
        <c:scaling>
          <c:orientation val="minMax"/>
          <c:max val="100"/>
          <c:min val="64"/>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6938975"/>
        <c:crosses val="autoZero"/>
        <c:crossBetween val="midCat"/>
        <c:majorUnit val="2"/>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E23D95-62C5-47FB-98AA-2EA21264BEB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656C298B-7E00-44F8-B342-016A937E18B4}">
      <dgm:prSet phldrT="[Text]"/>
      <dgm:spPr/>
      <dgm:t>
        <a:bodyPr/>
        <a:lstStyle/>
        <a:p>
          <a:r>
            <a:rPr lang="en-GB"/>
            <a:t>Chapter I-Introduction</a:t>
          </a:r>
        </a:p>
      </dgm:t>
    </dgm:pt>
    <dgm:pt modelId="{3FD64050-2882-4B92-AC48-32AADB8B910F}" type="parTrans" cxnId="{C7209E14-D9FC-459A-BF8C-42A5BA4EA5F5}">
      <dgm:prSet/>
      <dgm:spPr/>
      <dgm:t>
        <a:bodyPr/>
        <a:lstStyle/>
        <a:p>
          <a:endParaRPr lang="en-GB"/>
        </a:p>
      </dgm:t>
    </dgm:pt>
    <dgm:pt modelId="{3ACBBB33-0199-49C6-B687-158BECAA2982}" type="sibTrans" cxnId="{C7209E14-D9FC-459A-BF8C-42A5BA4EA5F5}">
      <dgm:prSet/>
      <dgm:spPr/>
      <dgm:t>
        <a:bodyPr/>
        <a:lstStyle/>
        <a:p>
          <a:endParaRPr lang="en-GB"/>
        </a:p>
      </dgm:t>
    </dgm:pt>
    <dgm:pt modelId="{5085C91F-0F59-4B7A-AFCF-48D925E86A60}">
      <dgm:prSet phldrT="[Text]"/>
      <dgm:spPr/>
      <dgm:t>
        <a:bodyPr/>
        <a:lstStyle/>
        <a:p>
          <a:r>
            <a:rPr lang="en-GB"/>
            <a:t>Background to workplace diversity and inclusion</a:t>
          </a:r>
        </a:p>
      </dgm:t>
    </dgm:pt>
    <dgm:pt modelId="{41248293-06E5-49BB-AE08-8F3F8B888ED0}" type="parTrans" cxnId="{EED7B725-EAF1-4DC3-B0E7-00F8C0B5689C}">
      <dgm:prSet/>
      <dgm:spPr/>
      <dgm:t>
        <a:bodyPr/>
        <a:lstStyle/>
        <a:p>
          <a:endParaRPr lang="en-GB"/>
        </a:p>
      </dgm:t>
    </dgm:pt>
    <dgm:pt modelId="{E0FB6361-FB4A-43E5-8C97-DB2C7D530645}" type="sibTrans" cxnId="{EED7B725-EAF1-4DC3-B0E7-00F8C0B5689C}">
      <dgm:prSet/>
      <dgm:spPr/>
      <dgm:t>
        <a:bodyPr/>
        <a:lstStyle/>
        <a:p>
          <a:endParaRPr lang="en-GB"/>
        </a:p>
      </dgm:t>
    </dgm:pt>
    <dgm:pt modelId="{2FE7AC3D-7F58-4D88-ACAB-37078F8EB148}">
      <dgm:prSet phldrT="[Text]"/>
      <dgm:spPr/>
      <dgm:t>
        <a:bodyPr/>
        <a:lstStyle/>
        <a:p>
          <a:r>
            <a:rPr lang="en-GB"/>
            <a:t>Chapter III-Methodology</a:t>
          </a:r>
        </a:p>
      </dgm:t>
    </dgm:pt>
    <dgm:pt modelId="{F65B5368-E72D-4189-82F6-35D724F4EE62}" type="parTrans" cxnId="{48C94909-5D9F-45BA-AAD2-F52936DF47AA}">
      <dgm:prSet/>
      <dgm:spPr/>
      <dgm:t>
        <a:bodyPr/>
        <a:lstStyle/>
        <a:p>
          <a:endParaRPr lang="en-GB"/>
        </a:p>
      </dgm:t>
    </dgm:pt>
    <dgm:pt modelId="{F04A14F1-4463-4C31-A4C4-E61CC953DDEA}" type="sibTrans" cxnId="{48C94909-5D9F-45BA-AAD2-F52936DF47AA}">
      <dgm:prSet/>
      <dgm:spPr/>
      <dgm:t>
        <a:bodyPr/>
        <a:lstStyle/>
        <a:p>
          <a:endParaRPr lang="en-GB"/>
        </a:p>
      </dgm:t>
    </dgm:pt>
    <dgm:pt modelId="{5940D6DE-96BF-4176-B02E-E881716D311B}">
      <dgm:prSet phldrT="[Text]"/>
      <dgm:spPr/>
      <dgm:t>
        <a:bodyPr/>
        <a:lstStyle/>
        <a:p>
          <a:r>
            <a:rPr lang="en-GB"/>
            <a:t>Research design</a:t>
          </a:r>
        </a:p>
      </dgm:t>
    </dgm:pt>
    <dgm:pt modelId="{CEFF57B4-F0EA-4B79-B8B0-346BE1AA0A9E}" type="parTrans" cxnId="{1DA9BF95-99BC-4943-AE36-743537CED470}">
      <dgm:prSet/>
      <dgm:spPr/>
      <dgm:t>
        <a:bodyPr/>
        <a:lstStyle/>
        <a:p>
          <a:endParaRPr lang="en-GB"/>
        </a:p>
      </dgm:t>
    </dgm:pt>
    <dgm:pt modelId="{E938E9D9-AD50-4BE3-BC86-78518063A0EA}" type="sibTrans" cxnId="{1DA9BF95-99BC-4943-AE36-743537CED470}">
      <dgm:prSet/>
      <dgm:spPr/>
      <dgm:t>
        <a:bodyPr/>
        <a:lstStyle/>
        <a:p>
          <a:endParaRPr lang="en-GB"/>
        </a:p>
      </dgm:t>
    </dgm:pt>
    <dgm:pt modelId="{78E4B596-5137-4FAF-A0BF-84CBEEF5D88F}">
      <dgm:prSet phldrT="[Text]"/>
      <dgm:spPr/>
      <dgm:t>
        <a:bodyPr/>
        <a:lstStyle/>
        <a:p>
          <a:r>
            <a:rPr lang="en-GB"/>
            <a:t>Data collection methods</a:t>
          </a:r>
        </a:p>
      </dgm:t>
    </dgm:pt>
    <dgm:pt modelId="{5B61D6D8-EE8B-4BFF-8CC9-5A2BF4687274}" type="parTrans" cxnId="{182A0C08-9085-4A6D-838B-1A72FCBE5BCC}">
      <dgm:prSet/>
      <dgm:spPr/>
      <dgm:t>
        <a:bodyPr/>
        <a:lstStyle/>
        <a:p>
          <a:endParaRPr lang="en-GB"/>
        </a:p>
      </dgm:t>
    </dgm:pt>
    <dgm:pt modelId="{581B5F8D-FEFC-4C53-B1E0-256650A9E1E9}" type="sibTrans" cxnId="{182A0C08-9085-4A6D-838B-1A72FCBE5BCC}">
      <dgm:prSet/>
      <dgm:spPr/>
      <dgm:t>
        <a:bodyPr/>
        <a:lstStyle/>
        <a:p>
          <a:endParaRPr lang="en-GB"/>
        </a:p>
      </dgm:t>
    </dgm:pt>
    <dgm:pt modelId="{6F91C02B-57C3-4C85-9D8E-709C2146D205}">
      <dgm:prSet phldrT="[Text]"/>
      <dgm:spPr/>
      <dgm:t>
        <a:bodyPr/>
        <a:lstStyle/>
        <a:p>
          <a:r>
            <a:rPr lang="en-GB"/>
            <a:t>Chapter V-Discussion and Conclusion</a:t>
          </a:r>
        </a:p>
      </dgm:t>
    </dgm:pt>
    <dgm:pt modelId="{01DBD7D7-4BC8-4C39-8C79-E910B6E1B56B}" type="parTrans" cxnId="{142EABA2-1A4B-406C-9B8A-41D121054F7B}">
      <dgm:prSet/>
      <dgm:spPr/>
      <dgm:t>
        <a:bodyPr/>
        <a:lstStyle/>
        <a:p>
          <a:endParaRPr lang="en-GB"/>
        </a:p>
      </dgm:t>
    </dgm:pt>
    <dgm:pt modelId="{8B6CFFFB-7026-469B-8A17-929F4D768349}" type="sibTrans" cxnId="{142EABA2-1A4B-406C-9B8A-41D121054F7B}">
      <dgm:prSet/>
      <dgm:spPr/>
      <dgm:t>
        <a:bodyPr/>
        <a:lstStyle/>
        <a:p>
          <a:endParaRPr lang="en-GB"/>
        </a:p>
      </dgm:t>
    </dgm:pt>
    <dgm:pt modelId="{46820393-5A61-4242-8ABB-80E625A0EF84}">
      <dgm:prSet phldrT="[Text]"/>
      <dgm:spPr/>
      <dgm:t>
        <a:bodyPr/>
        <a:lstStyle/>
        <a:p>
          <a:r>
            <a:rPr lang="en-GB"/>
            <a:t>Summary findings</a:t>
          </a:r>
        </a:p>
      </dgm:t>
    </dgm:pt>
    <dgm:pt modelId="{62C84E0B-E80D-4DB7-9387-CDE02A6F109A}" type="parTrans" cxnId="{C7D55A0C-F747-489A-9106-D798473CFB44}">
      <dgm:prSet/>
      <dgm:spPr/>
      <dgm:t>
        <a:bodyPr/>
        <a:lstStyle/>
        <a:p>
          <a:endParaRPr lang="en-GB"/>
        </a:p>
      </dgm:t>
    </dgm:pt>
    <dgm:pt modelId="{BCB96A32-E60F-45B2-A60E-D794A2F4A1F4}" type="sibTrans" cxnId="{C7D55A0C-F747-489A-9106-D798473CFB44}">
      <dgm:prSet/>
      <dgm:spPr/>
      <dgm:t>
        <a:bodyPr/>
        <a:lstStyle/>
        <a:p>
          <a:endParaRPr lang="en-GB"/>
        </a:p>
      </dgm:t>
    </dgm:pt>
    <dgm:pt modelId="{4A24A219-EC75-4560-9BA3-AAC515F58844}">
      <dgm:prSet phldrT="[Text]"/>
      <dgm:spPr/>
      <dgm:t>
        <a:bodyPr/>
        <a:lstStyle/>
        <a:p>
          <a:r>
            <a:rPr lang="en-GB"/>
            <a:t>Recomendation for practice </a:t>
          </a:r>
        </a:p>
      </dgm:t>
    </dgm:pt>
    <dgm:pt modelId="{CED70B70-7A09-4068-9400-98662F45C1D3}" type="parTrans" cxnId="{38E403FE-F6E4-461B-935E-A159F20906DE}">
      <dgm:prSet/>
      <dgm:spPr/>
      <dgm:t>
        <a:bodyPr/>
        <a:lstStyle/>
        <a:p>
          <a:endParaRPr lang="en-GB"/>
        </a:p>
      </dgm:t>
    </dgm:pt>
    <dgm:pt modelId="{D566CE2B-6567-43EB-AC60-14187C7A02F4}" type="sibTrans" cxnId="{38E403FE-F6E4-461B-935E-A159F20906DE}">
      <dgm:prSet/>
      <dgm:spPr/>
      <dgm:t>
        <a:bodyPr/>
        <a:lstStyle/>
        <a:p>
          <a:endParaRPr lang="en-GB"/>
        </a:p>
      </dgm:t>
    </dgm:pt>
    <dgm:pt modelId="{FAD5D2E3-07FF-48E4-BB16-D7100DEDB60D}">
      <dgm:prSet phldrT="[Text]"/>
      <dgm:spPr/>
      <dgm:t>
        <a:bodyPr/>
        <a:lstStyle/>
        <a:p>
          <a:r>
            <a:rPr lang="en-GB"/>
            <a:t>Chapter II-Literature review</a:t>
          </a:r>
        </a:p>
      </dgm:t>
    </dgm:pt>
    <dgm:pt modelId="{18A9BD7C-45DA-45B0-89C3-88427D882347}" type="parTrans" cxnId="{EA2ABA36-C050-43F4-89EC-1F666ADE8C09}">
      <dgm:prSet/>
      <dgm:spPr/>
      <dgm:t>
        <a:bodyPr/>
        <a:lstStyle/>
        <a:p>
          <a:endParaRPr lang="en-GB"/>
        </a:p>
      </dgm:t>
    </dgm:pt>
    <dgm:pt modelId="{8AC212E5-B43F-4E44-835C-3060C6F20DC5}" type="sibTrans" cxnId="{EA2ABA36-C050-43F4-89EC-1F666ADE8C09}">
      <dgm:prSet/>
      <dgm:spPr/>
      <dgm:t>
        <a:bodyPr/>
        <a:lstStyle/>
        <a:p>
          <a:endParaRPr lang="en-GB"/>
        </a:p>
      </dgm:t>
    </dgm:pt>
    <dgm:pt modelId="{3A2A00F8-CDE6-4F23-A30C-E55ACB1D2D5F}">
      <dgm:prSet phldrT="[Text]"/>
      <dgm:spPr/>
      <dgm:t>
        <a:bodyPr/>
        <a:lstStyle/>
        <a:p>
          <a:r>
            <a:rPr lang="en-GB"/>
            <a:t>Chapter IV-Results and analysis</a:t>
          </a:r>
        </a:p>
      </dgm:t>
    </dgm:pt>
    <dgm:pt modelId="{898E9E53-5DF0-4FF3-BA36-FE0E65B72A16}" type="parTrans" cxnId="{2458CEC6-F754-4D70-A97C-62507AE24FC4}">
      <dgm:prSet/>
      <dgm:spPr/>
      <dgm:t>
        <a:bodyPr/>
        <a:lstStyle/>
        <a:p>
          <a:endParaRPr lang="en-GB"/>
        </a:p>
      </dgm:t>
    </dgm:pt>
    <dgm:pt modelId="{6E30F798-FE87-4722-892E-E9694B773132}" type="sibTrans" cxnId="{2458CEC6-F754-4D70-A97C-62507AE24FC4}">
      <dgm:prSet/>
      <dgm:spPr/>
      <dgm:t>
        <a:bodyPr/>
        <a:lstStyle/>
        <a:p>
          <a:endParaRPr lang="en-GB"/>
        </a:p>
      </dgm:t>
    </dgm:pt>
    <dgm:pt modelId="{70C45CD1-3D0B-48BE-92B3-6F4364A0ED66}">
      <dgm:prSet phldrT="[Text]"/>
      <dgm:spPr/>
      <dgm:t>
        <a:bodyPr/>
        <a:lstStyle/>
        <a:p>
          <a:r>
            <a:rPr lang="en-GB"/>
            <a:t>Problem statment</a:t>
          </a:r>
        </a:p>
      </dgm:t>
    </dgm:pt>
    <dgm:pt modelId="{0BBCF062-4782-4387-A646-510F6D07409B}" type="parTrans" cxnId="{B781F626-75AF-4923-933F-58ACE16E975D}">
      <dgm:prSet/>
      <dgm:spPr/>
      <dgm:t>
        <a:bodyPr/>
        <a:lstStyle/>
        <a:p>
          <a:endParaRPr lang="en-GB"/>
        </a:p>
      </dgm:t>
    </dgm:pt>
    <dgm:pt modelId="{76AF62F7-BE34-4F9E-908B-8EBB631918B7}" type="sibTrans" cxnId="{B781F626-75AF-4923-933F-58ACE16E975D}">
      <dgm:prSet/>
      <dgm:spPr/>
      <dgm:t>
        <a:bodyPr/>
        <a:lstStyle/>
        <a:p>
          <a:endParaRPr lang="en-GB"/>
        </a:p>
      </dgm:t>
    </dgm:pt>
    <dgm:pt modelId="{0FCFDBDD-7BF1-4230-91E5-102B75ED758B}">
      <dgm:prSet phldrT="[Text]"/>
      <dgm:spPr/>
      <dgm:t>
        <a:bodyPr/>
        <a:lstStyle/>
        <a:p>
          <a:r>
            <a:rPr lang="en-GB"/>
            <a:t>Research topic</a:t>
          </a:r>
        </a:p>
      </dgm:t>
    </dgm:pt>
    <dgm:pt modelId="{073DFA01-F2AD-413A-9F1D-F84CF309C163}" type="parTrans" cxnId="{67608AB8-6736-421C-A1FD-48CFE7D94CC8}">
      <dgm:prSet/>
      <dgm:spPr/>
      <dgm:t>
        <a:bodyPr/>
        <a:lstStyle/>
        <a:p>
          <a:endParaRPr lang="en-GB"/>
        </a:p>
      </dgm:t>
    </dgm:pt>
    <dgm:pt modelId="{E4EC6B29-A0DC-466F-BD45-0B46325377A2}" type="sibTrans" cxnId="{67608AB8-6736-421C-A1FD-48CFE7D94CC8}">
      <dgm:prSet/>
      <dgm:spPr/>
      <dgm:t>
        <a:bodyPr/>
        <a:lstStyle/>
        <a:p>
          <a:endParaRPr lang="en-GB"/>
        </a:p>
      </dgm:t>
    </dgm:pt>
    <dgm:pt modelId="{6D8CC7F7-5E28-4584-88F7-BA6118B2DBCC}">
      <dgm:prSet phldrT="[Text]"/>
      <dgm:spPr/>
      <dgm:t>
        <a:bodyPr/>
        <a:lstStyle/>
        <a:p>
          <a:r>
            <a:rPr lang="en-GB"/>
            <a:t>Aim, objectives and questions</a:t>
          </a:r>
        </a:p>
      </dgm:t>
    </dgm:pt>
    <dgm:pt modelId="{7F3F262C-B853-4684-8373-CFBE8B8217EF}" type="parTrans" cxnId="{4D62740B-6FA5-4483-AF78-B2A05508446C}">
      <dgm:prSet/>
      <dgm:spPr/>
      <dgm:t>
        <a:bodyPr/>
        <a:lstStyle/>
        <a:p>
          <a:endParaRPr lang="en-GB"/>
        </a:p>
      </dgm:t>
    </dgm:pt>
    <dgm:pt modelId="{AF2EB487-49CE-40DD-B3CC-5670E6F1CD49}" type="sibTrans" cxnId="{4D62740B-6FA5-4483-AF78-B2A05508446C}">
      <dgm:prSet/>
      <dgm:spPr/>
      <dgm:t>
        <a:bodyPr/>
        <a:lstStyle/>
        <a:p>
          <a:endParaRPr lang="en-GB"/>
        </a:p>
      </dgm:t>
    </dgm:pt>
    <dgm:pt modelId="{1B359760-E942-44A6-8964-5997A0802A14}">
      <dgm:prSet phldrT="[Text]"/>
      <dgm:spPr/>
      <dgm:t>
        <a:bodyPr/>
        <a:lstStyle/>
        <a:p>
          <a:r>
            <a:rPr lang="en-GB"/>
            <a:t>Proposal</a:t>
          </a:r>
        </a:p>
      </dgm:t>
    </dgm:pt>
    <dgm:pt modelId="{A736DAA2-9CDF-4D46-8F01-6532348EA4FB}" type="parTrans" cxnId="{449D23DF-6FE8-47D1-A009-4E057FF34473}">
      <dgm:prSet/>
      <dgm:spPr/>
      <dgm:t>
        <a:bodyPr/>
        <a:lstStyle/>
        <a:p>
          <a:endParaRPr lang="en-GB"/>
        </a:p>
      </dgm:t>
    </dgm:pt>
    <dgm:pt modelId="{55C9E6F8-BC8B-4F50-AE13-E76A7949E2D8}" type="sibTrans" cxnId="{449D23DF-6FE8-47D1-A009-4E057FF34473}">
      <dgm:prSet/>
      <dgm:spPr/>
      <dgm:t>
        <a:bodyPr/>
        <a:lstStyle/>
        <a:p>
          <a:endParaRPr lang="en-GB"/>
        </a:p>
      </dgm:t>
    </dgm:pt>
    <dgm:pt modelId="{66355B51-7CB6-4355-80AC-9E6ECC76D542}">
      <dgm:prSet/>
      <dgm:spPr/>
      <dgm:t>
        <a:bodyPr/>
        <a:lstStyle/>
        <a:p>
          <a:r>
            <a:rPr lang="en-GB"/>
            <a:t>Diversity and inclusion concepts</a:t>
          </a:r>
        </a:p>
      </dgm:t>
    </dgm:pt>
    <dgm:pt modelId="{6DF24541-F9B4-4159-A0BE-D1071BCCD22D}" type="parTrans" cxnId="{ACFAA55E-DEC1-4DB7-A6C2-A1CAE6E391C0}">
      <dgm:prSet/>
      <dgm:spPr/>
      <dgm:t>
        <a:bodyPr/>
        <a:lstStyle/>
        <a:p>
          <a:endParaRPr lang="en-GB"/>
        </a:p>
      </dgm:t>
    </dgm:pt>
    <dgm:pt modelId="{0DD29B25-FA49-4537-A3C0-B28E827C1E54}" type="sibTrans" cxnId="{ACFAA55E-DEC1-4DB7-A6C2-A1CAE6E391C0}">
      <dgm:prSet/>
      <dgm:spPr/>
      <dgm:t>
        <a:bodyPr/>
        <a:lstStyle/>
        <a:p>
          <a:endParaRPr lang="en-GB"/>
        </a:p>
      </dgm:t>
    </dgm:pt>
    <dgm:pt modelId="{76E534E0-AAB1-4492-AFE1-AA151BF3F04A}">
      <dgm:prSet phldrT="[Text]"/>
      <dgm:spPr/>
      <dgm:t>
        <a:bodyPr/>
        <a:lstStyle/>
        <a:p>
          <a:r>
            <a:rPr lang="en-GB"/>
            <a:t>Theoretical perspectives</a:t>
          </a:r>
        </a:p>
      </dgm:t>
    </dgm:pt>
    <dgm:pt modelId="{FB777702-2822-4199-A8C7-1E135AF62106}" type="parTrans" cxnId="{B9007F4E-9AD9-4FBB-A2CE-3B8333087F43}">
      <dgm:prSet/>
      <dgm:spPr/>
      <dgm:t>
        <a:bodyPr/>
        <a:lstStyle/>
        <a:p>
          <a:endParaRPr lang="en-GB"/>
        </a:p>
      </dgm:t>
    </dgm:pt>
    <dgm:pt modelId="{CFE8258D-85CF-4597-B832-869608187659}" type="sibTrans" cxnId="{B9007F4E-9AD9-4FBB-A2CE-3B8333087F43}">
      <dgm:prSet/>
      <dgm:spPr/>
      <dgm:t>
        <a:bodyPr/>
        <a:lstStyle/>
        <a:p>
          <a:endParaRPr lang="en-GB"/>
        </a:p>
      </dgm:t>
    </dgm:pt>
    <dgm:pt modelId="{BED4EA07-6F91-46EC-A78D-95AB7BABE8E3}">
      <dgm:prSet/>
      <dgm:spPr/>
      <dgm:t>
        <a:bodyPr/>
        <a:lstStyle/>
        <a:p>
          <a:endParaRPr lang="en-GB"/>
        </a:p>
      </dgm:t>
    </dgm:pt>
    <dgm:pt modelId="{AC4A0D9B-2839-472A-9567-9039840E5D66}" type="parTrans" cxnId="{4F15C6B4-5677-4F65-A138-76B5924AE6B8}">
      <dgm:prSet/>
      <dgm:spPr/>
      <dgm:t>
        <a:bodyPr/>
        <a:lstStyle/>
        <a:p>
          <a:endParaRPr lang="en-GB"/>
        </a:p>
      </dgm:t>
    </dgm:pt>
    <dgm:pt modelId="{01CF97C2-59EC-442E-835D-C66F508BDC8B}" type="sibTrans" cxnId="{4F15C6B4-5677-4F65-A138-76B5924AE6B8}">
      <dgm:prSet/>
      <dgm:spPr/>
      <dgm:t>
        <a:bodyPr/>
        <a:lstStyle/>
        <a:p>
          <a:endParaRPr lang="en-GB"/>
        </a:p>
      </dgm:t>
    </dgm:pt>
    <dgm:pt modelId="{4204AD6D-9944-46FB-8AAD-18B54422464B}">
      <dgm:prSet phldrT="[Text]"/>
      <dgm:spPr/>
      <dgm:t>
        <a:bodyPr/>
        <a:lstStyle/>
        <a:p>
          <a:r>
            <a:rPr lang="en-GB"/>
            <a:t>Opportunities of inclusive workplaces</a:t>
          </a:r>
        </a:p>
      </dgm:t>
    </dgm:pt>
    <dgm:pt modelId="{58F66DD6-6105-44DA-BC30-5513B710C427}" type="parTrans" cxnId="{2E6086A4-9E19-4619-991D-4EBC0C595078}">
      <dgm:prSet/>
      <dgm:spPr/>
      <dgm:t>
        <a:bodyPr/>
        <a:lstStyle/>
        <a:p>
          <a:endParaRPr lang="en-GB"/>
        </a:p>
      </dgm:t>
    </dgm:pt>
    <dgm:pt modelId="{8B5B9FCF-A47C-4C62-8911-AEC0ADC02AA5}" type="sibTrans" cxnId="{2E6086A4-9E19-4619-991D-4EBC0C595078}">
      <dgm:prSet/>
      <dgm:spPr/>
      <dgm:t>
        <a:bodyPr/>
        <a:lstStyle/>
        <a:p>
          <a:endParaRPr lang="en-GB"/>
        </a:p>
      </dgm:t>
    </dgm:pt>
    <dgm:pt modelId="{C639FE34-4E0B-43AA-B67F-0667E3C3145A}">
      <dgm:prSet phldrT="[Text]"/>
      <dgm:spPr/>
      <dgm:t>
        <a:bodyPr/>
        <a:lstStyle/>
        <a:p>
          <a:r>
            <a:rPr lang="en-GB"/>
            <a:t>Challanges of workplace inclusion</a:t>
          </a:r>
        </a:p>
      </dgm:t>
    </dgm:pt>
    <dgm:pt modelId="{92BE8B38-BC89-421E-BCA1-33E8A6A95537}" type="parTrans" cxnId="{C7C92758-BCBF-42E7-9167-90CF6C232E9A}">
      <dgm:prSet/>
      <dgm:spPr/>
      <dgm:t>
        <a:bodyPr/>
        <a:lstStyle/>
        <a:p>
          <a:endParaRPr lang="en-GB"/>
        </a:p>
      </dgm:t>
    </dgm:pt>
    <dgm:pt modelId="{3F46CEC2-2AE7-44DB-9096-32766B4199D8}" type="sibTrans" cxnId="{C7C92758-BCBF-42E7-9167-90CF6C232E9A}">
      <dgm:prSet/>
      <dgm:spPr/>
      <dgm:t>
        <a:bodyPr/>
        <a:lstStyle/>
        <a:p>
          <a:endParaRPr lang="en-GB"/>
        </a:p>
      </dgm:t>
    </dgm:pt>
    <dgm:pt modelId="{FF3AF3C3-1F29-4190-A08F-371FFA92A7A9}">
      <dgm:prSet phldrT="[Text]"/>
      <dgm:spPr/>
      <dgm:t>
        <a:bodyPr/>
        <a:lstStyle/>
        <a:p>
          <a:r>
            <a:rPr lang="en-GB"/>
            <a:t>Data Analysis approach</a:t>
          </a:r>
        </a:p>
      </dgm:t>
    </dgm:pt>
    <dgm:pt modelId="{E8DDF727-8296-4267-AD01-629A536D46D9}" type="parTrans" cxnId="{C8D3CDF2-1E6C-446E-8942-6B32ADF15CEB}">
      <dgm:prSet/>
      <dgm:spPr/>
      <dgm:t>
        <a:bodyPr/>
        <a:lstStyle/>
        <a:p>
          <a:endParaRPr lang="en-GB"/>
        </a:p>
      </dgm:t>
    </dgm:pt>
    <dgm:pt modelId="{08C4BB0F-0C93-45A9-9E33-D6BCB6F58B73}" type="sibTrans" cxnId="{C8D3CDF2-1E6C-446E-8942-6B32ADF15CEB}">
      <dgm:prSet/>
      <dgm:spPr/>
      <dgm:t>
        <a:bodyPr/>
        <a:lstStyle/>
        <a:p>
          <a:endParaRPr lang="en-GB"/>
        </a:p>
      </dgm:t>
    </dgm:pt>
    <dgm:pt modelId="{E34030A8-5EB3-49F4-95B1-216BF2C70E86}">
      <dgm:prSet phldrT="[Text]"/>
      <dgm:spPr/>
      <dgm:t>
        <a:bodyPr/>
        <a:lstStyle/>
        <a:p>
          <a:r>
            <a:rPr lang="en-GB"/>
            <a:t>Ethical consideration</a:t>
          </a:r>
        </a:p>
      </dgm:t>
    </dgm:pt>
    <dgm:pt modelId="{9ED2FF32-1333-49D5-9E68-B8CBBF4C9874}" type="parTrans" cxnId="{799F232E-4604-46F4-A636-C1672C38EF29}">
      <dgm:prSet/>
      <dgm:spPr/>
      <dgm:t>
        <a:bodyPr/>
        <a:lstStyle/>
        <a:p>
          <a:endParaRPr lang="en-GB"/>
        </a:p>
      </dgm:t>
    </dgm:pt>
    <dgm:pt modelId="{6270D589-A45A-4CE6-869B-428D38441824}" type="sibTrans" cxnId="{799F232E-4604-46F4-A636-C1672C38EF29}">
      <dgm:prSet/>
      <dgm:spPr/>
      <dgm:t>
        <a:bodyPr/>
        <a:lstStyle/>
        <a:p>
          <a:endParaRPr lang="en-GB"/>
        </a:p>
      </dgm:t>
    </dgm:pt>
    <dgm:pt modelId="{4ACDE997-7086-4901-B100-0A543486D2DF}">
      <dgm:prSet/>
      <dgm:spPr/>
      <dgm:t>
        <a:bodyPr/>
        <a:lstStyle/>
        <a:p>
          <a:endParaRPr lang="en-GB"/>
        </a:p>
      </dgm:t>
    </dgm:pt>
    <dgm:pt modelId="{C0D39C0C-EDA7-4EEC-9820-142E67FB8E62}" type="parTrans" cxnId="{48DF864F-3C3F-47F2-926A-D854348CD742}">
      <dgm:prSet/>
      <dgm:spPr/>
      <dgm:t>
        <a:bodyPr/>
        <a:lstStyle/>
        <a:p>
          <a:endParaRPr lang="en-GB"/>
        </a:p>
      </dgm:t>
    </dgm:pt>
    <dgm:pt modelId="{BE62D198-55B6-40D9-AA4E-063E63E5A40D}" type="sibTrans" cxnId="{48DF864F-3C3F-47F2-926A-D854348CD742}">
      <dgm:prSet/>
      <dgm:spPr/>
      <dgm:t>
        <a:bodyPr/>
        <a:lstStyle/>
        <a:p>
          <a:endParaRPr lang="en-GB"/>
        </a:p>
      </dgm:t>
    </dgm:pt>
    <dgm:pt modelId="{7C130870-52F2-4547-A607-A8D915000D7F}">
      <dgm:prSet phldrT="[Text]"/>
      <dgm:spPr/>
      <dgm:t>
        <a:bodyPr/>
        <a:lstStyle/>
        <a:p>
          <a:r>
            <a:rPr lang="en-GB"/>
            <a:t>Secondary data analysis findings </a:t>
          </a:r>
        </a:p>
      </dgm:t>
    </dgm:pt>
    <dgm:pt modelId="{44CE423F-CC16-4E45-A9BF-4D3199A7F1F0}" type="parTrans" cxnId="{87483581-C529-4BEC-A3CC-8ECC96813F98}">
      <dgm:prSet/>
      <dgm:spPr/>
      <dgm:t>
        <a:bodyPr/>
        <a:lstStyle/>
        <a:p>
          <a:endParaRPr lang="en-GB"/>
        </a:p>
      </dgm:t>
    </dgm:pt>
    <dgm:pt modelId="{FCDB3A75-C3B3-431F-AA57-8F436E428FA2}" type="sibTrans" cxnId="{87483581-C529-4BEC-A3CC-8ECC96813F98}">
      <dgm:prSet/>
      <dgm:spPr/>
      <dgm:t>
        <a:bodyPr/>
        <a:lstStyle/>
        <a:p>
          <a:endParaRPr lang="en-GB"/>
        </a:p>
      </dgm:t>
    </dgm:pt>
    <dgm:pt modelId="{A47E1E63-D1E2-40D4-9229-B8FD860C351A}">
      <dgm:prSet/>
      <dgm:spPr/>
      <dgm:t>
        <a:bodyPr/>
        <a:lstStyle/>
        <a:p>
          <a:endParaRPr lang="en-GB"/>
        </a:p>
      </dgm:t>
    </dgm:pt>
    <dgm:pt modelId="{12F2F81B-AD7A-42D5-A54F-6A426B4B97B6}" type="parTrans" cxnId="{21096929-EC28-44EF-959E-1D2DDF1B1501}">
      <dgm:prSet/>
      <dgm:spPr/>
      <dgm:t>
        <a:bodyPr/>
        <a:lstStyle/>
        <a:p>
          <a:endParaRPr lang="en-GB"/>
        </a:p>
      </dgm:t>
    </dgm:pt>
    <dgm:pt modelId="{8D2771A0-AF6D-4C0C-AE88-C90839F1351F}" type="sibTrans" cxnId="{21096929-EC28-44EF-959E-1D2DDF1B1501}">
      <dgm:prSet/>
      <dgm:spPr/>
      <dgm:t>
        <a:bodyPr/>
        <a:lstStyle/>
        <a:p>
          <a:endParaRPr lang="en-GB"/>
        </a:p>
      </dgm:t>
    </dgm:pt>
    <dgm:pt modelId="{89430AFB-7497-4E03-B915-D1C8D824FA85}">
      <dgm:prSet phldrT="[Text]"/>
      <dgm:spPr/>
      <dgm:t>
        <a:bodyPr/>
        <a:lstStyle/>
        <a:p>
          <a:r>
            <a:rPr lang="en-GB"/>
            <a:t>Discussion of key findings</a:t>
          </a:r>
        </a:p>
      </dgm:t>
    </dgm:pt>
    <dgm:pt modelId="{98FC6371-6580-4082-A0FD-072A849D67C2}" type="parTrans" cxnId="{8F2EDF20-BE11-4FA6-8D50-26B3EF1EC176}">
      <dgm:prSet/>
      <dgm:spPr/>
      <dgm:t>
        <a:bodyPr/>
        <a:lstStyle/>
        <a:p>
          <a:endParaRPr lang="en-GB"/>
        </a:p>
      </dgm:t>
    </dgm:pt>
    <dgm:pt modelId="{4B0EC0FA-F442-49EE-B8BF-4F4F06098024}" type="sibTrans" cxnId="{8F2EDF20-BE11-4FA6-8D50-26B3EF1EC176}">
      <dgm:prSet/>
      <dgm:spPr/>
      <dgm:t>
        <a:bodyPr/>
        <a:lstStyle/>
        <a:p>
          <a:endParaRPr lang="en-GB"/>
        </a:p>
      </dgm:t>
    </dgm:pt>
    <dgm:pt modelId="{300C117C-BBCA-4F78-B6A7-E1978430D01A}">
      <dgm:prSet phldrT="[Text]"/>
      <dgm:spPr/>
      <dgm:t>
        <a:bodyPr/>
        <a:lstStyle/>
        <a:p>
          <a:r>
            <a:rPr lang="en-GB"/>
            <a:t>Organisational implications</a:t>
          </a:r>
        </a:p>
      </dgm:t>
    </dgm:pt>
    <dgm:pt modelId="{7771A944-4528-47B6-B846-F72934C0F45C}" type="parTrans" cxnId="{F7CB3598-3669-4A90-9DC7-5F8E1EEC7568}">
      <dgm:prSet/>
      <dgm:spPr/>
      <dgm:t>
        <a:bodyPr/>
        <a:lstStyle/>
        <a:p>
          <a:endParaRPr lang="en-GB"/>
        </a:p>
      </dgm:t>
    </dgm:pt>
    <dgm:pt modelId="{E1CD287E-C3A3-48D5-B1BA-19CDE6D53567}" type="sibTrans" cxnId="{F7CB3598-3669-4A90-9DC7-5F8E1EEC7568}">
      <dgm:prSet/>
      <dgm:spPr/>
      <dgm:t>
        <a:bodyPr/>
        <a:lstStyle/>
        <a:p>
          <a:endParaRPr lang="en-GB"/>
        </a:p>
      </dgm:t>
    </dgm:pt>
    <dgm:pt modelId="{973B1640-3B4B-4D03-B10A-3130716DB148}">
      <dgm:prSet phldrT="[Text]"/>
      <dgm:spPr/>
      <dgm:t>
        <a:bodyPr/>
        <a:lstStyle/>
        <a:p>
          <a:r>
            <a:rPr lang="en-GB"/>
            <a:t>Study limitations</a:t>
          </a:r>
        </a:p>
      </dgm:t>
    </dgm:pt>
    <dgm:pt modelId="{5D8A2E44-FAFC-4BE1-98B4-E809F84A3E71}" type="parTrans" cxnId="{6D84EB8D-98D7-49DF-A6AB-A05DD634ABEE}">
      <dgm:prSet/>
      <dgm:spPr/>
      <dgm:t>
        <a:bodyPr/>
        <a:lstStyle/>
        <a:p>
          <a:endParaRPr lang="en-GB"/>
        </a:p>
      </dgm:t>
    </dgm:pt>
    <dgm:pt modelId="{E9D2129A-5745-40DB-A530-8236FE9CC34D}" type="sibTrans" cxnId="{6D84EB8D-98D7-49DF-A6AB-A05DD634ABEE}">
      <dgm:prSet/>
      <dgm:spPr/>
      <dgm:t>
        <a:bodyPr/>
        <a:lstStyle/>
        <a:p>
          <a:endParaRPr lang="en-GB"/>
        </a:p>
      </dgm:t>
    </dgm:pt>
    <dgm:pt modelId="{17B201C8-45D3-4D4F-9683-63DFE97534F1}">
      <dgm:prSet phldrT="[Text]"/>
      <dgm:spPr/>
      <dgm:t>
        <a:bodyPr/>
        <a:lstStyle/>
        <a:p>
          <a:r>
            <a:rPr lang="en-GB"/>
            <a:t>Recommendation for future research</a:t>
          </a:r>
        </a:p>
      </dgm:t>
    </dgm:pt>
    <dgm:pt modelId="{3EE2D07F-C88A-4811-9D83-6315F720659E}" type="parTrans" cxnId="{E39A7D84-E005-4F75-A61F-2EC61B61093F}">
      <dgm:prSet/>
      <dgm:spPr/>
      <dgm:t>
        <a:bodyPr/>
        <a:lstStyle/>
        <a:p>
          <a:endParaRPr lang="en-GB"/>
        </a:p>
      </dgm:t>
    </dgm:pt>
    <dgm:pt modelId="{FB875A1C-1F09-40B4-A160-C6F5407DDE08}" type="sibTrans" cxnId="{E39A7D84-E005-4F75-A61F-2EC61B61093F}">
      <dgm:prSet/>
      <dgm:spPr/>
      <dgm:t>
        <a:bodyPr/>
        <a:lstStyle/>
        <a:p>
          <a:endParaRPr lang="en-GB"/>
        </a:p>
      </dgm:t>
    </dgm:pt>
    <dgm:pt modelId="{DF9610B9-5315-4F17-969E-7CB3264FA542}" type="pres">
      <dgm:prSet presAssocID="{A0E23D95-62C5-47FB-98AA-2EA21264BEBB}" presName="linearFlow" presStyleCnt="0">
        <dgm:presLayoutVars>
          <dgm:dir/>
          <dgm:animLvl val="lvl"/>
          <dgm:resizeHandles val="exact"/>
        </dgm:presLayoutVars>
      </dgm:prSet>
      <dgm:spPr/>
    </dgm:pt>
    <dgm:pt modelId="{50190A05-5E45-44E8-B3F2-EE49F7E39F75}" type="pres">
      <dgm:prSet presAssocID="{656C298B-7E00-44F8-B342-016A937E18B4}" presName="composite" presStyleCnt="0"/>
      <dgm:spPr/>
    </dgm:pt>
    <dgm:pt modelId="{A77EB1CD-1940-4E22-AFEE-B0F9661AC91D}" type="pres">
      <dgm:prSet presAssocID="{656C298B-7E00-44F8-B342-016A937E18B4}" presName="parentText" presStyleLbl="alignNode1" presStyleIdx="0" presStyleCnt="5">
        <dgm:presLayoutVars>
          <dgm:chMax val="1"/>
          <dgm:bulletEnabled val="1"/>
        </dgm:presLayoutVars>
      </dgm:prSet>
      <dgm:spPr/>
    </dgm:pt>
    <dgm:pt modelId="{D7DBA9B3-2686-4489-9CD0-917C490288C8}" type="pres">
      <dgm:prSet presAssocID="{656C298B-7E00-44F8-B342-016A937E18B4}" presName="descendantText" presStyleLbl="alignAcc1" presStyleIdx="0" presStyleCnt="5">
        <dgm:presLayoutVars>
          <dgm:bulletEnabled val="1"/>
        </dgm:presLayoutVars>
      </dgm:prSet>
      <dgm:spPr/>
    </dgm:pt>
    <dgm:pt modelId="{745EED62-C8C1-409B-9569-EE6EDF460736}" type="pres">
      <dgm:prSet presAssocID="{3ACBBB33-0199-49C6-B687-158BECAA2982}" presName="sp" presStyleCnt="0"/>
      <dgm:spPr/>
    </dgm:pt>
    <dgm:pt modelId="{2187E1D4-FFA3-4A50-9361-0A847C0E8FCA}" type="pres">
      <dgm:prSet presAssocID="{FAD5D2E3-07FF-48E4-BB16-D7100DEDB60D}" presName="composite" presStyleCnt="0"/>
      <dgm:spPr/>
    </dgm:pt>
    <dgm:pt modelId="{444DD6A0-35A7-4F5D-BCE1-2ECC5FF08ACA}" type="pres">
      <dgm:prSet presAssocID="{FAD5D2E3-07FF-48E4-BB16-D7100DEDB60D}" presName="parentText" presStyleLbl="alignNode1" presStyleIdx="1" presStyleCnt="5">
        <dgm:presLayoutVars>
          <dgm:chMax val="1"/>
          <dgm:bulletEnabled val="1"/>
        </dgm:presLayoutVars>
      </dgm:prSet>
      <dgm:spPr/>
    </dgm:pt>
    <dgm:pt modelId="{B8CE7D5F-4026-4595-A233-2AC3A661C58D}" type="pres">
      <dgm:prSet presAssocID="{FAD5D2E3-07FF-48E4-BB16-D7100DEDB60D}" presName="descendantText" presStyleLbl="alignAcc1" presStyleIdx="1" presStyleCnt="5">
        <dgm:presLayoutVars>
          <dgm:bulletEnabled val="1"/>
        </dgm:presLayoutVars>
      </dgm:prSet>
      <dgm:spPr/>
    </dgm:pt>
    <dgm:pt modelId="{7B7B6C78-4785-4AC3-B3BD-2DBE5717E4E3}" type="pres">
      <dgm:prSet presAssocID="{8AC212E5-B43F-4E44-835C-3060C6F20DC5}" presName="sp" presStyleCnt="0"/>
      <dgm:spPr/>
    </dgm:pt>
    <dgm:pt modelId="{8C3E6E0F-B4FB-460A-81F2-7A74DC18010B}" type="pres">
      <dgm:prSet presAssocID="{2FE7AC3D-7F58-4D88-ACAB-37078F8EB148}" presName="composite" presStyleCnt="0"/>
      <dgm:spPr/>
    </dgm:pt>
    <dgm:pt modelId="{EEB35EB0-7687-4FE1-98E6-5624D188E117}" type="pres">
      <dgm:prSet presAssocID="{2FE7AC3D-7F58-4D88-ACAB-37078F8EB148}" presName="parentText" presStyleLbl="alignNode1" presStyleIdx="2" presStyleCnt="5">
        <dgm:presLayoutVars>
          <dgm:chMax val="1"/>
          <dgm:bulletEnabled val="1"/>
        </dgm:presLayoutVars>
      </dgm:prSet>
      <dgm:spPr/>
    </dgm:pt>
    <dgm:pt modelId="{C4619BC7-A5DD-47F3-B405-BD42484FAA06}" type="pres">
      <dgm:prSet presAssocID="{2FE7AC3D-7F58-4D88-ACAB-37078F8EB148}" presName="descendantText" presStyleLbl="alignAcc1" presStyleIdx="2" presStyleCnt="5">
        <dgm:presLayoutVars>
          <dgm:bulletEnabled val="1"/>
        </dgm:presLayoutVars>
      </dgm:prSet>
      <dgm:spPr/>
    </dgm:pt>
    <dgm:pt modelId="{F396BCA1-B8D6-4D6A-B77C-B428DB63167C}" type="pres">
      <dgm:prSet presAssocID="{F04A14F1-4463-4C31-A4C4-E61CC953DDEA}" presName="sp" presStyleCnt="0"/>
      <dgm:spPr/>
    </dgm:pt>
    <dgm:pt modelId="{63D5A1D2-356B-4C74-8659-6B60E95DAEE5}" type="pres">
      <dgm:prSet presAssocID="{3A2A00F8-CDE6-4F23-A30C-E55ACB1D2D5F}" presName="composite" presStyleCnt="0"/>
      <dgm:spPr/>
    </dgm:pt>
    <dgm:pt modelId="{466C3D6B-C7B4-4DDE-BCE1-F1D07403B1F5}" type="pres">
      <dgm:prSet presAssocID="{3A2A00F8-CDE6-4F23-A30C-E55ACB1D2D5F}" presName="parentText" presStyleLbl="alignNode1" presStyleIdx="3" presStyleCnt="5">
        <dgm:presLayoutVars>
          <dgm:chMax val="1"/>
          <dgm:bulletEnabled val="1"/>
        </dgm:presLayoutVars>
      </dgm:prSet>
      <dgm:spPr/>
    </dgm:pt>
    <dgm:pt modelId="{44C26693-99CF-4877-9281-82B0E71B6EE2}" type="pres">
      <dgm:prSet presAssocID="{3A2A00F8-CDE6-4F23-A30C-E55ACB1D2D5F}" presName="descendantText" presStyleLbl="alignAcc1" presStyleIdx="3" presStyleCnt="5">
        <dgm:presLayoutVars>
          <dgm:bulletEnabled val="1"/>
        </dgm:presLayoutVars>
      </dgm:prSet>
      <dgm:spPr/>
    </dgm:pt>
    <dgm:pt modelId="{A15B4413-5376-4E94-85EA-6B37FD39310F}" type="pres">
      <dgm:prSet presAssocID="{6E30F798-FE87-4722-892E-E9694B773132}" presName="sp" presStyleCnt="0"/>
      <dgm:spPr/>
    </dgm:pt>
    <dgm:pt modelId="{5F19B210-B0F3-4D3F-B6A3-D6300F40E0A0}" type="pres">
      <dgm:prSet presAssocID="{6F91C02B-57C3-4C85-9D8E-709C2146D205}" presName="composite" presStyleCnt="0"/>
      <dgm:spPr/>
    </dgm:pt>
    <dgm:pt modelId="{58396002-0B60-4E02-83F7-262D0F6F9CF3}" type="pres">
      <dgm:prSet presAssocID="{6F91C02B-57C3-4C85-9D8E-709C2146D205}" presName="parentText" presStyleLbl="alignNode1" presStyleIdx="4" presStyleCnt="5">
        <dgm:presLayoutVars>
          <dgm:chMax val="1"/>
          <dgm:bulletEnabled val="1"/>
        </dgm:presLayoutVars>
      </dgm:prSet>
      <dgm:spPr/>
    </dgm:pt>
    <dgm:pt modelId="{ABD9EEE9-849F-4385-9341-0421D55C2E91}" type="pres">
      <dgm:prSet presAssocID="{6F91C02B-57C3-4C85-9D8E-709C2146D205}" presName="descendantText" presStyleLbl="alignAcc1" presStyleIdx="4" presStyleCnt="5">
        <dgm:presLayoutVars>
          <dgm:bulletEnabled val="1"/>
        </dgm:presLayoutVars>
      </dgm:prSet>
      <dgm:spPr/>
    </dgm:pt>
  </dgm:ptLst>
  <dgm:cxnLst>
    <dgm:cxn modelId="{5B7CC802-2A89-403C-B6A0-86A52940347C}" type="presOf" srcId="{C639FE34-4E0B-43AA-B67F-0667E3C3145A}" destId="{B8CE7D5F-4026-4595-A233-2AC3A661C58D}" srcOrd="0" destOrd="3" presId="urn:microsoft.com/office/officeart/2005/8/layout/chevron2"/>
    <dgm:cxn modelId="{182A0C08-9085-4A6D-838B-1A72FCBE5BCC}" srcId="{2FE7AC3D-7F58-4D88-ACAB-37078F8EB148}" destId="{78E4B596-5137-4FAF-A0BF-84CBEEF5D88F}" srcOrd="1" destOrd="0" parTransId="{5B61D6D8-EE8B-4BFF-8CC9-5A2BF4687274}" sibTransId="{581B5F8D-FEFC-4C53-B1E0-256650A9E1E9}"/>
    <dgm:cxn modelId="{48C94909-5D9F-45BA-AAD2-F52936DF47AA}" srcId="{A0E23D95-62C5-47FB-98AA-2EA21264BEBB}" destId="{2FE7AC3D-7F58-4D88-ACAB-37078F8EB148}" srcOrd="2" destOrd="0" parTransId="{F65B5368-E72D-4189-82F6-35D724F4EE62}" sibTransId="{F04A14F1-4463-4C31-A4C4-E61CC953DDEA}"/>
    <dgm:cxn modelId="{4D62740B-6FA5-4483-AF78-B2A05508446C}" srcId="{656C298B-7E00-44F8-B342-016A937E18B4}" destId="{6D8CC7F7-5E28-4584-88F7-BA6118B2DBCC}" srcOrd="3" destOrd="0" parTransId="{7F3F262C-B853-4684-8373-CFBE8B8217EF}" sibTransId="{AF2EB487-49CE-40DD-B3CC-5670E6F1CD49}"/>
    <dgm:cxn modelId="{C7D55A0C-F747-489A-9106-D798473CFB44}" srcId="{6F91C02B-57C3-4C85-9D8E-709C2146D205}" destId="{46820393-5A61-4242-8ABB-80E625A0EF84}" srcOrd="0" destOrd="0" parTransId="{62C84E0B-E80D-4DB7-9387-CDE02A6F109A}" sibTransId="{BCB96A32-E60F-45B2-A60E-D794A2F4A1F4}"/>
    <dgm:cxn modelId="{96C59A13-CF9D-4630-B444-E79DD101C88E}" type="presOf" srcId="{70C45CD1-3D0B-48BE-92B3-6F4364A0ED66}" destId="{D7DBA9B3-2686-4489-9CD0-917C490288C8}" srcOrd="0" destOrd="2" presId="urn:microsoft.com/office/officeart/2005/8/layout/chevron2"/>
    <dgm:cxn modelId="{C7209E14-D9FC-459A-BF8C-42A5BA4EA5F5}" srcId="{A0E23D95-62C5-47FB-98AA-2EA21264BEBB}" destId="{656C298B-7E00-44F8-B342-016A937E18B4}" srcOrd="0" destOrd="0" parTransId="{3FD64050-2882-4B92-AC48-32AADB8B910F}" sibTransId="{3ACBBB33-0199-49C6-B687-158BECAA2982}"/>
    <dgm:cxn modelId="{8F2EDF20-BE11-4FA6-8D50-26B3EF1EC176}" srcId="{3A2A00F8-CDE6-4F23-A30C-E55ACB1D2D5F}" destId="{89430AFB-7497-4E03-B915-D1C8D824FA85}" srcOrd="2" destOrd="0" parTransId="{98FC6371-6580-4082-A0FD-072A849D67C2}" sibTransId="{4B0EC0FA-F442-49EE-B8BF-4F4F06098024}"/>
    <dgm:cxn modelId="{EED7B725-EAF1-4DC3-B0E7-00F8C0B5689C}" srcId="{656C298B-7E00-44F8-B342-016A937E18B4}" destId="{5085C91F-0F59-4B7A-AFCF-48D925E86A60}" srcOrd="1" destOrd="0" parTransId="{41248293-06E5-49BB-AE08-8F3F8B888ED0}" sibTransId="{E0FB6361-FB4A-43E5-8C97-DB2C7D530645}"/>
    <dgm:cxn modelId="{B781F626-75AF-4923-933F-58ACE16E975D}" srcId="{656C298B-7E00-44F8-B342-016A937E18B4}" destId="{70C45CD1-3D0B-48BE-92B3-6F4364A0ED66}" srcOrd="2" destOrd="0" parTransId="{0BBCF062-4782-4387-A646-510F6D07409B}" sibTransId="{76AF62F7-BE34-4F9E-908B-8EBB631918B7}"/>
    <dgm:cxn modelId="{21096929-EC28-44EF-959E-1D2DDF1B1501}" srcId="{3A2A00F8-CDE6-4F23-A30C-E55ACB1D2D5F}" destId="{A47E1E63-D1E2-40D4-9229-B8FD860C351A}" srcOrd="3" destOrd="0" parTransId="{12F2F81B-AD7A-42D5-A54F-6A426B4B97B6}" sibTransId="{8D2771A0-AF6D-4C0C-AE88-C90839F1351F}"/>
    <dgm:cxn modelId="{9ED68B2A-3A47-44EA-802C-0996E5F330A6}" type="presOf" srcId="{17B201C8-45D3-4D4F-9683-63DFE97534F1}" destId="{ABD9EEE9-849F-4385-9341-0421D55C2E91}" srcOrd="0" destOrd="4" presId="urn:microsoft.com/office/officeart/2005/8/layout/chevron2"/>
    <dgm:cxn modelId="{C7262F2C-5FF2-4E7A-BAB5-D8DD2BA1A382}" type="presOf" srcId="{300C117C-BBCA-4F78-B6A7-E1978430D01A}" destId="{ABD9EEE9-849F-4385-9341-0421D55C2E91}" srcOrd="0" destOrd="1" presId="urn:microsoft.com/office/officeart/2005/8/layout/chevron2"/>
    <dgm:cxn modelId="{799F232E-4604-46F4-A636-C1672C38EF29}" srcId="{2FE7AC3D-7F58-4D88-ACAB-37078F8EB148}" destId="{E34030A8-5EB3-49F4-95B1-216BF2C70E86}" srcOrd="3" destOrd="0" parTransId="{9ED2FF32-1333-49D5-9E68-B8CBBF4C9874}" sibTransId="{6270D589-A45A-4CE6-869B-428D38441824}"/>
    <dgm:cxn modelId="{DA495333-74EC-4C1E-AEC1-2119E2EF36AB}" type="presOf" srcId="{6F91C02B-57C3-4C85-9D8E-709C2146D205}" destId="{58396002-0B60-4E02-83F7-262D0F6F9CF3}" srcOrd="0" destOrd="0" presId="urn:microsoft.com/office/officeart/2005/8/layout/chevron2"/>
    <dgm:cxn modelId="{C2778133-B161-45FD-8EC0-1BE3398096F3}" type="presOf" srcId="{2FE7AC3D-7F58-4D88-ACAB-37078F8EB148}" destId="{EEB35EB0-7687-4FE1-98E6-5624D188E117}" srcOrd="0" destOrd="0" presId="urn:microsoft.com/office/officeart/2005/8/layout/chevron2"/>
    <dgm:cxn modelId="{EA2ABA36-C050-43F4-89EC-1F666ADE8C09}" srcId="{A0E23D95-62C5-47FB-98AA-2EA21264BEBB}" destId="{FAD5D2E3-07FF-48E4-BB16-D7100DEDB60D}" srcOrd="1" destOrd="0" parTransId="{18A9BD7C-45DA-45B0-89C3-88427D882347}" sibTransId="{8AC212E5-B43F-4E44-835C-3060C6F20DC5}"/>
    <dgm:cxn modelId="{44FE3537-75EA-4229-85CE-D4FA3F077BDD}" type="presOf" srcId="{4204AD6D-9944-46FB-8AAD-18B54422464B}" destId="{B8CE7D5F-4026-4595-A233-2AC3A661C58D}" srcOrd="0" destOrd="2" presId="urn:microsoft.com/office/officeart/2005/8/layout/chevron2"/>
    <dgm:cxn modelId="{ACFAA55E-DEC1-4DB7-A6C2-A1CAE6E391C0}" srcId="{FAD5D2E3-07FF-48E4-BB16-D7100DEDB60D}" destId="{66355B51-7CB6-4355-80AC-9E6ECC76D542}" srcOrd="0" destOrd="0" parTransId="{6DF24541-F9B4-4159-A0BE-D1071BCCD22D}" sibTransId="{0DD29B25-FA49-4537-A3C0-B28E827C1E54}"/>
    <dgm:cxn modelId="{A09C1062-AD59-4D4C-B10C-00A19C25E26F}" type="presOf" srcId="{4ACDE997-7086-4901-B100-0A543486D2DF}" destId="{44C26693-99CF-4877-9281-82B0E71B6EE2}" srcOrd="0" destOrd="0" presId="urn:microsoft.com/office/officeart/2005/8/layout/chevron2"/>
    <dgm:cxn modelId="{E2C73D66-C249-4C46-8465-F720CD9A99B0}" type="presOf" srcId="{4A24A219-EC75-4560-9BA3-AAC515F58844}" destId="{ABD9EEE9-849F-4385-9341-0421D55C2E91}" srcOrd="0" destOrd="3" presId="urn:microsoft.com/office/officeart/2005/8/layout/chevron2"/>
    <dgm:cxn modelId="{19FFE167-186F-4DF4-8050-3C96765FD068}" type="presOf" srcId="{6D8CC7F7-5E28-4584-88F7-BA6118B2DBCC}" destId="{D7DBA9B3-2686-4489-9CD0-917C490288C8}" srcOrd="0" destOrd="3" presId="urn:microsoft.com/office/officeart/2005/8/layout/chevron2"/>
    <dgm:cxn modelId="{F6B23A4D-3AB6-4D97-B045-F37863622F48}" type="presOf" srcId="{FAD5D2E3-07FF-48E4-BB16-D7100DEDB60D}" destId="{444DD6A0-35A7-4F5D-BCE1-2ECC5FF08ACA}" srcOrd="0" destOrd="0" presId="urn:microsoft.com/office/officeart/2005/8/layout/chevron2"/>
    <dgm:cxn modelId="{4F3CDE4D-D050-47E6-AF4B-DBE514FE2BA5}" type="presOf" srcId="{66355B51-7CB6-4355-80AC-9E6ECC76D542}" destId="{B8CE7D5F-4026-4595-A233-2AC3A661C58D}" srcOrd="0" destOrd="0" presId="urn:microsoft.com/office/officeart/2005/8/layout/chevron2"/>
    <dgm:cxn modelId="{B9007F4E-9AD9-4FBB-A2CE-3B8333087F43}" srcId="{FAD5D2E3-07FF-48E4-BB16-D7100DEDB60D}" destId="{76E534E0-AAB1-4492-AFE1-AA151BF3F04A}" srcOrd="1" destOrd="0" parTransId="{FB777702-2822-4199-A8C7-1E135AF62106}" sibTransId="{CFE8258D-85CF-4597-B832-869608187659}"/>
    <dgm:cxn modelId="{48DF864F-3C3F-47F2-926A-D854348CD742}" srcId="{3A2A00F8-CDE6-4F23-A30C-E55ACB1D2D5F}" destId="{4ACDE997-7086-4901-B100-0A543486D2DF}" srcOrd="0" destOrd="0" parTransId="{C0D39C0C-EDA7-4EEC-9820-142E67FB8E62}" sibTransId="{BE62D198-55B6-40D9-AA4E-063E63E5A40D}"/>
    <dgm:cxn modelId="{7DB7B474-25C9-403A-AB62-E68A9476097A}" type="presOf" srcId="{BED4EA07-6F91-46EC-A78D-95AB7BABE8E3}" destId="{B8CE7D5F-4026-4595-A233-2AC3A661C58D}" srcOrd="0" destOrd="4" presId="urn:microsoft.com/office/officeart/2005/8/layout/chevron2"/>
    <dgm:cxn modelId="{C7C92758-BCBF-42E7-9167-90CF6C232E9A}" srcId="{FAD5D2E3-07FF-48E4-BB16-D7100DEDB60D}" destId="{C639FE34-4E0B-43AA-B67F-0667E3C3145A}" srcOrd="3" destOrd="0" parTransId="{92BE8B38-BC89-421E-BCA1-33E8A6A95537}" sibTransId="{3F46CEC2-2AE7-44DB-9096-32766B4199D8}"/>
    <dgm:cxn modelId="{8EF79E7D-C4A6-4D75-831F-7076BEAC4314}" type="presOf" srcId="{973B1640-3B4B-4D03-B10A-3130716DB148}" destId="{ABD9EEE9-849F-4385-9341-0421D55C2E91}" srcOrd="0" destOrd="2" presId="urn:microsoft.com/office/officeart/2005/8/layout/chevron2"/>
    <dgm:cxn modelId="{87483581-C529-4BEC-A3CC-8ECC96813F98}" srcId="{3A2A00F8-CDE6-4F23-A30C-E55ACB1D2D5F}" destId="{7C130870-52F2-4547-A607-A8D915000D7F}" srcOrd="1" destOrd="0" parTransId="{44CE423F-CC16-4E45-A9BF-4D3199A7F1F0}" sibTransId="{FCDB3A75-C3B3-431F-AA57-8F436E428FA2}"/>
    <dgm:cxn modelId="{E39A7D84-E005-4F75-A61F-2EC61B61093F}" srcId="{6F91C02B-57C3-4C85-9D8E-709C2146D205}" destId="{17B201C8-45D3-4D4F-9683-63DFE97534F1}" srcOrd="4" destOrd="0" parTransId="{3EE2D07F-C88A-4811-9D83-6315F720659E}" sibTransId="{FB875A1C-1F09-40B4-A160-C6F5407DDE08}"/>
    <dgm:cxn modelId="{F8712B85-9537-48D0-8466-1D71BE77197D}" type="presOf" srcId="{A0E23D95-62C5-47FB-98AA-2EA21264BEBB}" destId="{DF9610B9-5315-4F17-969E-7CB3264FA542}" srcOrd="0" destOrd="0" presId="urn:microsoft.com/office/officeart/2005/8/layout/chevron2"/>
    <dgm:cxn modelId="{6D84EB8D-98D7-49DF-A6AB-A05DD634ABEE}" srcId="{6F91C02B-57C3-4C85-9D8E-709C2146D205}" destId="{973B1640-3B4B-4D03-B10A-3130716DB148}" srcOrd="2" destOrd="0" parTransId="{5D8A2E44-FAFC-4BE1-98B4-E809F84A3E71}" sibTransId="{E9D2129A-5745-40DB-A530-8236FE9CC34D}"/>
    <dgm:cxn modelId="{1DA9BF95-99BC-4943-AE36-743537CED470}" srcId="{2FE7AC3D-7F58-4D88-ACAB-37078F8EB148}" destId="{5940D6DE-96BF-4176-B02E-E881716D311B}" srcOrd="0" destOrd="0" parTransId="{CEFF57B4-F0EA-4B79-B8B0-346BE1AA0A9E}" sibTransId="{E938E9D9-AD50-4BE3-BC86-78518063A0EA}"/>
    <dgm:cxn modelId="{F7CB3598-3669-4A90-9DC7-5F8E1EEC7568}" srcId="{6F91C02B-57C3-4C85-9D8E-709C2146D205}" destId="{300C117C-BBCA-4F78-B6A7-E1978430D01A}" srcOrd="1" destOrd="0" parTransId="{7771A944-4528-47B6-B846-F72934C0F45C}" sibTransId="{E1CD287E-C3A3-48D5-B1BA-19CDE6D53567}"/>
    <dgm:cxn modelId="{224B4AA1-09C1-475D-9780-2C5564056590}" type="presOf" srcId="{FF3AF3C3-1F29-4190-A08F-371FFA92A7A9}" destId="{C4619BC7-A5DD-47F3-B405-BD42484FAA06}" srcOrd="0" destOrd="2" presId="urn:microsoft.com/office/officeart/2005/8/layout/chevron2"/>
    <dgm:cxn modelId="{7F9FBBA1-48DA-4846-8153-0F584EC351E2}" type="presOf" srcId="{78E4B596-5137-4FAF-A0BF-84CBEEF5D88F}" destId="{C4619BC7-A5DD-47F3-B405-BD42484FAA06}" srcOrd="0" destOrd="1" presId="urn:microsoft.com/office/officeart/2005/8/layout/chevron2"/>
    <dgm:cxn modelId="{142EABA2-1A4B-406C-9B8A-41D121054F7B}" srcId="{A0E23D95-62C5-47FB-98AA-2EA21264BEBB}" destId="{6F91C02B-57C3-4C85-9D8E-709C2146D205}" srcOrd="4" destOrd="0" parTransId="{01DBD7D7-4BC8-4C39-8C79-E910B6E1B56B}" sibTransId="{8B6CFFFB-7026-469B-8A17-929F4D768349}"/>
    <dgm:cxn modelId="{2E6086A4-9E19-4619-991D-4EBC0C595078}" srcId="{FAD5D2E3-07FF-48E4-BB16-D7100DEDB60D}" destId="{4204AD6D-9944-46FB-8AAD-18B54422464B}" srcOrd="2" destOrd="0" parTransId="{58F66DD6-6105-44DA-BC30-5513B710C427}" sibTransId="{8B5B9FCF-A47C-4C62-8911-AEC0ADC02AA5}"/>
    <dgm:cxn modelId="{F99A98AA-6470-4B00-9496-8E14DD446033}" type="presOf" srcId="{5085C91F-0F59-4B7A-AFCF-48D925E86A60}" destId="{D7DBA9B3-2686-4489-9CD0-917C490288C8}" srcOrd="0" destOrd="1" presId="urn:microsoft.com/office/officeart/2005/8/layout/chevron2"/>
    <dgm:cxn modelId="{F936E5AC-AE85-4E51-91D1-63A3E85C1CA0}" type="presOf" srcId="{E34030A8-5EB3-49F4-95B1-216BF2C70E86}" destId="{C4619BC7-A5DD-47F3-B405-BD42484FAA06}" srcOrd="0" destOrd="3" presId="urn:microsoft.com/office/officeart/2005/8/layout/chevron2"/>
    <dgm:cxn modelId="{03ED32B3-17C0-46A9-AA65-A5048F5EC5EA}" type="presOf" srcId="{656C298B-7E00-44F8-B342-016A937E18B4}" destId="{A77EB1CD-1940-4E22-AFEE-B0F9661AC91D}" srcOrd="0" destOrd="0" presId="urn:microsoft.com/office/officeart/2005/8/layout/chevron2"/>
    <dgm:cxn modelId="{4F15C6B4-5677-4F65-A138-76B5924AE6B8}" srcId="{FAD5D2E3-07FF-48E4-BB16-D7100DEDB60D}" destId="{BED4EA07-6F91-46EC-A78D-95AB7BABE8E3}" srcOrd="4" destOrd="0" parTransId="{AC4A0D9B-2839-472A-9567-9039840E5D66}" sibTransId="{01CF97C2-59EC-442E-835D-C66F508BDC8B}"/>
    <dgm:cxn modelId="{67608AB8-6736-421C-A1FD-48CFE7D94CC8}" srcId="{656C298B-7E00-44F8-B342-016A937E18B4}" destId="{0FCFDBDD-7BF1-4230-91E5-102B75ED758B}" srcOrd="0" destOrd="0" parTransId="{073DFA01-F2AD-413A-9F1D-F84CF309C163}" sibTransId="{E4EC6B29-A0DC-466F-BD45-0B46325377A2}"/>
    <dgm:cxn modelId="{D734CEBE-7400-456F-9297-6D5822EFCD5A}" type="presOf" srcId="{89430AFB-7497-4E03-B915-D1C8D824FA85}" destId="{44C26693-99CF-4877-9281-82B0E71B6EE2}" srcOrd="0" destOrd="2" presId="urn:microsoft.com/office/officeart/2005/8/layout/chevron2"/>
    <dgm:cxn modelId="{D71DC0C0-9CD6-4F8C-974A-8DEE33509250}" type="presOf" srcId="{5940D6DE-96BF-4176-B02E-E881716D311B}" destId="{C4619BC7-A5DD-47F3-B405-BD42484FAA06}" srcOrd="0" destOrd="0" presId="urn:microsoft.com/office/officeart/2005/8/layout/chevron2"/>
    <dgm:cxn modelId="{107685C2-0F8F-4B2C-BCC7-A87EA7FAD6E7}" type="presOf" srcId="{A47E1E63-D1E2-40D4-9229-B8FD860C351A}" destId="{44C26693-99CF-4877-9281-82B0E71B6EE2}" srcOrd="0" destOrd="3" presId="urn:microsoft.com/office/officeart/2005/8/layout/chevron2"/>
    <dgm:cxn modelId="{2458CEC6-F754-4D70-A97C-62507AE24FC4}" srcId="{A0E23D95-62C5-47FB-98AA-2EA21264BEBB}" destId="{3A2A00F8-CDE6-4F23-A30C-E55ACB1D2D5F}" srcOrd="3" destOrd="0" parTransId="{898E9E53-5DF0-4FF3-BA36-FE0E65B72A16}" sibTransId="{6E30F798-FE87-4722-892E-E9694B773132}"/>
    <dgm:cxn modelId="{ADFFCBD5-B820-4D7E-80E3-A8A5EE84D227}" type="presOf" srcId="{0FCFDBDD-7BF1-4230-91E5-102B75ED758B}" destId="{D7DBA9B3-2686-4489-9CD0-917C490288C8}" srcOrd="0" destOrd="0" presId="urn:microsoft.com/office/officeart/2005/8/layout/chevron2"/>
    <dgm:cxn modelId="{449D23DF-6FE8-47D1-A009-4E057FF34473}" srcId="{656C298B-7E00-44F8-B342-016A937E18B4}" destId="{1B359760-E942-44A6-8964-5997A0802A14}" srcOrd="4" destOrd="0" parTransId="{A736DAA2-9CDF-4D46-8F01-6532348EA4FB}" sibTransId="{55C9E6F8-BC8B-4F50-AE13-E76A7949E2D8}"/>
    <dgm:cxn modelId="{DD90B9EE-85F3-4C2C-9547-92EAC259FEDB}" type="presOf" srcId="{46820393-5A61-4242-8ABB-80E625A0EF84}" destId="{ABD9EEE9-849F-4385-9341-0421D55C2E91}" srcOrd="0" destOrd="0" presId="urn:microsoft.com/office/officeart/2005/8/layout/chevron2"/>
    <dgm:cxn modelId="{7A9473F1-8E72-460C-87A7-D89026A1E73B}" type="presOf" srcId="{1B359760-E942-44A6-8964-5997A0802A14}" destId="{D7DBA9B3-2686-4489-9CD0-917C490288C8}" srcOrd="0" destOrd="4" presId="urn:microsoft.com/office/officeart/2005/8/layout/chevron2"/>
    <dgm:cxn modelId="{C8D3CDF2-1E6C-446E-8942-6B32ADF15CEB}" srcId="{2FE7AC3D-7F58-4D88-ACAB-37078F8EB148}" destId="{FF3AF3C3-1F29-4190-A08F-371FFA92A7A9}" srcOrd="2" destOrd="0" parTransId="{E8DDF727-8296-4267-AD01-629A536D46D9}" sibTransId="{08C4BB0F-0C93-45A9-9E33-D6BCB6F58B73}"/>
    <dgm:cxn modelId="{58BEB0FA-DF4A-4967-9487-1745A2C7F724}" type="presOf" srcId="{7C130870-52F2-4547-A607-A8D915000D7F}" destId="{44C26693-99CF-4877-9281-82B0E71B6EE2}" srcOrd="0" destOrd="1" presId="urn:microsoft.com/office/officeart/2005/8/layout/chevron2"/>
    <dgm:cxn modelId="{6C0E44FC-744C-4798-860A-A96880C29608}" type="presOf" srcId="{76E534E0-AAB1-4492-AFE1-AA151BF3F04A}" destId="{B8CE7D5F-4026-4595-A233-2AC3A661C58D}" srcOrd="0" destOrd="1" presId="urn:microsoft.com/office/officeart/2005/8/layout/chevron2"/>
    <dgm:cxn modelId="{477D7CFC-B730-474C-98E0-164E1E1F674A}" type="presOf" srcId="{3A2A00F8-CDE6-4F23-A30C-E55ACB1D2D5F}" destId="{466C3D6B-C7B4-4DDE-BCE1-F1D07403B1F5}" srcOrd="0" destOrd="0" presId="urn:microsoft.com/office/officeart/2005/8/layout/chevron2"/>
    <dgm:cxn modelId="{38E403FE-F6E4-461B-935E-A159F20906DE}" srcId="{6F91C02B-57C3-4C85-9D8E-709C2146D205}" destId="{4A24A219-EC75-4560-9BA3-AAC515F58844}" srcOrd="3" destOrd="0" parTransId="{CED70B70-7A09-4068-9400-98662F45C1D3}" sibTransId="{D566CE2B-6567-43EB-AC60-14187C7A02F4}"/>
    <dgm:cxn modelId="{5532DCDB-393B-4026-A729-A4EDFBA477B5}" type="presParOf" srcId="{DF9610B9-5315-4F17-969E-7CB3264FA542}" destId="{50190A05-5E45-44E8-B3F2-EE49F7E39F75}" srcOrd="0" destOrd="0" presId="urn:microsoft.com/office/officeart/2005/8/layout/chevron2"/>
    <dgm:cxn modelId="{36DD10A6-CCAE-4FD4-A409-94D69D8D9DE3}" type="presParOf" srcId="{50190A05-5E45-44E8-B3F2-EE49F7E39F75}" destId="{A77EB1CD-1940-4E22-AFEE-B0F9661AC91D}" srcOrd="0" destOrd="0" presId="urn:microsoft.com/office/officeart/2005/8/layout/chevron2"/>
    <dgm:cxn modelId="{C8A028BA-8C20-40FD-B1FD-18B0B6F93AED}" type="presParOf" srcId="{50190A05-5E45-44E8-B3F2-EE49F7E39F75}" destId="{D7DBA9B3-2686-4489-9CD0-917C490288C8}" srcOrd="1" destOrd="0" presId="urn:microsoft.com/office/officeart/2005/8/layout/chevron2"/>
    <dgm:cxn modelId="{3DBA0557-C85F-4480-912D-58C9D6017D63}" type="presParOf" srcId="{DF9610B9-5315-4F17-969E-7CB3264FA542}" destId="{745EED62-C8C1-409B-9569-EE6EDF460736}" srcOrd="1" destOrd="0" presId="urn:microsoft.com/office/officeart/2005/8/layout/chevron2"/>
    <dgm:cxn modelId="{5AE26D57-2603-44AD-8255-936921C6E6EA}" type="presParOf" srcId="{DF9610B9-5315-4F17-969E-7CB3264FA542}" destId="{2187E1D4-FFA3-4A50-9361-0A847C0E8FCA}" srcOrd="2" destOrd="0" presId="urn:microsoft.com/office/officeart/2005/8/layout/chevron2"/>
    <dgm:cxn modelId="{8A56D6D6-2FB2-422E-A628-3DBF1BB0620D}" type="presParOf" srcId="{2187E1D4-FFA3-4A50-9361-0A847C0E8FCA}" destId="{444DD6A0-35A7-4F5D-BCE1-2ECC5FF08ACA}" srcOrd="0" destOrd="0" presId="urn:microsoft.com/office/officeart/2005/8/layout/chevron2"/>
    <dgm:cxn modelId="{98A61F01-D26A-4DDA-B027-0BCC57020AF1}" type="presParOf" srcId="{2187E1D4-FFA3-4A50-9361-0A847C0E8FCA}" destId="{B8CE7D5F-4026-4595-A233-2AC3A661C58D}" srcOrd="1" destOrd="0" presId="urn:microsoft.com/office/officeart/2005/8/layout/chevron2"/>
    <dgm:cxn modelId="{4F18141E-1D8E-499C-BEC1-B7F3F8C2B36D}" type="presParOf" srcId="{DF9610B9-5315-4F17-969E-7CB3264FA542}" destId="{7B7B6C78-4785-4AC3-B3BD-2DBE5717E4E3}" srcOrd="3" destOrd="0" presId="urn:microsoft.com/office/officeart/2005/8/layout/chevron2"/>
    <dgm:cxn modelId="{73A9D5FB-DC1B-41D9-9E27-1539C80D3795}" type="presParOf" srcId="{DF9610B9-5315-4F17-969E-7CB3264FA542}" destId="{8C3E6E0F-B4FB-460A-81F2-7A74DC18010B}" srcOrd="4" destOrd="0" presId="urn:microsoft.com/office/officeart/2005/8/layout/chevron2"/>
    <dgm:cxn modelId="{D0969D89-8A60-4049-8F96-60CF0E36BD30}" type="presParOf" srcId="{8C3E6E0F-B4FB-460A-81F2-7A74DC18010B}" destId="{EEB35EB0-7687-4FE1-98E6-5624D188E117}" srcOrd="0" destOrd="0" presId="urn:microsoft.com/office/officeart/2005/8/layout/chevron2"/>
    <dgm:cxn modelId="{B5BA3DDB-2CD1-4B06-8117-C2D627A1E77F}" type="presParOf" srcId="{8C3E6E0F-B4FB-460A-81F2-7A74DC18010B}" destId="{C4619BC7-A5DD-47F3-B405-BD42484FAA06}" srcOrd="1" destOrd="0" presId="urn:microsoft.com/office/officeart/2005/8/layout/chevron2"/>
    <dgm:cxn modelId="{5E7FA4F7-EAC2-40A0-92A2-5F73518D7DD9}" type="presParOf" srcId="{DF9610B9-5315-4F17-969E-7CB3264FA542}" destId="{F396BCA1-B8D6-4D6A-B77C-B428DB63167C}" srcOrd="5" destOrd="0" presId="urn:microsoft.com/office/officeart/2005/8/layout/chevron2"/>
    <dgm:cxn modelId="{6700509E-EA43-4CF3-A80E-B380CAE0A3F8}" type="presParOf" srcId="{DF9610B9-5315-4F17-969E-7CB3264FA542}" destId="{63D5A1D2-356B-4C74-8659-6B60E95DAEE5}" srcOrd="6" destOrd="0" presId="urn:microsoft.com/office/officeart/2005/8/layout/chevron2"/>
    <dgm:cxn modelId="{A88890AB-1BC7-4764-B60D-A110C505F4CB}" type="presParOf" srcId="{63D5A1D2-356B-4C74-8659-6B60E95DAEE5}" destId="{466C3D6B-C7B4-4DDE-BCE1-F1D07403B1F5}" srcOrd="0" destOrd="0" presId="urn:microsoft.com/office/officeart/2005/8/layout/chevron2"/>
    <dgm:cxn modelId="{0A897CDC-7B57-47D7-ADBE-F608F685F482}" type="presParOf" srcId="{63D5A1D2-356B-4C74-8659-6B60E95DAEE5}" destId="{44C26693-99CF-4877-9281-82B0E71B6EE2}" srcOrd="1" destOrd="0" presId="urn:microsoft.com/office/officeart/2005/8/layout/chevron2"/>
    <dgm:cxn modelId="{FB4C5CC5-8BA0-43D9-A821-9D43D9FE3694}" type="presParOf" srcId="{DF9610B9-5315-4F17-969E-7CB3264FA542}" destId="{A15B4413-5376-4E94-85EA-6B37FD39310F}" srcOrd="7" destOrd="0" presId="urn:microsoft.com/office/officeart/2005/8/layout/chevron2"/>
    <dgm:cxn modelId="{7E605AF5-A353-472D-8D89-2BA0024BC053}" type="presParOf" srcId="{DF9610B9-5315-4F17-969E-7CB3264FA542}" destId="{5F19B210-B0F3-4D3F-B6A3-D6300F40E0A0}" srcOrd="8" destOrd="0" presId="urn:microsoft.com/office/officeart/2005/8/layout/chevron2"/>
    <dgm:cxn modelId="{3A0C4ECE-735C-43F3-9D2E-2FD47431348E}" type="presParOf" srcId="{5F19B210-B0F3-4D3F-B6A3-D6300F40E0A0}" destId="{58396002-0B60-4E02-83F7-262D0F6F9CF3}" srcOrd="0" destOrd="0" presId="urn:microsoft.com/office/officeart/2005/8/layout/chevron2"/>
    <dgm:cxn modelId="{5BCCA008-E4DD-405A-BDDC-2BA51BFCCD06}" type="presParOf" srcId="{5F19B210-B0F3-4D3F-B6A3-D6300F40E0A0}" destId="{ABD9EEE9-849F-4385-9341-0421D55C2E91}"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EB1CD-1940-4E22-AFEE-B0F9661AC91D}">
      <dsp:nvSpPr>
        <dsp:cNvPr id="0" name=""/>
        <dsp:cNvSpPr/>
      </dsp:nvSpPr>
      <dsp:spPr>
        <a:xfrm rot="5400000">
          <a:off x="-195447" y="197381"/>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I-Introduction</a:t>
          </a:r>
        </a:p>
      </dsp:txBody>
      <dsp:txXfrm rot="-5400000">
        <a:off x="0" y="457977"/>
        <a:ext cx="912086" cy="390894"/>
      </dsp:txXfrm>
    </dsp:sp>
    <dsp:sp modelId="{D7DBA9B3-2686-4489-9CD0-917C490288C8}">
      <dsp:nvSpPr>
        <dsp:cNvPr id="0" name=""/>
        <dsp:cNvSpPr/>
      </dsp:nvSpPr>
      <dsp:spPr>
        <a:xfrm rot="5400000">
          <a:off x="2971037" y="-2057016"/>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Research topic</a:t>
          </a:r>
        </a:p>
        <a:p>
          <a:pPr marL="57150" lvl="1" indent="-57150" algn="l" defTabSz="400050">
            <a:lnSpc>
              <a:spcPct val="90000"/>
            </a:lnSpc>
            <a:spcBef>
              <a:spcPct val="0"/>
            </a:spcBef>
            <a:spcAft>
              <a:spcPct val="15000"/>
            </a:spcAft>
            <a:buChar char="•"/>
          </a:pPr>
          <a:r>
            <a:rPr lang="en-GB" sz="900" kern="1200"/>
            <a:t>Background to workplace diversity and inclusion</a:t>
          </a:r>
        </a:p>
        <a:p>
          <a:pPr marL="57150" lvl="1" indent="-57150" algn="l" defTabSz="400050">
            <a:lnSpc>
              <a:spcPct val="90000"/>
            </a:lnSpc>
            <a:spcBef>
              <a:spcPct val="0"/>
            </a:spcBef>
            <a:spcAft>
              <a:spcPct val="15000"/>
            </a:spcAft>
            <a:buChar char="•"/>
          </a:pPr>
          <a:r>
            <a:rPr lang="en-GB" sz="900" kern="1200"/>
            <a:t>Problem statment</a:t>
          </a:r>
        </a:p>
        <a:p>
          <a:pPr marL="57150" lvl="1" indent="-57150" algn="l" defTabSz="400050">
            <a:lnSpc>
              <a:spcPct val="90000"/>
            </a:lnSpc>
            <a:spcBef>
              <a:spcPct val="0"/>
            </a:spcBef>
            <a:spcAft>
              <a:spcPct val="15000"/>
            </a:spcAft>
            <a:buChar char="•"/>
          </a:pPr>
          <a:r>
            <a:rPr lang="en-GB" sz="900" kern="1200"/>
            <a:t>Aim, objectives and questions</a:t>
          </a:r>
        </a:p>
        <a:p>
          <a:pPr marL="57150" lvl="1" indent="-57150" algn="l" defTabSz="400050">
            <a:lnSpc>
              <a:spcPct val="90000"/>
            </a:lnSpc>
            <a:spcBef>
              <a:spcPct val="0"/>
            </a:spcBef>
            <a:spcAft>
              <a:spcPct val="15000"/>
            </a:spcAft>
            <a:buChar char="•"/>
          </a:pPr>
          <a:r>
            <a:rPr lang="en-GB" sz="900" kern="1200"/>
            <a:t>Proposal</a:t>
          </a:r>
        </a:p>
      </dsp:txBody>
      <dsp:txXfrm rot="-5400000">
        <a:off x="912087" y="43278"/>
        <a:ext cx="4923494" cy="764249"/>
      </dsp:txXfrm>
    </dsp:sp>
    <dsp:sp modelId="{444DD6A0-35A7-4F5D-BCE1-2ECC5FF08ACA}">
      <dsp:nvSpPr>
        <dsp:cNvPr id="0" name=""/>
        <dsp:cNvSpPr/>
      </dsp:nvSpPr>
      <dsp:spPr>
        <a:xfrm rot="5400000">
          <a:off x="-195447" y="1385144"/>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II-Literature review</a:t>
          </a:r>
        </a:p>
      </dsp:txBody>
      <dsp:txXfrm rot="-5400000">
        <a:off x="0" y="1645740"/>
        <a:ext cx="912086" cy="390894"/>
      </dsp:txXfrm>
    </dsp:sp>
    <dsp:sp modelId="{B8CE7D5F-4026-4595-A233-2AC3A661C58D}">
      <dsp:nvSpPr>
        <dsp:cNvPr id="0" name=""/>
        <dsp:cNvSpPr/>
      </dsp:nvSpPr>
      <dsp:spPr>
        <a:xfrm rot="5400000">
          <a:off x="2971037" y="-869253"/>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Diversity and inclusion concepts</a:t>
          </a:r>
        </a:p>
        <a:p>
          <a:pPr marL="57150" lvl="1" indent="-57150" algn="l" defTabSz="400050">
            <a:lnSpc>
              <a:spcPct val="90000"/>
            </a:lnSpc>
            <a:spcBef>
              <a:spcPct val="0"/>
            </a:spcBef>
            <a:spcAft>
              <a:spcPct val="15000"/>
            </a:spcAft>
            <a:buChar char="•"/>
          </a:pPr>
          <a:r>
            <a:rPr lang="en-GB" sz="900" kern="1200"/>
            <a:t>Theoretical perspectives</a:t>
          </a:r>
        </a:p>
        <a:p>
          <a:pPr marL="57150" lvl="1" indent="-57150" algn="l" defTabSz="400050">
            <a:lnSpc>
              <a:spcPct val="90000"/>
            </a:lnSpc>
            <a:spcBef>
              <a:spcPct val="0"/>
            </a:spcBef>
            <a:spcAft>
              <a:spcPct val="15000"/>
            </a:spcAft>
            <a:buChar char="•"/>
          </a:pPr>
          <a:r>
            <a:rPr lang="en-GB" sz="900" kern="1200"/>
            <a:t>Opportunities of inclusive workplaces</a:t>
          </a:r>
        </a:p>
        <a:p>
          <a:pPr marL="57150" lvl="1" indent="-57150" algn="l" defTabSz="400050">
            <a:lnSpc>
              <a:spcPct val="90000"/>
            </a:lnSpc>
            <a:spcBef>
              <a:spcPct val="0"/>
            </a:spcBef>
            <a:spcAft>
              <a:spcPct val="15000"/>
            </a:spcAft>
            <a:buChar char="•"/>
          </a:pPr>
          <a:r>
            <a:rPr lang="en-GB" sz="900" kern="1200"/>
            <a:t>Challanges of workplace inclusion</a:t>
          </a:r>
        </a:p>
        <a:p>
          <a:pPr marL="57150" lvl="1" indent="-57150" algn="l" defTabSz="400050">
            <a:lnSpc>
              <a:spcPct val="90000"/>
            </a:lnSpc>
            <a:spcBef>
              <a:spcPct val="0"/>
            </a:spcBef>
            <a:spcAft>
              <a:spcPct val="15000"/>
            </a:spcAft>
            <a:buChar char="•"/>
          </a:pPr>
          <a:endParaRPr lang="en-GB" sz="900" kern="1200"/>
        </a:p>
      </dsp:txBody>
      <dsp:txXfrm rot="-5400000">
        <a:off x="912087" y="1231041"/>
        <a:ext cx="4923494" cy="764249"/>
      </dsp:txXfrm>
    </dsp:sp>
    <dsp:sp modelId="{EEB35EB0-7687-4FE1-98E6-5624D188E117}">
      <dsp:nvSpPr>
        <dsp:cNvPr id="0" name=""/>
        <dsp:cNvSpPr/>
      </dsp:nvSpPr>
      <dsp:spPr>
        <a:xfrm rot="5400000">
          <a:off x="-195447" y="2572906"/>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III-Methodology</a:t>
          </a:r>
        </a:p>
      </dsp:txBody>
      <dsp:txXfrm rot="-5400000">
        <a:off x="0" y="2833502"/>
        <a:ext cx="912086" cy="390894"/>
      </dsp:txXfrm>
    </dsp:sp>
    <dsp:sp modelId="{C4619BC7-A5DD-47F3-B405-BD42484FAA06}">
      <dsp:nvSpPr>
        <dsp:cNvPr id="0" name=""/>
        <dsp:cNvSpPr/>
      </dsp:nvSpPr>
      <dsp:spPr>
        <a:xfrm rot="5400000">
          <a:off x="2971037" y="318509"/>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Research design</a:t>
          </a:r>
        </a:p>
        <a:p>
          <a:pPr marL="57150" lvl="1" indent="-57150" algn="l" defTabSz="400050">
            <a:lnSpc>
              <a:spcPct val="90000"/>
            </a:lnSpc>
            <a:spcBef>
              <a:spcPct val="0"/>
            </a:spcBef>
            <a:spcAft>
              <a:spcPct val="15000"/>
            </a:spcAft>
            <a:buChar char="•"/>
          </a:pPr>
          <a:r>
            <a:rPr lang="en-GB" sz="900" kern="1200"/>
            <a:t>Data collection methods</a:t>
          </a:r>
        </a:p>
        <a:p>
          <a:pPr marL="57150" lvl="1" indent="-57150" algn="l" defTabSz="400050">
            <a:lnSpc>
              <a:spcPct val="90000"/>
            </a:lnSpc>
            <a:spcBef>
              <a:spcPct val="0"/>
            </a:spcBef>
            <a:spcAft>
              <a:spcPct val="15000"/>
            </a:spcAft>
            <a:buChar char="•"/>
          </a:pPr>
          <a:r>
            <a:rPr lang="en-GB" sz="900" kern="1200"/>
            <a:t>Data Analysis approach</a:t>
          </a:r>
        </a:p>
        <a:p>
          <a:pPr marL="57150" lvl="1" indent="-57150" algn="l" defTabSz="400050">
            <a:lnSpc>
              <a:spcPct val="90000"/>
            </a:lnSpc>
            <a:spcBef>
              <a:spcPct val="0"/>
            </a:spcBef>
            <a:spcAft>
              <a:spcPct val="15000"/>
            </a:spcAft>
            <a:buChar char="•"/>
          </a:pPr>
          <a:r>
            <a:rPr lang="en-GB" sz="900" kern="1200"/>
            <a:t>Ethical consideration</a:t>
          </a:r>
        </a:p>
      </dsp:txBody>
      <dsp:txXfrm rot="-5400000">
        <a:off x="912087" y="2418803"/>
        <a:ext cx="4923494" cy="764249"/>
      </dsp:txXfrm>
    </dsp:sp>
    <dsp:sp modelId="{466C3D6B-C7B4-4DDE-BCE1-F1D07403B1F5}">
      <dsp:nvSpPr>
        <dsp:cNvPr id="0" name=""/>
        <dsp:cNvSpPr/>
      </dsp:nvSpPr>
      <dsp:spPr>
        <a:xfrm rot="5400000">
          <a:off x="-195447" y="3760669"/>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IV-Results and analysis</a:t>
          </a:r>
        </a:p>
      </dsp:txBody>
      <dsp:txXfrm rot="-5400000">
        <a:off x="0" y="4021265"/>
        <a:ext cx="912086" cy="390894"/>
      </dsp:txXfrm>
    </dsp:sp>
    <dsp:sp modelId="{44C26693-99CF-4877-9281-82B0E71B6EE2}">
      <dsp:nvSpPr>
        <dsp:cNvPr id="0" name=""/>
        <dsp:cNvSpPr/>
      </dsp:nvSpPr>
      <dsp:spPr>
        <a:xfrm rot="5400000">
          <a:off x="2971037" y="1506271"/>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Secondary data analysis findings </a:t>
          </a:r>
        </a:p>
        <a:p>
          <a:pPr marL="57150" lvl="1" indent="-57150" algn="l" defTabSz="400050">
            <a:lnSpc>
              <a:spcPct val="90000"/>
            </a:lnSpc>
            <a:spcBef>
              <a:spcPct val="0"/>
            </a:spcBef>
            <a:spcAft>
              <a:spcPct val="15000"/>
            </a:spcAft>
            <a:buChar char="•"/>
          </a:pPr>
          <a:r>
            <a:rPr lang="en-GB" sz="900" kern="1200"/>
            <a:t>Discussion of key findings</a:t>
          </a:r>
        </a:p>
        <a:p>
          <a:pPr marL="57150" lvl="1" indent="-57150" algn="l" defTabSz="400050">
            <a:lnSpc>
              <a:spcPct val="90000"/>
            </a:lnSpc>
            <a:spcBef>
              <a:spcPct val="0"/>
            </a:spcBef>
            <a:spcAft>
              <a:spcPct val="15000"/>
            </a:spcAft>
            <a:buChar char="•"/>
          </a:pPr>
          <a:endParaRPr lang="en-GB" sz="900" kern="1200"/>
        </a:p>
      </dsp:txBody>
      <dsp:txXfrm rot="-5400000">
        <a:off x="912087" y="3606565"/>
        <a:ext cx="4923494" cy="764249"/>
      </dsp:txXfrm>
    </dsp:sp>
    <dsp:sp modelId="{58396002-0B60-4E02-83F7-262D0F6F9CF3}">
      <dsp:nvSpPr>
        <dsp:cNvPr id="0" name=""/>
        <dsp:cNvSpPr/>
      </dsp:nvSpPr>
      <dsp:spPr>
        <a:xfrm rot="5400000">
          <a:off x="-195447" y="4948431"/>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V-Discussion and Conclusion</a:t>
          </a:r>
        </a:p>
      </dsp:txBody>
      <dsp:txXfrm rot="-5400000">
        <a:off x="0" y="5209027"/>
        <a:ext cx="912086" cy="390894"/>
      </dsp:txXfrm>
    </dsp:sp>
    <dsp:sp modelId="{ABD9EEE9-849F-4385-9341-0421D55C2E91}">
      <dsp:nvSpPr>
        <dsp:cNvPr id="0" name=""/>
        <dsp:cNvSpPr/>
      </dsp:nvSpPr>
      <dsp:spPr>
        <a:xfrm rot="5400000">
          <a:off x="2971037" y="2694034"/>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Summary findings</a:t>
          </a:r>
        </a:p>
        <a:p>
          <a:pPr marL="57150" lvl="1" indent="-57150" algn="l" defTabSz="400050">
            <a:lnSpc>
              <a:spcPct val="90000"/>
            </a:lnSpc>
            <a:spcBef>
              <a:spcPct val="0"/>
            </a:spcBef>
            <a:spcAft>
              <a:spcPct val="15000"/>
            </a:spcAft>
            <a:buChar char="•"/>
          </a:pPr>
          <a:r>
            <a:rPr lang="en-GB" sz="900" kern="1200"/>
            <a:t>Organisational implications</a:t>
          </a:r>
        </a:p>
        <a:p>
          <a:pPr marL="57150" lvl="1" indent="-57150" algn="l" defTabSz="400050">
            <a:lnSpc>
              <a:spcPct val="90000"/>
            </a:lnSpc>
            <a:spcBef>
              <a:spcPct val="0"/>
            </a:spcBef>
            <a:spcAft>
              <a:spcPct val="15000"/>
            </a:spcAft>
            <a:buChar char="•"/>
          </a:pPr>
          <a:r>
            <a:rPr lang="en-GB" sz="900" kern="1200"/>
            <a:t>Study limitations</a:t>
          </a:r>
        </a:p>
        <a:p>
          <a:pPr marL="57150" lvl="1" indent="-57150" algn="l" defTabSz="400050">
            <a:lnSpc>
              <a:spcPct val="90000"/>
            </a:lnSpc>
            <a:spcBef>
              <a:spcPct val="0"/>
            </a:spcBef>
            <a:spcAft>
              <a:spcPct val="15000"/>
            </a:spcAft>
            <a:buChar char="•"/>
          </a:pPr>
          <a:r>
            <a:rPr lang="en-GB" sz="900" kern="1200"/>
            <a:t>Recomendation for practice </a:t>
          </a:r>
        </a:p>
        <a:p>
          <a:pPr marL="57150" lvl="1" indent="-57150" algn="l" defTabSz="400050">
            <a:lnSpc>
              <a:spcPct val="90000"/>
            </a:lnSpc>
            <a:spcBef>
              <a:spcPct val="0"/>
            </a:spcBef>
            <a:spcAft>
              <a:spcPct val="15000"/>
            </a:spcAft>
            <a:buChar char="•"/>
          </a:pPr>
          <a:r>
            <a:rPr lang="en-GB" sz="900" kern="1200"/>
            <a:t>Recommendation for future research</a:t>
          </a:r>
        </a:p>
      </dsp:txBody>
      <dsp:txXfrm rot="-5400000">
        <a:off x="912087" y="4794328"/>
        <a:ext cx="4923494" cy="76424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FAF97-E4A7-4C83-8EDB-A21608148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15</Pages>
  <Words>3005</Words>
  <Characters>17130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Diversity and Inclusion</vt:lpstr>
    </vt:vector>
  </TitlesOfParts>
  <Company/>
  <LinksUpToDate>false</LinksUpToDate>
  <CharactersWithSpaces>20095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and Inclusion</dc:title>
  <dc:subject>Business Research Proposal</dc:subject>
  <dc:creator>Georgiana Geru</dc:creator>
  <cp:keywords/>
  <dc:description/>
  <cp:lastModifiedBy>Georgiana Geru</cp:lastModifiedBy>
  <cp:revision>66</cp:revision>
  <dcterms:created xsi:type="dcterms:W3CDTF">2026-06-22T12:26:00Z</dcterms:created>
  <dcterms:modified xsi:type="dcterms:W3CDTF">2026-06-29T11:21:00Z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59a25010-66d4-4353-b9ad-0cea49cc56dd</vt:lpwstr>
  </property>
</Properties>
</file>