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5C804F" w14:textId="7B482F52" w:rsidR="009C45EE" w:rsidRPr="00672E75" w:rsidRDefault="003344A0" w:rsidP="00672E75">
      <w:pPr>
        <w:jc w:val="center"/>
        <w:rPr>
          <w:rFonts w:ascii="Arial" w:hAnsi="Arial" w:cs="Arial"/>
          <w:b/>
          <w:u w:val="single"/>
        </w:rPr>
      </w:pPr>
      <w:r w:rsidRPr="006B451C">
        <w:rPr>
          <w:rFonts w:ascii="Arial" w:hAnsi="Arial" w:cs="Arial"/>
          <w:b/>
          <w:u w:val="single"/>
        </w:rPr>
        <w:t xml:space="preserve">Academic </w:t>
      </w:r>
      <w:r w:rsidR="00E36A0B">
        <w:rPr>
          <w:rFonts w:ascii="Arial" w:hAnsi="Arial" w:cs="Arial"/>
          <w:b/>
          <w:u w:val="single"/>
        </w:rPr>
        <w:t>A</w:t>
      </w:r>
      <w:r w:rsidRPr="006B451C">
        <w:rPr>
          <w:rFonts w:ascii="Arial" w:hAnsi="Arial" w:cs="Arial"/>
          <w:b/>
          <w:u w:val="single"/>
        </w:rPr>
        <w:t>ssignment – Hafizur Rahman – 2245755</w:t>
      </w:r>
      <w:r w:rsidR="00672E75">
        <w:rPr>
          <w:rFonts w:ascii="Arial" w:hAnsi="Arial" w:cs="Arial"/>
          <w:b/>
          <w:u w:val="single"/>
        </w:rPr>
        <w:br/>
      </w:r>
    </w:p>
    <w:p w14:paraId="48D9056B" w14:textId="65ACD1E0" w:rsidR="00DE29FC" w:rsidRPr="00DE29FC" w:rsidRDefault="003344A0" w:rsidP="001B6F01">
      <w:pPr>
        <w:spacing w:line="257" w:lineRule="auto"/>
        <w:ind w:right="531"/>
        <w:rPr>
          <w:rFonts w:ascii="Arial" w:hAnsi="Arial" w:cs="Arial"/>
        </w:rPr>
      </w:pPr>
      <w:r w:rsidRPr="006B451C">
        <w:rPr>
          <w:rFonts w:ascii="Arial" w:eastAsia="Calibri" w:hAnsi="Arial" w:cs="Arial"/>
          <w:b/>
          <w:bCs/>
        </w:rPr>
        <w:t>Essay one</w:t>
      </w:r>
    </w:p>
    <w:p w14:paraId="65A6CF02" w14:textId="1CB95870" w:rsidR="00DE29FC" w:rsidRPr="00DE29FC" w:rsidRDefault="00DE29FC" w:rsidP="00DE29FC">
      <w:pPr>
        <w:rPr>
          <w:rFonts w:ascii="Arial" w:hAnsi="Arial" w:cs="Arial"/>
          <w:bCs/>
        </w:rPr>
      </w:pPr>
      <w:r w:rsidRPr="00DE29FC">
        <w:rPr>
          <w:rFonts w:ascii="Arial" w:hAnsi="Arial" w:cs="Arial"/>
          <w:bCs/>
        </w:rPr>
        <w:t>In the UK, police departments are working to better represent and comprehend the communities they serve because of the growing recognition of the value of diversity in policing. Like many other law enforcement agencies, South Wales Police (SWP) has implemented numerous programs to promote diversity and enhance interaction with marginalised populations. This essay examines the effectiveness of South Wales Police’s adaptation to diversity within its ranks and in its dealings with a variety of groups. The research aims to evaluate the advancements and gaps in promoting diversity in South Wales policing by looking at recruiting procedures, community engagement initiatives, and ongoing difficulties.</w:t>
      </w:r>
    </w:p>
    <w:p w14:paraId="4F6C26E4" w14:textId="4C0DE86A" w:rsidR="00DE29FC" w:rsidRPr="00DE29FC" w:rsidRDefault="00DE29FC" w:rsidP="00DE29FC">
      <w:pPr>
        <w:rPr>
          <w:rFonts w:ascii="Arial" w:hAnsi="Arial" w:cs="Arial"/>
          <w:bCs/>
        </w:rPr>
      </w:pPr>
      <w:r w:rsidRPr="00DE29FC">
        <w:rPr>
          <w:rFonts w:ascii="Arial" w:hAnsi="Arial" w:cs="Arial"/>
          <w:bCs/>
        </w:rPr>
        <w:t>According to statistics provided by Police UK (2021), SWP has a 97.4% white workforce, with the remaining 2.6% comprising individuals from Black, Asian, and minority ethnic (BAME) backgrounds, confirming the lack of representation within the force. However, it is important to consider that this data is a few years old and that the information is based on officers who chose to disclose their background, as many may have decided not to disclose this information.</w:t>
      </w:r>
    </w:p>
    <w:p w14:paraId="0648DF16" w14:textId="6A2CFF81" w:rsidR="00DE29FC" w:rsidRPr="00DE29FC" w:rsidRDefault="00DE29FC" w:rsidP="00DE29FC">
      <w:pPr>
        <w:rPr>
          <w:rFonts w:ascii="Arial" w:hAnsi="Arial" w:cs="Arial"/>
          <w:bCs/>
        </w:rPr>
      </w:pPr>
      <w:r w:rsidRPr="00DE29FC">
        <w:rPr>
          <w:rFonts w:ascii="Arial" w:hAnsi="Arial" w:cs="Arial"/>
          <w:bCs/>
        </w:rPr>
        <w:t>More recently, by 2020, BAME officers represented only 7% of the police service across England and Wales, and just 4% of officers at or above the rank of chief inspector were from BAME backgrounds (Parliament, 2021).</w:t>
      </w:r>
    </w:p>
    <w:p w14:paraId="6D7194F2" w14:textId="1D5E9CEC" w:rsidR="00DE29FC" w:rsidRPr="00DE29FC" w:rsidRDefault="00DE29FC" w:rsidP="00DE29FC">
      <w:pPr>
        <w:rPr>
          <w:rFonts w:ascii="Arial" w:hAnsi="Arial" w:cs="Arial"/>
          <w:bCs/>
        </w:rPr>
      </w:pPr>
      <w:r w:rsidRPr="00DE29FC">
        <w:rPr>
          <w:rFonts w:ascii="Arial" w:hAnsi="Arial" w:cs="Arial"/>
          <w:bCs/>
        </w:rPr>
        <w:t>SWP has a department known as the Equality, Diversity, and Inclusion (EDI) team, whose sole purpose is to maintain inclusivity for all cultures and to maintain a diverse workforce that meets the needs of the diverse community served by SWP (SWP, NA). Many forces across the UK have similar teams set up, displaying the efforts being made to diversify police forces and reflect the communities they serve.</w:t>
      </w:r>
    </w:p>
    <w:p w14:paraId="7E5121D5" w14:textId="012821C2" w:rsidR="00DE29FC" w:rsidRPr="00DE29FC" w:rsidRDefault="00DE29FC" w:rsidP="00DE29FC">
      <w:pPr>
        <w:rPr>
          <w:rFonts w:ascii="Arial" w:hAnsi="Arial" w:cs="Arial"/>
          <w:bCs/>
        </w:rPr>
      </w:pPr>
      <w:r w:rsidRPr="00DE29FC">
        <w:rPr>
          <w:rFonts w:ascii="Arial" w:hAnsi="Arial" w:cs="Arial"/>
          <w:bCs/>
        </w:rPr>
        <w:t>In its efforts to provide equality, diversity, and inclusion, SWP has also collaborated with the Police and Crime Commissioner for South Wales to develop the Joint Race Equality Plan (JREP). The plan outlines how SWP will promote race equality and address racial disparities throughout its services and workforce (SWP, Our Equality Objectives, NA).</w:t>
      </w:r>
    </w:p>
    <w:p w14:paraId="584983BC" w14:textId="6AE2882D" w:rsidR="00DE29FC" w:rsidRPr="00DE29FC" w:rsidRDefault="00DE29FC" w:rsidP="00DE29FC">
      <w:pPr>
        <w:rPr>
          <w:rFonts w:ascii="Arial" w:hAnsi="Arial" w:cs="Arial"/>
          <w:bCs/>
        </w:rPr>
      </w:pPr>
      <w:r w:rsidRPr="00DE29FC">
        <w:rPr>
          <w:rFonts w:ascii="Arial" w:hAnsi="Arial" w:cs="Arial"/>
          <w:bCs/>
        </w:rPr>
        <w:t>The JREP plan mentions achieving a representative workforce, something SWP has worked on through an enhanced approach over the last six years to increase the number of BAME staff. However, they are still a long way from being representative of their communities (JREP, 2021). The SWP Strategic Equality Plan (2024) also mentions that they will “work with chosen university partners to promote career opportunities within South Wales Police and introduce bursaries for Black, Asian, and minority ethnic students wishing to undertake the pre-join degree.”</w:t>
      </w:r>
    </w:p>
    <w:p w14:paraId="174F97F8" w14:textId="77777777" w:rsidR="00DE29FC" w:rsidRPr="00DE29FC" w:rsidRDefault="00DE29FC" w:rsidP="00DE29FC">
      <w:pPr>
        <w:rPr>
          <w:rFonts w:ascii="Arial" w:hAnsi="Arial" w:cs="Arial"/>
          <w:bCs/>
        </w:rPr>
      </w:pPr>
      <w:r w:rsidRPr="00DE29FC">
        <w:rPr>
          <w:rFonts w:ascii="Arial" w:hAnsi="Arial" w:cs="Arial"/>
          <w:bCs/>
        </w:rPr>
        <w:t>Cox (2019) states that policing ethnic minority communities is complex due to historical events, such as the Brixton Riots and the murder of Stephen Lawrence, which have resulted in significant attention being drawn to numerous policing failures. Cox believes that good practice requires the police to enlist the help of the public in creating safe communities.</w:t>
      </w:r>
    </w:p>
    <w:p w14:paraId="41C6074B" w14:textId="4C7194B3" w:rsidR="00DE29FC" w:rsidRPr="00DE29FC" w:rsidRDefault="00DE29FC" w:rsidP="00DE29FC">
      <w:pPr>
        <w:rPr>
          <w:rFonts w:ascii="Arial" w:hAnsi="Arial" w:cs="Arial"/>
          <w:bCs/>
        </w:rPr>
      </w:pPr>
      <w:r w:rsidRPr="00DE29FC">
        <w:rPr>
          <w:rFonts w:ascii="Arial" w:hAnsi="Arial" w:cs="Arial"/>
          <w:bCs/>
        </w:rPr>
        <w:t xml:space="preserve">A study by Bullock and Johnson (2017) explored how police engage with marginalised communities, specifically focusing on engagement with Muslim communities. It states that police often face difficulties in engaging these communities due to mistrust rooted in broad social and systemic biases. The study emphasizes how negative stereotypes and profiling </w:t>
      </w:r>
      <w:r w:rsidRPr="00DE29FC">
        <w:rPr>
          <w:rFonts w:ascii="Arial" w:hAnsi="Arial" w:cs="Arial"/>
          <w:bCs/>
        </w:rPr>
        <w:lastRenderedPageBreak/>
        <w:t>have historically alienated the Muslim community. It is suggested that police should focus on fostering collaborative relationships with community leaders to build trust and dismantle past stereotypes.</w:t>
      </w:r>
    </w:p>
    <w:p w14:paraId="16B019DE" w14:textId="179719BB" w:rsidR="00DE29FC" w:rsidRPr="00DE29FC" w:rsidRDefault="00DE29FC" w:rsidP="00DE29FC">
      <w:pPr>
        <w:rPr>
          <w:rFonts w:ascii="Arial" w:hAnsi="Arial" w:cs="Arial"/>
          <w:bCs/>
        </w:rPr>
      </w:pPr>
      <w:r w:rsidRPr="00DE29FC">
        <w:rPr>
          <w:rFonts w:ascii="Arial" w:hAnsi="Arial" w:cs="Arial"/>
          <w:bCs/>
        </w:rPr>
        <w:t>Safe Newcastle (n.d.) states that community tensions can threaten the stability of communities and can lead to crime, often developing when a lack of trust exists between the public and institutions they rely on, such as the police. Therefore, forces have neighbourhood policing teams whose focus is on developing trusting relationships, which ultimately help in identifying emerging tensions that can be addressed by police.</w:t>
      </w:r>
    </w:p>
    <w:p w14:paraId="463C4295" w14:textId="517AF15C" w:rsidR="00DE29FC" w:rsidRPr="00DE29FC" w:rsidRDefault="00DE29FC" w:rsidP="00DE29FC">
      <w:pPr>
        <w:rPr>
          <w:rFonts w:ascii="Arial" w:hAnsi="Arial" w:cs="Arial"/>
          <w:bCs/>
        </w:rPr>
      </w:pPr>
      <w:r w:rsidRPr="00DE29FC">
        <w:rPr>
          <w:rFonts w:ascii="Arial" w:hAnsi="Arial" w:cs="Arial"/>
          <w:bCs/>
        </w:rPr>
        <w:t>SWP appears to have taken many steps to build this trust. The JREP strategy (2021) states that SWP is committed to engaging with the BAME community to improve confidence between the community and the force, working collaboratively to understand the needs and wants of this community.</w:t>
      </w:r>
    </w:p>
    <w:p w14:paraId="10D099D6" w14:textId="3EAC7EAA" w:rsidR="00DE29FC" w:rsidRPr="00DE29FC" w:rsidRDefault="00DE29FC" w:rsidP="00DE29FC">
      <w:pPr>
        <w:rPr>
          <w:rFonts w:ascii="Arial" w:hAnsi="Arial" w:cs="Arial"/>
          <w:bCs/>
        </w:rPr>
      </w:pPr>
      <w:r w:rsidRPr="00DE29FC">
        <w:rPr>
          <w:rFonts w:ascii="Arial" w:hAnsi="Arial" w:cs="Arial"/>
          <w:bCs/>
        </w:rPr>
        <w:t>A police officer interviewed commented that “young Black men are more likely to be stopped and searched than young White men, and that’s purely down to human bias,” whereas another officer believes that particular areas are over-policed with resources, which becomes what he describes as a “self-fulfilling prophecy,” not necessarily because of discrimination (Babuta &amp; Oswald, 2019).</w:t>
      </w:r>
    </w:p>
    <w:p w14:paraId="7CBE17B8" w14:textId="36724E38" w:rsidR="00DE29FC" w:rsidRPr="00DE29FC" w:rsidRDefault="00DE29FC" w:rsidP="00DE29FC">
      <w:pPr>
        <w:rPr>
          <w:rFonts w:ascii="Arial" w:hAnsi="Arial" w:cs="Arial"/>
          <w:bCs/>
        </w:rPr>
      </w:pPr>
      <w:r w:rsidRPr="00DE29FC">
        <w:rPr>
          <w:rFonts w:ascii="Arial" w:hAnsi="Arial" w:cs="Arial"/>
          <w:bCs/>
        </w:rPr>
        <w:t>Unconscious bias training is also mentioned as an area of focus to improve the service provided to this community, emphasizing SWP’s position on wanting to improve engagement and trust-building between diverse communities (JREP, 2021). SWP has also committed to providing equal access to its service for all communities using its EDI team, according to its Strategic Equality Plan (2024, p.15).</w:t>
      </w:r>
    </w:p>
    <w:p w14:paraId="6CB43851" w14:textId="6114C3D3" w:rsidR="00DE29FC" w:rsidRPr="00DE29FC" w:rsidRDefault="00DE29FC" w:rsidP="00DE29FC">
      <w:pPr>
        <w:rPr>
          <w:rFonts w:ascii="Arial" w:hAnsi="Arial" w:cs="Arial"/>
          <w:bCs/>
        </w:rPr>
      </w:pPr>
      <w:r w:rsidRPr="00DE29FC">
        <w:rPr>
          <w:rFonts w:ascii="Arial" w:hAnsi="Arial" w:cs="Arial"/>
          <w:bCs/>
        </w:rPr>
        <w:t>Despite SWP’s efforts to embrace diversity and enhance community engagement, several challenges and criticisms persist. One ongoing concern is the excessive use of stop-and-search authority, which undermines trust among ethnic minority groups. According to Home Office statistics, for every 1,000 people searched, 24.5 searches were conducted on Black people compared to 5.9 on their White counterparts (Home Office, 2024). This practice has been widely criticized due to the disproportionality in the use of stop-and-search powers (UK Parliament, 2021).</w:t>
      </w:r>
    </w:p>
    <w:p w14:paraId="58FDF319" w14:textId="15F5B725" w:rsidR="00DE29FC" w:rsidRPr="00DE29FC" w:rsidRDefault="00DE29FC" w:rsidP="00DE29FC">
      <w:pPr>
        <w:rPr>
          <w:rFonts w:ascii="Arial" w:hAnsi="Arial" w:cs="Arial"/>
          <w:bCs/>
        </w:rPr>
      </w:pPr>
      <w:r w:rsidRPr="00DE29FC">
        <w:rPr>
          <w:rFonts w:ascii="Arial" w:hAnsi="Arial" w:cs="Arial"/>
          <w:bCs/>
        </w:rPr>
        <w:t>It is argued that White officers tend to have an advantage in jobs, promotions, and general career advancement (Zempi, 2018). However, this study also touches on double standards, with White officers feeling like victims of bias and prejudice due to perceived organizational efforts to proactively support BAME officers, resulting in opportunities being closed to them because of their race.</w:t>
      </w:r>
    </w:p>
    <w:p w14:paraId="13A5A377" w14:textId="18BA7AEF" w:rsidR="00DE29FC" w:rsidRPr="00DE29FC" w:rsidRDefault="00DE29FC" w:rsidP="00DE29FC">
      <w:pPr>
        <w:rPr>
          <w:rFonts w:ascii="Arial" w:hAnsi="Arial" w:cs="Arial"/>
          <w:bCs/>
        </w:rPr>
      </w:pPr>
      <w:r w:rsidRPr="00DE29FC">
        <w:rPr>
          <w:rFonts w:ascii="Arial" w:hAnsi="Arial" w:cs="Arial"/>
          <w:bCs/>
        </w:rPr>
        <w:t>According to Holdaway and Barron (1997, cited in Fekjaer &amp; Alecu, 2021), minority officers who resigned describe being excluded from full inclusion in the workplace culture. According to their experience, full membership necessitated adherence to the prevalent tenets of a Caucasian workplace culture, which included discrimination and racial prejudice. Ultimately, this exclusion contributes to higher attrition rates among officers from immigrant backgrounds.</w:t>
      </w:r>
    </w:p>
    <w:p w14:paraId="50CAB4D0" w14:textId="1B4D9F05" w:rsidR="00DE29FC" w:rsidRPr="00DE29FC" w:rsidRDefault="00DE29FC" w:rsidP="00DE29FC">
      <w:pPr>
        <w:rPr>
          <w:rFonts w:ascii="Arial" w:hAnsi="Arial" w:cs="Arial"/>
          <w:bCs/>
        </w:rPr>
      </w:pPr>
      <w:r w:rsidRPr="00DE29FC">
        <w:rPr>
          <w:rFonts w:ascii="Arial" w:hAnsi="Arial" w:cs="Arial"/>
          <w:bCs/>
        </w:rPr>
        <w:t>In conclusion, both internally and in its interactions with various communities, SWP has made significant progress in embracing diversity. Dedication to promoting inclusivity and trust is shown through initiatives such as community outreach programmes, minority liaison officers, and focused recruitment efforts. However, significant obstacles still exist, such as the unequal use of stop-and-search powers, perceptions of inconsistent community involvement efforts, and systemic hurdles to career advancement for minority officers.</w:t>
      </w:r>
    </w:p>
    <w:p w14:paraId="0B877552" w14:textId="77777777" w:rsidR="00DE29FC" w:rsidRPr="00DE29FC" w:rsidRDefault="00DE29FC" w:rsidP="00DE29FC">
      <w:pPr>
        <w:rPr>
          <w:rFonts w:ascii="Arial" w:hAnsi="Arial" w:cs="Arial"/>
          <w:bCs/>
        </w:rPr>
      </w:pPr>
      <w:r w:rsidRPr="00DE29FC">
        <w:rPr>
          <w:rFonts w:ascii="Arial" w:hAnsi="Arial" w:cs="Arial"/>
          <w:bCs/>
        </w:rPr>
        <w:lastRenderedPageBreak/>
        <w:t>These critiques draw attention to the necessity of a more comprehensive strategy that addresses systemic injustices within the organization and improves accountability and transparency in policing procedures. To make sustainable progress, SWP must embed diversity and inclusion into its culture and policy, ensuring that its personnel and procedures truly reflect the communities it serves.</w:t>
      </w:r>
    </w:p>
    <w:p w14:paraId="66AC7186" w14:textId="77777777" w:rsidR="00DE29FC" w:rsidRPr="00DE29FC" w:rsidRDefault="00DE29FC" w:rsidP="00DE29FC">
      <w:pPr>
        <w:rPr>
          <w:rFonts w:ascii="Arial" w:hAnsi="Arial" w:cs="Arial"/>
          <w:bCs/>
        </w:rPr>
      </w:pPr>
    </w:p>
    <w:p w14:paraId="008C1E5D" w14:textId="77777777" w:rsidR="00DE29FC" w:rsidRPr="00DE29FC" w:rsidRDefault="00DE29FC" w:rsidP="00DE29FC">
      <w:pPr>
        <w:rPr>
          <w:rFonts w:ascii="Arial" w:hAnsi="Arial" w:cs="Arial"/>
          <w:bCs/>
        </w:rPr>
      </w:pPr>
      <w:r w:rsidRPr="00DE29FC">
        <w:rPr>
          <w:rFonts w:ascii="Arial" w:hAnsi="Arial" w:cs="Arial"/>
          <w:bCs/>
        </w:rPr>
        <w:t>Word Count: 1098</w:t>
      </w:r>
    </w:p>
    <w:p w14:paraId="3CDFC04D" w14:textId="77777777" w:rsidR="003344A0" w:rsidRPr="006B451C" w:rsidRDefault="003344A0" w:rsidP="003344A0">
      <w:pPr>
        <w:rPr>
          <w:rFonts w:ascii="Arial" w:hAnsi="Arial" w:cs="Arial"/>
          <w:bCs/>
        </w:rPr>
      </w:pPr>
    </w:p>
    <w:p w14:paraId="6EE11A98" w14:textId="77777777" w:rsidR="003344A0" w:rsidRPr="006B451C" w:rsidRDefault="003344A0" w:rsidP="003344A0">
      <w:pPr>
        <w:rPr>
          <w:bCs/>
          <w:color w:val="FF0000"/>
        </w:rPr>
      </w:pPr>
    </w:p>
    <w:p w14:paraId="4CC62424" w14:textId="77777777" w:rsidR="003344A0" w:rsidRPr="006B451C" w:rsidRDefault="003344A0" w:rsidP="003344A0"/>
    <w:p w14:paraId="4B3943D0" w14:textId="77777777" w:rsidR="00EE0529" w:rsidRPr="006B451C" w:rsidRDefault="00EE0529" w:rsidP="00FE4275">
      <w:pPr>
        <w:rPr>
          <w:b/>
          <w:bCs/>
        </w:rPr>
      </w:pPr>
    </w:p>
    <w:p w14:paraId="58BD27A4" w14:textId="77777777" w:rsidR="00EE0529" w:rsidRPr="006B451C" w:rsidRDefault="00EE0529" w:rsidP="00FE4275">
      <w:pPr>
        <w:rPr>
          <w:b/>
          <w:bCs/>
        </w:rPr>
      </w:pPr>
    </w:p>
    <w:p w14:paraId="71E44A86" w14:textId="77777777" w:rsidR="00EE0529" w:rsidRPr="006B451C" w:rsidRDefault="00EE0529" w:rsidP="00FE4275">
      <w:pPr>
        <w:rPr>
          <w:b/>
          <w:bCs/>
        </w:rPr>
      </w:pPr>
    </w:p>
    <w:p w14:paraId="082E3A57" w14:textId="77777777" w:rsidR="00EE0529" w:rsidRPr="006B451C" w:rsidRDefault="00EE0529" w:rsidP="00FE4275">
      <w:pPr>
        <w:rPr>
          <w:b/>
          <w:bCs/>
        </w:rPr>
      </w:pPr>
    </w:p>
    <w:p w14:paraId="194A4228" w14:textId="77777777" w:rsidR="00EE0529" w:rsidRPr="006B451C" w:rsidRDefault="00EE0529" w:rsidP="00FE4275">
      <w:pPr>
        <w:rPr>
          <w:b/>
          <w:bCs/>
        </w:rPr>
      </w:pPr>
    </w:p>
    <w:p w14:paraId="521056FD" w14:textId="77777777" w:rsidR="000079ED" w:rsidRDefault="000079ED" w:rsidP="00FE4275">
      <w:pPr>
        <w:rPr>
          <w:b/>
          <w:bCs/>
        </w:rPr>
      </w:pPr>
    </w:p>
    <w:p w14:paraId="2EFA879F" w14:textId="77777777" w:rsidR="000079ED" w:rsidRDefault="000079ED" w:rsidP="00FE4275">
      <w:pPr>
        <w:rPr>
          <w:b/>
          <w:bCs/>
        </w:rPr>
      </w:pPr>
    </w:p>
    <w:p w14:paraId="76CC486C" w14:textId="77777777" w:rsidR="000079ED" w:rsidRDefault="000079ED" w:rsidP="00FE4275">
      <w:pPr>
        <w:rPr>
          <w:b/>
          <w:bCs/>
        </w:rPr>
      </w:pPr>
    </w:p>
    <w:p w14:paraId="16A073A5" w14:textId="77777777" w:rsidR="000079ED" w:rsidRDefault="000079ED" w:rsidP="00FE4275">
      <w:pPr>
        <w:rPr>
          <w:b/>
          <w:bCs/>
        </w:rPr>
      </w:pPr>
    </w:p>
    <w:p w14:paraId="0DF54554" w14:textId="77777777" w:rsidR="000079ED" w:rsidRDefault="000079ED" w:rsidP="00FE4275">
      <w:pPr>
        <w:rPr>
          <w:b/>
          <w:bCs/>
        </w:rPr>
      </w:pPr>
    </w:p>
    <w:p w14:paraId="38F8F13B" w14:textId="77777777" w:rsidR="000079ED" w:rsidRDefault="000079ED" w:rsidP="00FE4275">
      <w:pPr>
        <w:rPr>
          <w:b/>
          <w:bCs/>
        </w:rPr>
      </w:pPr>
    </w:p>
    <w:p w14:paraId="7D1706D1" w14:textId="77777777" w:rsidR="000079ED" w:rsidRDefault="000079ED" w:rsidP="00FE4275">
      <w:pPr>
        <w:rPr>
          <w:b/>
          <w:bCs/>
        </w:rPr>
      </w:pPr>
    </w:p>
    <w:p w14:paraId="3D273730" w14:textId="77777777" w:rsidR="000079ED" w:rsidRDefault="000079ED" w:rsidP="00FE4275">
      <w:pPr>
        <w:rPr>
          <w:b/>
          <w:bCs/>
        </w:rPr>
      </w:pPr>
    </w:p>
    <w:p w14:paraId="6C9D157F" w14:textId="77777777" w:rsidR="000079ED" w:rsidRDefault="000079ED" w:rsidP="00FE4275">
      <w:pPr>
        <w:rPr>
          <w:b/>
          <w:bCs/>
        </w:rPr>
      </w:pPr>
    </w:p>
    <w:p w14:paraId="1E3CA8F7" w14:textId="77777777" w:rsidR="000079ED" w:rsidRDefault="000079ED" w:rsidP="00FE4275">
      <w:pPr>
        <w:rPr>
          <w:b/>
          <w:bCs/>
        </w:rPr>
      </w:pPr>
    </w:p>
    <w:p w14:paraId="3A638C86" w14:textId="77777777" w:rsidR="000079ED" w:rsidRDefault="000079ED" w:rsidP="00FE4275">
      <w:pPr>
        <w:rPr>
          <w:b/>
          <w:bCs/>
        </w:rPr>
      </w:pPr>
    </w:p>
    <w:p w14:paraId="20DF654C" w14:textId="77777777" w:rsidR="000079ED" w:rsidRDefault="000079ED" w:rsidP="00FE4275">
      <w:pPr>
        <w:rPr>
          <w:b/>
          <w:bCs/>
        </w:rPr>
      </w:pPr>
    </w:p>
    <w:p w14:paraId="200090D8" w14:textId="77777777" w:rsidR="000079ED" w:rsidRDefault="000079ED" w:rsidP="00FE4275">
      <w:pPr>
        <w:rPr>
          <w:b/>
          <w:bCs/>
        </w:rPr>
      </w:pPr>
    </w:p>
    <w:p w14:paraId="29D3C4AD" w14:textId="77777777" w:rsidR="000079ED" w:rsidRDefault="000079ED" w:rsidP="00FE4275">
      <w:pPr>
        <w:rPr>
          <w:b/>
          <w:bCs/>
        </w:rPr>
      </w:pPr>
    </w:p>
    <w:p w14:paraId="23C26D50" w14:textId="77777777" w:rsidR="000079ED" w:rsidRDefault="000079ED" w:rsidP="00FE4275">
      <w:pPr>
        <w:rPr>
          <w:b/>
          <w:bCs/>
        </w:rPr>
      </w:pPr>
    </w:p>
    <w:p w14:paraId="0E9C21D5" w14:textId="77777777" w:rsidR="000079ED" w:rsidRDefault="000079ED" w:rsidP="00FE4275">
      <w:pPr>
        <w:rPr>
          <w:b/>
          <w:bCs/>
        </w:rPr>
      </w:pPr>
    </w:p>
    <w:p w14:paraId="5C812378" w14:textId="77777777" w:rsidR="00672E75" w:rsidRDefault="00672E75" w:rsidP="00FE4275">
      <w:pPr>
        <w:rPr>
          <w:b/>
          <w:bCs/>
        </w:rPr>
      </w:pPr>
    </w:p>
    <w:p w14:paraId="1FD0DCFD" w14:textId="77777777" w:rsidR="00672E75" w:rsidRDefault="00672E75" w:rsidP="00FE4275">
      <w:pPr>
        <w:rPr>
          <w:b/>
          <w:bCs/>
        </w:rPr>
      </w:pPr>
    </w:p>
    <w:p w14:paraId="194D887C" w14:textId="613A9772" w:rsidR="00C725EC" w:rsidRPr="006B451C" w:rsidRDefault="00C725EC" w:rsidP="00FE4275">
      <w:pPr>
        <w:rPr>
          <w:b/>
          <w:bCs/>
        </w:rPr>
      </w:pPr>
      <w:r w:rsidRPr="006B451C">
        <w:rPr>
          <w:b/>
          <w:bCs/>
        </w:rPr>
        <w:lastRenderedPageBreak/>
        <w:t xml:space="preserve">Essay </w:t>
      </w:r>
      <w:r w:rsidR="00EE0529" w:rsidRPr="006B451C">
        <w:rPr>
          <w:b/>
          <w:bCs/>
        </w:rPr>
        <w:t>Two – Response Policing</w:t>
      </w:r>
      <w:r w:rsidRPr="006B451C">
        <w:rPr>
          <w:b/>
          <w:bCs/>
        </w:rPr>
        <w:t xml:space="preserve"> </w:t>
      </w:r>
    </w:p>
    <w:p w14:paraId="0460C037" w14:textId="7488A1BD" w:rsidR="005F2BBF" w:rsidRPr="005F2BBF" w:rsidRDefault="005F2BBF" w:rsidP="005F2BBF">
      <w:pPr>
        <w:rPr>
          <w:lang w:val="en-US"/>
        </w:rPr>
      </w:pPr>
      <w:r w:rsidRPr="005F2BBF">
        <w:rPr>
          <w:lang w:val="en-US"/>
        </w:rPr>
        <w:t>Police officers face significant stressors and traumatic situations that impact their mental well-being, including the threat of harm, high-pressure decision-making, and exposure to violence and suffering (Violanti et al., 2019). Research indicates that exposure to traumatic events, such as fatal accidents, violent crimes, and terrorism, increases the likelihood of officers developing PTSD and other mental health disorders (Pienaar et al., 2018). For example, after the 2017 Manchester Arena bombing, many officers developed PTSD due to the traumatic nature of the incident and the ongoing threat of terrorism (French et al., 2019). This highlights the urgent need to prioritise mental health within law enforcement. This essay will explore the importance of mental well-being in response policing, outline the consequences of failing to manage mental health, and critically assess initiatives to address these challenges.</w:t>
      </w:r>
    </w:p>
    <w:p w14:paraId="2A7893BB" w14:textId="73C7E19F" w:rsidR="005F2BBF" w:rsidRPr="005F2BBF" w:rsidRDefault="005F2BBF" w:rsidP="005F2BBF">
      <w:pPr>
        <w:rPr>
          <w:lang w:val="en-US"/>
        </w:rPr>
      </w:pPr>
      <w:r w:rsidRPr="005F2BBF">
        <w:rPr>
          <w:lang w:val="en-US"/>
        </w:rPr>
        <w:t>Police officers regularly encounter high-stress situations that can leave lasting psychological effects. Exposure to traumatic incidents such as violent crimes, fatal accidents, and terrorist attacks can lead to conditions like PTSD, anxiety, and depression (Violanti et al., 2019; Pienaar et al., 2018). The mental well-being of officers is crucial for their health and the efficiency of the police force. If officers’ mental health is not adequately managed, it can impair their ability to perform their duties, directly impacting public safety. For instance, untreated PTSD can impair decision-making, reduce job performance, and contribute to risky behaviour, all of which are detrimental to both officers and the communities they serve (Santre, 2024).</w:t>
      </w:r>
    </w:p>
    <w:p w14:paraId="0FCF3F77" w14:textId="0AAB5187" w:rsidR="005F2BBF" w:rsidRPr="005F2BBF" w:rsidRDefault="005F2BBF" w:rsidP="005F2BBF">
      <w:pPr>
        <w:rPr>
          <w:lang w:val="en-US"/>
        </w:rPr>
      </w:pPr>
      <w:r w:rsidRPr="005F2BBF">
        <w:rPr>
          <w:lang w:val="en-US"/>
        </w:rPr>
        <w:t>The trauma experienced by officers can also affect their long-term health, leading to burnout, absenteeism, and premature retirement (Fox et al., 2012). In severe cases, untreated mental health issues may result in self-harm or suicide. The mental well-being of officers is crucial not only for their health but also for the efficiency of the police force as a whole. Without proper mental health management, forces can face staffing shortages and low morale, negatively impacting performance and community safety (Roach, n.d.).</w:t>
      </w:r>
    </w:p>
    <w:p w14:paraId="6A0C8C07" w14:textId="3323537D" w:rsidR="005F2BBF" w:rsidRPr="005F2BBF" w:rsidRDefault="005F2BBF" w:rsidP="005F2BBF">
      <w:pPr>
        <w:rPr>
          <w:lang w:val="en-US"/>
        </w:rPr>
      </w:pPr>
      <w:r w:rsidRPr="005F2BBF">
        <w:rPr>
          <w:lang w:val="en-US"/>
        </w:rPr>
        <w:t xml:space="preserve">Failing to address mental health issues within law enforcement can have severe consequences, both for officers and the communities they serve. Officers suffering from PTSD or other mental health conditions may experience emotional instability, leading to poor judgement or inappropriate responses during high-pressure situations. This can erode public confidence in the police force, as seen in the aftermath of the 2017 London Bridge terrorist attack, where some officers showed emotional distress, affecting their operational effectiveness (Jumbe et al., 2021). If mental health is not properly managed, officers could find it difficult to handle critical situations effectively, which could </w:t>
      </w:r>
      <w:r w:rsidRPr="005F2BBF">
        <w:t>jeopardise</w:t>
      </w:r>
      <w:r w:rsidRPr="005F2BBF">
        <w:rPr>
          <w:lang w:val="en-US"/>
        </w:rPr>
        <w:t xml:space="preserve"> both their safety and the safety of the public.</w:t>
      </w:r>
    </w:p>
    <w:p w14:paraId="7C706507" w14:textId="36F62115" w:rsidR="005F2BBF" w:rsidRPr="005F2BBF" w:rsidRDefault="005F2BBF" w:rsidP="005F2BBF">
      <w:pPr>
        <w:rPr>
          <w:lang w:val="en-US"/>
        </w:rPr>
      </w:pPr>
      <w:r w:rsidRPr="005F2BBF">
        <w:rPr>
          <w:lang w:val="en-US"/>
        </w:rPr>
        <w:t xml:space="preserve">Beyond individual performance, untreated mental health conditions can result in broader </w:t>
      </w:r>
      <w:r w:rsidRPr="005F2BBF">
        <w:t>organisational</w:t>
      </w:r>
      <w:r w:rsidRPr="005F2BBF">
        <w:rPr>
          <w:lang w:val="en-US"/>
        </w:rPr>
        <w:t xml:space="preserve"> issues, such as increased turnover and diminished workforce resilience. The stigma surrounding mental health in policing also exacerbates the problem, as officers are often reluctant to seek help due to fears of being perceived as weak (Burns &amp; Buchanan, 2020). This stigma can prevent early intervention, worsening the long-term impact of mental health issues on both the officers and the force.</w:t>
      </w:r>
    </w:p>
    <w:p w14:paraId="0C133A36" w14:textId="1306E751" w:rsidR="005F2BBF" w:rsidRPr="005F2BBF" w:rsidRDefault="005F2BBF" w:rsidP="005F2BBF">
      <w:pPr>
        <w:rPr>
          <w:lang w:val="en-US"/>
        </w:rPr>
      </w:pPr>
      <w:r w:rsidRPr="005F2BBF">
        <w:rPr>
          <w:lang w:val="en-US"/>
        </w:rPr>
        <w:t xml:space="preserve">The mental health challenges faced by officers can have a profound impact on their personal lives. Those grappling with conditions like PTSD or anxiety may find their stress levels at home escalated. The emotional strain from their profession can create obstacles in their relationships with spouses, partners, and children. Officers might find themselves spending less meaningful </w:t>
      </w:r>
      <w:r w:rsidRPr="005F2BBF">
        <w:rPr>
          <w:lang w:val="en-US"/>
        </w:rPr>
        <w:lastRenderedPageBreak/>
        <w:t>time with their families, as their mental health struggles can lead to increased withdrawal or irritability. The psychological burden of trauma experienced on duty can also prevent officers from being fully engaged in family life, exacerbating their mental health issues. This emotional pressure at home leads to a recurring cycle of stress, loneliness, and worsening mental health (Sadulski, 2017).</w:t>
      </w:r>
    </w:p>
    <w:p w14:paraId="7996BFCD" w14:textId="3F290262" w:rsidR="005F2BBF" w:rsidRPr="005F2BBF" w:rsidRDefault="005F2BBF" w:rsidP="005F2BBF">
      <w:pPr>
        <w:rPr>
          <w:lang w:val="en-US"/>
        </w:rPr>
      </w:pPr>
      <w:r w:rsidRPr="005F2BBF">
        <w:rPr>
          <w:lang w:val="en-US"/>
        </w:rPr>
        <w:t xml:space="preserve">Multiple initiatives have been launched to enhance mental health support within police departments. A prominent example is the National Police Wellbeing Service (NPWS) in the UK, which provides confidential counselling and resources to assist officers in managing stress and mental health challenges (College of Policing, 2023). While these programs have shown positive results, their effectiveness frequently relies on officers’ readiness to engage, a factor hampered by the stigma associated with mental health in law enforcement. In many police cultures, emotional strength and toughness are highly valued, making it difficult for officers to openly discuss mental health struggles (Burns &amp; Buchanan, 2020). Overcoming this stigma requires a cultural change within police departments, </w:t>
      </w:r>
      <w:r w:rsidRPr="005F2BBF">
        <w:t>emphasising</w:t>
      </w:r>
      <w:r w:rsidRPr="005F2BBF">
        <w:rPr>
          <w:lang w:val="en-US"/>
        </w:rPr>
        <w:t xml:space="preserve"> the importance of mental well-being and creating an environment where officers feel comfortable seeking help.</w:t>
      </w:r>
    </w:p>
    <w:p w14:paraId="3C7239AE" w14:textId="2690D52D" w:rsidR="005F2BBF" w:rsidRPr="005F2BBF" w:rsidRDefault="005F2BBF" w:rsidP="005F2BBF">
      <w:pPr>
        <w:rPr>
          <w:lang w:val="en-US"/>
        </w:rPr>
      </w:pPr>
      <w:r w:rsidRPr="005F2BBF">
        <w:rPr>
          <w:lang w:val="en-US"/>
        </w:rPr>
        <w:t xml:space="preserve">Another example is peer support </w:t>
      </w:r>
      <w:r w:rsidRPr="005F2BBF">
        <w:t>programmes</w:t>
      </w:r>
      <w:r w:rsidRPr="005F2BBF">
        <w:rPr>
          <w:lang w:val="en-US"/>
        </w:rPr>
        <w:t>, such as the one implemented within the Metropolitan Police Service in London, where trained officers offer emotional assistance to their colleagues (London City Hall, n.d.). Studies indicate that these initiatives can help decrease burnout and enhance mental health outcomes for personnel (College of Policing, 2023). Nonetheless, peer support initiatives have their drawbacks, including the risk of promoting the belief that only officers who have endured similar traumas can deliver effective support. They may also be inadequate in addressing professional care for more serious issues like PTSD (Violanti et al., 2018).</w:t>
      </w:r>
    </w:p>
    <w:p w14:paraId="0DFF9719" w14:textId="64D90C63" w:rsidR="005F2BBF" w:rsidRPr="005F2BBF" w:rsidRDefault="005F2BBF" w:rsidP="005F2BBF">
      <w:pPr>
        <w:rPr>
          <w:lang w:val="en-US"/>
        </w:rPr>
      </w:pPr>
      <w:r w:rsidRPr="005F2BBF">
        <w:rPr>
          <w:lang w:val="en-US"/>
        </w:rPr>
        <w:t xml:space="preserve">Although mental health </w:t>
      </w:r>
      <w:r w:rsidRPr="005F2BBF">
        <w:t>programmes</w:t>
      </w:r>
      <w:r w:rsidRPr="005F2BBF">
        <w:rPr>
          <w:lang w:val="en-US"/>
        </w:rPr>
        <w:t xml:space="preserve"> in policing have shown positive results, gaps remain, particularly in addressing long-term psychological trauma. For instance, many </w:t>
      </w:r>
      <w:r w:rsidRPr="005F2BBF">
        <w:t>programmes</w:t>
      </w:r>
      <w:r w:rsidRPr="005F2BBF">
        <w:rPr>
          <w:lang w:val="en-US"/>
        </w:rPr>
        <w:t xml:space="preserve"> focus on short-term relief but fail to provide sustained support for officers facing long-term mental health challenges (Joo et al., 2022). A comprehensive model for addressing mental health is the Norwegian Police Service, which offers continuous psychological support and mandatory follow-up care after traumatic incidents. This approach has been successful in meeting the long-term needs of officers, and its implementation in other police forces could improve officer well-being and performance (Filstad &amp; Rod, 2024).</w:t>
      </w:r>
    </w:p>
    <w:p w14:paraId="215460F7" w14:textId="77777777" w:rsidR="005F2BBF" w:rsidRPr="005F2BBF" w:rsidRDefault="005F2BBF" w:rsidP="005F2BBF">
      <w:pPr>
        <w:rPr>
          <w:lang w:val="en-US"/>
        </w:rPr>
      </w:pPr>
      <w:r w:rsidRPr="005F2BBF">
        <w:rPr>
          <w:lang w:val="en-US"/>
        </w:rPr>
        <w:t xml:space="preserve">In conclusion, it is crucial to address the mental health of police officers for their welfare, job performance, and public safety. Failing to manage mental health concerns appropriately can result in serious outcomes, such as poor decision-making, damaged personal relationships, and a detrimental effect on the overall effectiveness of the police force. Programs that offer peer support and counselling services are vital, yet there is still a need for a cultural shift within law enforcement agencies to lessen stigma and ensure that officers have access to necessary mental health resources. By </w:t>
      </w:r>
      <w:r w:rsidRPr="005F2BBF">
        <w:t>prioritising</w:t>
      </w:r>
      <w:r w:rsidRPr="005F2BBF">
        <w:rPr>
          <w:lang w:val="en-US"/>
        </w:rPr>
        <w:t xml:space="preserve"> mental health, police departments can enhance both officer well-being and community safety, ensuring that officers stay resilient, competent, and well-prepared to meet the challenges of their responsibilities.</w:t>
      </w:r>
    </w:p>
    <w:p w14:paraId="3D18B720" w14:textId="77777777" w:rsidR="005F2BBF" w:rsidRPr="005F2BBF" w:rsidRDefault="005F2BBF" w:rsidP="005F2BBF">
      <w:pPr>
        <w:rPr>
          <w:lang w:val="en-US"/>
        </w:rPr>
      </w:pPr>
    </w:p>
    <w:p w14:paraId="783626D4" w14:textId="77777777" w:rsidR="005F2BBF" w:rsidRPr="005F2BBF" w:rsidRDefault="005F2BBF" w:rsidP="005F2BBF">
      <w:pPr>
        <w:rPr>
          <w:lang w:val="en-US"/>
        </w:rPr>
      </w:pPr>
      <w:r w:rsidRPr="005F2BBF">
        <w:rPr>
          <w:lang w:val="en-US"/>
        </w:rPr>
        <w:t>Word count: 1056</w:t>
      </w:r>
    </w:p>
    <w:p w14:paraId="2C873CD1" w14:textId="77777777" w:rsidR="000079ED" w:rsidRDefault="000079ED" w:rsidP="003344A0"/>
    <w:p w14:paraId="7517A4F7" w14:textId="05872446" w:rsidR="00FE4275" w:rsidRPr="006B451C" w:rsidRDefault="00296104" w:rsidP="003344A0">
      <w:pPr>
        <w:rPr>
          <w:b/>
          <w:bCs/>
        </w:rPr>
      </w:pPr>
      <w:r w:rsidRPr="006B451C">
        <w:rPr>
          <w:b/>
          <w:bCs/>
        </w:rPr>
        <w:lastRenderedPageBreak/>
        <w:t xml:space="preserve">Essay </w:t>
      </w:r>
      <w:r w:rsidR="00B15B0E" w:rsidRPr="006B451C">
        <w:rPr>
          <w:b/>
          <w:bCs/>
        </w:rPr>
        <w:t xml:space="preserve">Four </w:t>
      </w:r>
    </w:p>
    <w:p w14:paraId="5236D0FC" w14:textId="29ACFE3C" w:rsidR="00B15B0E" w:rsidRPr="00B15B0E" w:rsidRDefault="00B15B0E" w:rsidP="00B15B0E">
      <w:r w:rsidRPr="00B15B0E">
        <w:t>Serious and organised crime (SOC) poses a significant risk to public safety, with its operations reaching into areas like human trafficking, drug supply, child abuse, and financial crime. These criminal activities frequently overlap with issues related to public safety, especially when vulnerable individuals are exploited (HM Government, 2013). This essay will explore the potential links between SOC and public protection issues, with a particular focus on how certain characteristics make some people more vulnerable to exploitation by SOC gangs. By considering systemic inequalities, personal vulnerabilities, and societal factors, this essay critically evaluates how exploitation occurs and discusses strategies to mitigate these risks.</w:t>
      </w:r>
    </w:p>
    <w:p w14:paraId="5213123E" w14:textId="3344BBF3" w:rsidR="00B15B0E" w:rsidRPr="00B15B0E" w:rsidRDefault="00B15B0E" w:rsidP="00B15B0E">
      <w:r w:rsidRPr="00B15B0E">
        <w:t xml:space="preserve">SOC encompasses a broad spectrum of illicit activities, posing direct threats to individuals through actions such as human trafficking and exploitation. The UK National Crime Agency (NCA) has highlighted the widespread occurrence of forced labour and sexual abuse in trafficking situations, with victims suffering from physical harm, psychological coercion, and a loss of freedom (NCA, 2023). However, SOC is not just caused by isolated criminal actions but is a result of systemic weaknesses, including inadequate governance, limited social services, and economic disparity. These factors create environments where exploitation can thrive </w:t>
      </w:r>
      <w:r w:rsidR="002059B6" w:rsidRPr="006B451C">
        <w:t>unchecked, complicating</w:t>
      </w:r>
      <w:r w:rsidRPr="00B15B0E">
        <w:t xml:space="preserve"> efforts to combat SOC (Garland, 2012)</w:t>
      </w:r>
    </w:p>
    <w:p w14:paraId="31EB92FD" w14:textId="4B550AB5" w:rsidR="00B15B0E" w:rsidRPr="00B15B0E" w:rsidRDefault="00B15B0E" w:rsidP="00B15B0E">
      <w:r w:rsidRPr="00B15B0E">
        <w:t>Moreover, SOC erodes public confidence and the integrity of institutions. Criminal organisations infiltrate legitimate systems, participating in corruption, money laundering, and cyberattacks on public infrastructure. For example, Land (2018) points out that cybercrime is an increasing SOC threat, with ransomware assaults on hospitals and local governments disrupting essential services. By attacking these institutions, SOC groups heighten public safety dangers and amplify societal vulnerabilities.</w:t>
      </w:r>
    </w:p>
    <w:p w14:paraId="0E8BA49A" w14:textId="27B7FF80" w:rsidR="00B15B0E" w:rsidRPr="00B15B0E" w:rsidRDefault="00B15B0E" w:rsidP="00B15B0E">
      <w:r w:rsidRPr="00B15B0E">
        <w:t>SOC groups exploit vulnerable individuals, particularly those who lack economic, social, or emotional resilience. This vulnerability is often exacerbated by structural inequalities, which force certain groups into exploitative situations. Economic inequality, for example, significantly contributes to an individual’s susceptibility to criminal exploitation. Research by Hurley and Boulton (2021) shows that individuals in impoverished communities are frequently coerced into illegal activities, such as drug trafficking, due to a lack of legitimate opportunities nonetheless, why these individuals find themselves in vulnerable positions because of the root causes of poverty and unemployment that are embedded within political and economic systems that maintain inequality frequently forcing individuals to seek alternatives like SOC (Garland, 2012).</w:t>
      </w:r>
    </w:p>
    <w:p w14:paraId="24E860B8" w14:textId="5CFC838A" w:rsidR="00B15B0E" w:rsidRPr="00B15B0E" w:rsidRDefault="00B15B0E" w:rsidP="00B15B0E">
      <w:r w:rsidRPr="00B15B0E">
        <w:t>Children from economically disadvantaged backgrounds are particularly vulnerable. Howell (2018) discusses how urban gangs exploit minors to deal drugs in rural areas, luring them with the promise of money while using threats to trap them into cycles of exploitation. Yet, while Howell’s study highlights the role of financial incentives in exploitation, it overlooks the broader issue of why children in these areas often lack adequate social support structures, such as education, mentorship, and family stability. Gilmore (2007) argues that a lack of community support systems, in addition to merely financial incentives, is a significant factor in maintaining exploitation.</w:t>
      </w:r>
    </w:p>
    <w:p w14:paraId="21ECAA5A" w14:textId="5B6B6425" w:rsidR="00B15B0E" w:rsidRPr="00B15B0E" w:rsidRDefault="00B15B0E" w:rsidP="00B15B0E">
      <w:r w:rsidRPr="00B15B0E">
        <w:t xml:space="preserve">Social isolation and marginalisation also heighten vulnerability. SOC groups disproportionately target migrants, refugees, and ethnic minorities due to challenges like language differences, insecure legal status, and restricted access to support networks (Jabr, 2024). For example, undocumented migrants face an increased risk of labour exploitation because they fear </w:t>
      </w:r>
      <w:r w:rsidRPr="00B15B0E">
        <w:lastRenderedPageBreak/>
        <w:t>deportation and have limited options for seeking justice (David, Bryant, and Larsen, 2019). This exploitation, however, is not simply a result of personal vulnerability, but rather a consequence of state and societal failure. Garland (2001) suggests that the failure of welfare systems and harsh immigration policies create an environment where marginalized communities are more vulnerable to organized crime.</w:t>
      </w:r>
    </w:p>
    <w:p w14:paraId="5B6E9A02" w14:textId="08F05D9E" w:rsidR="00B15B0E" w:rsidRPr="00B15B0E" w:rsidRDefault="00B15B0E" w:rsidP="00B15B0E">
      <w:r w:rsidRPr="00B15B0E">
        <w:t xml:space="preserve">Moreover, people who are homeless often become prime targets for exploitation. Criminal groups take advantage of their vulnerable situations, forcing them into beggary, involuntary labour, or minor offences. The state of homelessness fosters a dependency relationship, as those affected become reliant on their abusers for housing or basic needs (The Clewer Initiative, n.d.). </w:t>
      </w:r>
      <w:r w:rsidR="00D57368" w:rsidRPr="00B15B0E">
        <w:t>However, (</w:t>
      </w:r>
      <w:r w:rsidRPr="00B15B0E">
        <w:t>Fitzpatrick, 2005), argues that addressing systemic issues like the lack of affordable housing and inadequate welfare policies could prevent more individuals from entering vulnerable situations.</w:t>
      </w:r>
    </w:p>
    <w:p w14:paraId="3D40DFE1" w14:textId="2EFB8C9F" w:rsidR="00B15B0E" w:rsidRPr="00B15B0E" w:rsidRDefault="00B15B0E" w:rsidP="00B15B0E">
      <w:r w:rsidRPr="00B15B0E">
        <w:t>Annan et al. (2021) emphasise that young individuals from underprivileged backgrounds, including those in foster care or with experiences of trauma, are particularly susceptible to joining street gangs. These young people often lack positive role models and coping strategies, making them vulnerable to the false promises of protection and belonging offered by criminal groups. Merton’s Strain Theory is useful here, suggesting that individuals under social and economic pressure may resort to deviant behaviour when they are unable to achieve societal goals through lawful means (Farnworth &amp; Leiber, 2023). Although this theory provides insight into the reasons behind gang involvement, it fails to address the societal frameworks that create a lack of opportunities for these individuals initially. A more critical perspective would examine how schools, communities, and families contribute to preventing these pathways to exploitation, as these institutions frequently perpetuate social inequalities that restrict opportunities for disadvantaged youth (Bourdieu, 1986).</w:t>
      </w:r>
    </w:p>
    <w:p w14:paraId="4065579D" w14:textId="7323AE1A" w:rsidR="00B15B0E" w:rsidRDefault="00B15B0E" w:rsidP="00B15B0E">
      <w:r w:rsidRPr="00B15B0E">
        <w:t>Ineffective governance structures heighten vulnerabilities by not safeguarding individuals from exploitation. The inconsistent enforcement of</w:t>
      </w:r>
      <w:r w:rsidR="004407B0">
        <w:t xml:space="preserve"> </w:t>
      </w:r>
      <w:r w:rsidR="004407B0" w:rsidRPr="00B15B0E">
        <w:t>labour</w:t>
      </w:r>
      <w:r w:rsidRPr="00B15B0E">
        <w:t xml:space="preserve"> laws, inadequate support services for victims, and lack of cohesive international collaboration permit SOC networks to thrive. As Patrick (2011) emphasizes, these governance shortcomings allow criminal organizations to function without repercussions. Nonetheless, these governance failures stem not only from insufficient resources or coordination but also reflect a broader hesitation to emphasize social protection and justice for vulnerable individuals Ignoring fundamental issues like inequality, inadequate education, and restricted healthcare access is frequently aggravated by a punitive approach to crime, rather than one that is preventative (Rose-Ackerman, 2004).</w:t>
      </w:r>
    </w:p>
    <w:p w14:paraId="0395377C" w14:textId="77777777" w:rsidR="000079ED" w:rsidRPr="00B15B0E" w:rsidRDefault="000079ED" w:rsidP="00B15B0E"/>
    <w:p w14:paraId="0ADEF249" w14:textId="77777777" w:rsidR="00B15B0E" w:rsidRPr="00B15B0E" w:rsidRDefault="00B15B0E" w:rsidP="00B15B0E">
      <w:r w:rsidRPr="00B15B0E">
        <w:t xml:space="preserve">To conclude (SOC) is fundamentally linked to public protection issues, as it capitalises on the exploitation of those who are vulnerable. As discussed throughout this essay, individuals experiencing economic hardship, social exclusion, or psychological struggles are particularly at risk of being exploited by criminal organisations. Vulnerable groups, including children from deprived backgrounds, migrants, and the homeless, are often coerced into criminal activity due to systemic inequalities and the lack of adequate support systems. The consequence of SOC reaches beyond individual harm, undermining social cohesion and eroding public confidence in institutions. To effectively address the connections between SOC and public safety, a comprehensive strategy is essential, one that not only emphasises law enforcement measures but also addresses the underlying causes of vulnerability, including poverty, inequality, and insufficient social services. Effective public safety relies on tackling these systemic challenges </w:t>
      </w:r>
      <w:r w:rsidRPr="00B15B0E">
        <w:lastRenderedPageBreak/>
        <w:t>and ensuring that protective measures are available to prevent exploitation, thereby protecting the most vulnerable members of society from organised criminal activity.</w:t>
      </w:r>
    </w:p>
    <w:p w14:paraId="2601A29A" w14:textId="77777777" w:rsidR="00B15B0E" w:rsidRPr="00B15B0E" w:rsidRDefault="00B15B0E" w:rsidP="00B15B0E"/>
    <w:p w14:paraId="27C7BDBF" w14:textId="77777777" w:rsidR="00B15B0E" w:rsidRPr="00B15B0E" w:rsidRDefault="00B15B0E" w:rsidP="00B15B0E">
      <w:r w:rsidRPr="00B15B0E">
        <w:t>Word count: 1068</w:t>
      </w:r>
    </w:p>
    <w:p w14:paraId="3FD53112" w14:textId="77777777" w:rsidR="00B15B0E" w:rsidRPr="006B451C" w:rsidRDefault="00B15B0E" w:rsidP="003344A0"/>
    <w:p w14:paraId="03857CE5" w14:textId="77777777" w:rsidR="00296104" w:rsidRPr="006B451C" w:rsidRDefault="00296104" w:rsidP="003344A0"/>
    <w:p w14:paraId="49418C66" w14:textId="77777777" w:rsidR="00296104" w:rsidRPr="006B451C" w:rsidRDefault="00296104" w:rsidP="003344A0"/>
    <w:p w14:paraId="7D1B764F" w14:textId="77777777" w:rsidR="00296104" w:rsidRPr="006B451C" w:rsidRDefault="00296104" w:rsidP="003344A0"/>
    <w:p w14:paraId="2E9848CE" w14:textId="77777777" w:rsidR="00296104" w:rsidRPr="006B451C" w:rsidRDefault="00296104" w:rsidP="003344A0"/>
    <w:p w14:paraId="2D28F709" w14:textId="77777777" w:rsidR="00296104" w:rsidRPr="006B451C" w:rsidRDefault="00296104" w:rsidP="003344A0"/>
    <w:p w14:paraId="06EBDE60" w14:textId="77777777" w:rsidR="00296104" w:rsidRPr="006B451C" w:rsidRDefault="00296104" w:rsidP="003344A0"/>
    <w:p w14:paraId="2BD9CB0D" w14:textId="77777777" w:rsidR="00296104" w:rsidRPr="006B451C" w:rsidRDefault="00296104" w:rsidP="003344A0"/>
    <w:p w14:paraId="4EC6CF33" w14:textId="77777777" w:rsidR="00296104" w:rsidRPr="006B451C" w:rsidRDefault="00296104" w:rsidP="003344A0"/>
    <w:p w14:paraId="10E6B566" w14:textId="77777777" w:rsidR="00296104" w:rsidRPr="006B451C" w:rsidRDefault="00296104" w:rsidP="003344A0"/>
    <w:p w14:paraId="3ECF43B5" w14:textId="77777777" w:rsidR="00296104" w:rsidRPr="006B451C" w:rsidRDefault="00296104" w:rsidP="003344A0"/>
    <w:p w14:paraId="3BB4932A" w14:textId="77777777" w:rsidR="00296104" w:rsidRPr="006B451C" w:rsidRDefault="00296104" w:rsidP="003344A0"/>
    <w:p w14:paraId="267B30A3" w14:textId="77777777" w:rsidR="00296104" w:rsidRPr="006B451C" w:rsidRDefault="00296104" w:rsidP="003344A0"/>
    <w:p w14:paraId="74C31A01" w14:textId="77777777" w:rsidR="00296104" w:rsidRPr="006B451C" w:rsidRDefault="00296104" w:rsidP="003344A0"/>
    <w:p w14:paraId="7C682D07" w14:textId="77777777" w:rsidR="00296104" w:rsidRPr="006B451C" w:rsidRDefault="00296104" w:rsidP="003344A0"/>
    <w:p w14:paraId="2E80689A" w14:textId="77777777" w:rsidR="00296104" w:rsidRPr="006B451C" w:rsidRDefault="00296104" w:rsidP="003344A0"/>
    <w:p w14:paraId="315C3016" w14:textId="77777777" w:rsidR="00296104" w:rsidRPr="006B451C" w:rsidRDefault="00296104" w:rsidP="003344A0"/>
    <w:p w14:paraId="073C8039" w14:textId="77777777" w:rsidR="00B15B0E" w:rsidRPr="006B451C" w:rsidRDefault="00B15B0E" w:rsidP="00F86C07">
      <w:pPr>
        <w:spacing w:line="257" w:lineRule="auto"/>
        <w:ind w:right="531"/>
      </w:pPr>
    </w:p>
    <w:p w14:paraId="20D055B7" w14:textId="77777777" w:rsidR="00AC4F37" w:rsidRDefault="00AC4F37" w:rsidP="00F86C07">
      <w:pPr>
        <w:spacing w:line="257" w:lineRule="auto"/>
        <w:ind w:right="531"/>
        <w:rPr>
          <w:rFonts w:ascii="Arial" w:eastAsia="Calibri" w:hAnsi="Arial" w:cs="Arial"/>
          <w:b/>
          <w:bCs/>
        </w:rPr>
      </w:pPr>
    </w:p>
    <w:p w14:paraId="6AD7E6FE" w14:textId="77777777" w:rsidR="00AC4F37" w:rsidRDefault="00AC4F37" w:rsidP="00F86C07">
      <w:pPr>
        <w:spacing w:line="257" w:lineRule="auto"/>
        <w:ind w:right="531"/>
        <w:rPr>
          <w:rFonts w:ascii="Arial" w:eastAsia="Calibri" w:hAnsi="Arial" w:cs="Arial"/>
          <w:b/>
          <w:bCs/>
        </w:rPr>
      </w:pPr>
    </w:p>
    <w:p w14:paraId="71079AF7" w14:textId="77777777" w:rsidR="00AC4F37" w:rsidRDefault="00AC4F37" w:rsidP="00F86C07">
      <w:pPr>
        <w:spacing w:line="257" w:lineRule="auto"/>
        <w:ind w:right="531"/>
        <w:rPr>
          <w:rFonts w:ascii="Arial" w:eastAsia="Calibri" w:hAnsi="Arial" w:cs="Arial"/>
          <w:b/>
          <w:bCs/>
        </w:rPr>
      </w:pPr>
    </w:p>
    <w:p w14:paraId="27AEC3A5" w14:textId="77777777" w:rsidR="00AC4F37" w:rsidRDefault="00AC4F37" w:rsidP="00F86C07">
      <w:pPr>
        <w:spacing w:line="257" w:lineRule="auto"/>
        <w:ind w:right="531"/>
        <w:rPr>
          <w:rFonts w:ascii="Arial" w:eastAsia="Calibri" w:hAnsi="Arial" w:cs="Arial"/>
          <w:b/>
          <w:bCs/>
        </w:rPr>
      </w:pPr>
    </w:p>
    <w:p w14:paraId="35BA78E0" w14:textId="77777777" w:rsidR="00AC4F37" w:rsidRDefault="00AC4F37" w:rsidP="00F86C07">
      <w:pPr>
        <w:spacing w:line="257" w:lineRule="auto"/>
        <w:ind w:right="531"/>
        <w:rPr>
          <w:rFonts w:ascii="Arial" w:eastAsia="Calibri" w:hAnsi="Arial" w:cs="Arial"/>
          <w:b/>
          <w:bCs/>
        </w:rPr>
      </w:pPr>
    </w:p>
    <w:p w14:paraId="1E360EBD" w14:textId="77777777" w:rsidR="000079ED" w:rsidRDefault="000079ED" w:rsidP="00BD1AB2">
      <w:pPr>
        <w:jc w:val="both"/>
        <w:rPr>
          <w:b/>
          <w:bCs/>
        </w:rPr>
      </w:pPr>
    </w:p>
    <w:p w14:paraId="2786A422" w14:textId="77777777" w:rsidR="000079ED" w:rsidRDefault="000079ED" w:rsidP="00BD1AB2">
      <w:pPr>
        <w:jc w:val="both"/>
        <w:rPr>
          <w:b/>
          <w:bCs/>
        </w:rPr>
      </w:pPr>
    </w:p>
    <w:p w14:paraId="620E687C" w14:textId="77777777" w:rsidR="000079ED" w:rsidRDefault="000079ED" w:rsidP="00BD1AB2">
      <w:pPr>
        <w:jc w:val="both"/>
        <w:rPr>
          <w:b/>
          <w:bCs/>
        </w:rPr>
      </w:pPr>
    </w:p>
    <w:p w14:paraId="5C104594" w14:textId="77777777" w:rsidR="000079ED" w:rsidRDefault="000079ED" w:rsidP="00BD1AB2">
      <w:pPr>
        <w:jc w:val="both"/>
        <w:rPr>
          <w:b/>
          <w:bCs/>
        </w:rPr>
      </w:pPr>
    </w:p>
    <w:p w14:paraId="72706F07" w14:textId="77777777" w:rsidR="000079ED" w:rsidRDefault="000079ED" w:rsidP="00BD1AB2">
      <w:pPr>
        <w:jc w:val="both"/>
        <w:rPr>
          <w:b/>
          <w:bCs/>
        </w:rPr>
      </w:pPr>
    </w:p>
    <w:p w14:paraId="3597784C" w14:textId="774A24BD" w:rsidR="00BD1AB2" w:rsidRPr="00BD1AB2" w:rsidRDefault="00BD1AB2" w:rsidP="00BD1AB2">
      <w:pPr>
        <w:jc w:val="both"/>
        <w:rPr>
          <w:b/>
          <w:bCs/>
        </w:rPr>
      </w:pPr>
      <w:r w:rsidRPr="00BD1AB2">
        <w:rPr>
          <w:b/>
          <w:bCs/>
        </w:rPr>
        <w:lastRenderedPageBreak/>
        <w:t>Essay 5</w:t>
      </w:r>
    </w:p>
    <w:p w14:paraId="1C55F638" w14:textId="6DA6D0D5" w:rsidR="006A5257" w:rsidRDefault="006A5257" w:rsidP="006A5257">
      <w:r>
        <w:t>Preventing juvenile offending and re-offending is a primary objective for criminal justice systems around the globe. Early intervention seeks to tackle the underlying causes of criminal behavior by focusing on at-risk youth and their circumstances before engaging in or escalating criminal activities. These approaches emphasise reducing risk factors such as inadequate parenting, socio-economic challenges, and associations with delinquent peers, while enhancing protective factors through family-focused programs, school initiatives, and community collaborations. This essay assesses the effectiveness of early intervention, analysing its achievements and shortcomings in preventing young people from offending or re-offending.</w:t>
      </w:r>
    </w:p>
    <w:p w14:paraId="556CB32A" w14:textId="128CAE3C" w:rsidR="006A5257" w:rsidRDefault="006A5257" w:rsidP="006A5257">
      <w:r w:rsidRPr="005F4179">
        <w:t>Early intervention is based on the ideas presented in Preventing Crime is Hard (2013), which emphasizes the central role of the family in both the causes and prevention of crime. Key family-related factors linked to offending include having parents who are criminal or antisocial, inadequate parental supervision, household conflicts, family instability, and large family size. Welsh and Farrington (2013) describe the family as “the most important institution,” stressing that poor parenting is a major contributing factor.</w:t>
      </w:r>
    </w:p>
    <w:p w14:paraId="294A3E03" w14:textId="5DF33530" w:rsidR="006A5257" w:rsidRDefault="006A5257" w:rsidP="006A5257">
      <w:r>
        <w:t>According to Lober and Farrington (2000), delinquent children are two to three times more likely to grow up to be aggressive, serious, and persistent offenders. Juvenile offenders typically have longer delinquent careers than those who begin offending later in life. Farrington and Welsh (2007) argue that early intervention is more effective than later treatment, as it promotes human capital and encourages law-abiding behaviour.</w:t>
      </w:r>
    </w:p>
    <w:p w14:paraId="63E25734" w14:textId="6FB46777" w:rsidR="006A5257" w:rsidRDefault="006A5257" w:rsidP="006A5257">
      <w:r>
        <w:t>Multi-agency partnerships are key in dealing with these issues. Quigg (2023) states that early intervention crime reduction is “everybody’s business.” The police require support from other agencies because a whole-system public health approach is necessary. These partnerships play a critical role in reducing harm, preventing crime, and addressing wider public health issues.</w:t>
      </w:r>
    </w:p>
    <w:p w14:paraId="7D38462C" w14:textId="77777777" w:rsidR="006A5257" w:rsidRDefault="006A5257" w:rsidP="006A5257">
      <w:r>
        <w:t>Farrington and Welsh (2007) argue that environmental factors contributing to offending include growing up in low socio-economic status households, associating with delinquent peers, attending schools with high delinquency rates, and living in deprived areas. Their research shows that poor parental supervision significantly increases the risk of later criminal behaviour. For example, the Cambridge Study of Delinquent Development followed 400 London males from age 8 and found that 55% of those who experienced poor parental supervision were convicted by the age of 32. This reaffirms the importance of parental involvement.</w:t>
      </w:r>
    </w:p>
    <w:p w14:paraId="20D483C4" w14:textId="54BE8623" w:rsidR="006A5257" w:rsidRDefault="006A5257" w:rsidP="006A5257">
      <w:r>
        <w:t>Waller and Waller’s earlier studies further support Welsh and Farrington (2013), showing that persistent and serious offenders often come from socially disadvantaged backgrounds. Participation in delinquent peer groups is consistently linked to criminal behaviour. Shader (2003) highlights that for youths aged 12–14, associating with antisocial peers is a key predictor of delinquency (Lipsey and Derzon, 1998, cited in Shader, 2003).</w:t>
      </w:r>
    </w:p>
    <w:p w14:paraId="25FA0CD8" w14:textId="51F0F858" w:rsidR="006A5257" w:rsidRDefault="006A5257" w:rsidP="006A5257">
      <w:r>
        <w:t>Among environmental strategies, several school-based interventions have proven effective in preventing delinquency among middle and high-school-aged youths (Farrington and Welsh, 2007). However, Heal’s cross-sectional study of English primary and secondary schools found that student misbehaviour was more common in large schools with strict and formal punishment systems (Heal, 1978, cited in Shader, 2003).</w:t>
      </w:r>
    </w:p>
    <w:p w14:paraId="0CE95BB5" w14:textId="39C9700A" w:rsidR="006A5257" w:rsidRDefault="006A5257" w:rsidP="006A5257">
      <w:r>
        <w:lastRenderedPageBreak/>
        <w:t>Sherman’s defiance theory suggests that a person’s belief that their punishment was “unfair” may contribute to recidivism by encouraging defiance of the law. Conversely, individuals were more likely to comply with the law if they perceived their punishment as fair (Sherman, 1993, cited in Livingstone et al., 2013).</w:t>
      </w:r>
    </w:p>
    <w:p w14:paraId="34072EEF" w14:textId="767F6CC8" w:rsidR="006A5257" w:rsidRDefault="006A5257" w:rsidP="006A5257">
      <w:r>
        <w:t>Although some socioeconomic conditions may be difficult to alter, programs can focus on enhancing protective factors. For instance, family support services and parenting skills training can help address poor parenting (Shader, 2003). Duncan and Magnuson (2004) argue that early intervention is particularly effective because early childhood provides a unique window when children are more receptive to enriching and supportive environments (Duncan and Magnuson, 2004, cited in Farrington and Welsh, 2007).</w:t>
      </w:r>
    </w:p>
    <w:p w14:paraId="29425E21" w14:textId="0C907B56" w:rsidR="006A5257" w:rsidRDefault="006A5257" w:rsidP="006A5257">
      <w:r>
        <w:t>Hobson et al. (2018) point out that while social crime prevention measures are widespread in the UK, police-led initiatives are less common. They argue that there is too much focus on risk indicators and not enough emphasis on welfare and rehabilitation methods. A youth pre-charge diversion program introduced by Toronto police aimed to identify young people who could benefit from community programs instead of criminal charges (Canadian Broadcasting Corporation, 2017, cited in Hobson et al., 2018). Collaboration between police and community-led programs reduced youth-related crime and reoffending in Canada.</w:t>
      </w:r>
    </w:p>
    <w:p w14:paraId="16171F70" w14:textId="66F848AB" w:rsidR="006A5257" w:rsidRDefault="006A5257" w:rsidP="006A5257">
      <w:r>
        <w:t>This approach has been adopted in the UK through the Aston Project, which works with youths aged 9–17 who exhibit risk indicators for engaging in criminal or nuisance behaviour (Hobson et al., 2018). This highlights the importance of collaboration between communities and police forces in preventing offending and reoffending through targeted interventions.</w:t>
      </w:r>
    </w:p>
    <w:p w14:paraId="63C7D710" w14:textId="63442959" w:rsidR="006A5257" w:rsidRDefault="006A5257" w:rsidP="006A5257">
      <w:r>
        <w:t>Family-based interventions focus on improving parenting skills and family relationships, which are crucial protective factors against youth delinquency. One prominent example is the Family Nurse Partnership (FNP), a program aimed at young, first-time mothers and fathers (GOV UK, 2024). FNP provides home visits by specialised nurses who offer guidance on child development, parenting assistance, and behaviour management techniques (FNP, 2021). Initially developed in the US, the program has been adapted in the UK, resulting in better academic performance, reduced emotional and behavioural issues, and fewer arrests by the time the child is 15 (NICE, N.D.).</w:t>
      </w:r>
    </w:p>
    <w:p w14:paraId="7DEBC77E" w14:textId="20E7D63B" w:rsidR="006A5257" w:rsidRDefault="006A5257" w:rsidP="006A5257">
      <w:r>
        <w:t>Similarly, Functional Family Therapy (FFT) has shown promise in reducing reoffending by addressing family dynamics and improving communication (Youth Endowment Fund, N.D.).</w:t>
      </w:r>
    </w:p>
    <w:p w14:paraId="59511E97" w14:textId="77777777" w:rsidR="006A5257" w:rsidRDefault="006A5257" w:rsidP="006A5257">
      <w:r>
        <w:t>Despite the success of the early intervention, a significant issue remains a lack of funding. Local governments often have limited resources to invest in early intervention programs. While government funding can provide short-term support for specific projects, it is often</w:t>
      </w:r>
    </w:p>
    <w:p w14:paraId="207EE407" w14:textId="720C13C6" w:rsidR="006A5257" w:rsidRDefault="006A5257" w:rsidP="006A5257">
      <w:r>
        <w:t>insufficient to sustain these programs in the long term (Parliament UK, N.D.). This prevents programs from reaching their full potential and helping those most in need.</w:t>
      </w:r>
    </w:p>
    <w:p w14:paraId="533A45CA" w14:textId="77777777" w:rsidR="00672E75" w:rsidRDefault="006A5257" w:rsidP="006A5257">
      <w:r>
        <w:t>There is strong evidence that early intervention can reduce risk factors and increase protective factors, making it a crucial strategy for addressing juvenile offending and reoffending. Effective implementation of family-based programs, school-based initiatives, and community collaborations has shown significant reductions in offending rates. However, challenges such as uneven application, funding limitations, and systemic socio-economic issues can hinder success. While early intervention cannot eliminate juvenile offending, it provides an essential foundation for reducing risk and building resilience as part of a larger, coordinated strategy.</w:t>
      </w:r>
    </w:p>
    <w:p w14:paraId="7064D9C8" w14:textId="14DBE704" w:rsidR="006A5257" w:rsidRDefault="006A5257" w:rsidP="006A5257">
      <w:r>
        <w:lastRenderedPageBreak/>
        <w:t>Word count 1012</w:t>
      </w:r>
    </w:p>
    <w:p w14:paraId="162852EF" w14:textId="77777777" w:rsidR="00716B73" w:rsidRPr="0092646E" w:rsidRDefault="00716B73" w:rsidP="00716B73">
      <w:pPr>
        <w:jc w:val="center"/>
        <w:rPr>
          <w:b/>
          <w:bCs/>
        </w:rPr>
      </w:pPr>
      <w:r w:rsidRPr="0092646E">
        <w:rPr>
          <w:b/>
          <w:bCs/>
        </w:rPr>
        <w:t>REFERENCES</w:t>
      </w:r>
    </w:p>
    <w:p w14:paraId="24024C21" w14:textId="77777777" w:rsidR="00716B73" w:rsidRPr="0092646E" w:rsidRDefault="00716B73" w:rsidP="00716B73">
      <w:r w:rsidRPr="0092646E">
        <w:t xml:space="preserve">Annan, L.G., Gaoua, N., Mileva, K. and Borges, M., 2021. </w:t>
      </w:r>
      <w:r w:rsidRPr="0092646E">
        <w:rPr>
          <w:i/>
        </w:rPr>
        <w:t xml:space="preserve">What makes young people get involved with street gangs in London? </w:t>
      </w:r>
      <w:r w:rsidRPr="0092646E">
        <w:t>A study of the perceived risk factors. Journal of Community Psychology.</w:t>
      </w:r>
    </w:p>
    <w:p w14:paraId="072F5566" w14:textId="77777777" w:rsidR="00716B73" w:rsidRPr="0092646E" w:rsidRDefault="00716B73" w:rsidP="00716B73"/>
    <w:p w14:paraId="3DEBE181" w14:textId="77777777" w:rsidR="00716B73" w:rsidRPr="0092646E" w:rsidRDefault="00716B73" w:rsidP="00716B73">
      <w:r w:rsidRPr="0092646E">
        <w:t xml:space="preserve">Babuta, A. and Oswald, D., 2012. </w:t>
      </w:r>
      <w:r w:rsidRPr="0092646E">
        <w:rPr>
          <w:i/>
        </w:rPr>
        <w:t>Data Analytics and Algorithmic Bias in Policing</w:t>
      </w:r>
      <w:r w:rsidRPr="0092646E">
        <w:t>. Available at: 228158737.pdf [online] (Accessed 20 November 2024).</w:t>
      </w:r>
    </w:p>
    <w:p w14:paraId="1D36D53A" w14:textId="77777777" w:rsidR="00716B73" w:rsidRPr="0092646E" w:rsidRDefault="00716B73" w:rsidP="00716B73"/>
    <w:p w14:paraId="5B9ED0DC" w14:textId="77777777" w:rsidR="00716B73" w:rsidRPr="0092646E" w:rsidRDefault="00716B73" w:rsidP="00716B73">
      <w:r w:rsidRPr="0092646E">
        <w:t xml:space="preserve">Bullock, K. and Johnson, R., 2017. Police engagement with Muslim communities: breaking out, breaking in, and breaking through. Available at: Full article: </w:t>
      </w:r>
      <w:r w:rsidRPr="0092646E">
        <w:rPr>
          <w:i/>
        </w:rPr>
        <w:t>Police engagement with Muslim communities: breaking out, breaking in, and breaking through</w:t>
      </w:r>
      <w:r w:rsidRPr="0092646E">
        <w:t xml:space="preserve"> [online] (Accessed 20 November 2024).</w:t>
      </w:r>
    </w:p>
    <w:p w14:paraId="76BF6A00" w14:textId="77777777" w:rsidR="00716B73" w:rsidRPr="0092646E" w:rsidRDefault="00716B73" w:rsidP="00716B73"/>
    <w:p w14:paraId="2852794A" w14:textId="77777777" w:rsidR="00716B73" w:rsidRPr="0092646E" w:rsidRDefault="00716B73" w:rsidP="00716B73">
      <w:r w:rsidRPr="0092646E">
        <w:t xml:space="preserve">Bourdieu, P., 1984. </w:t>
      </w:r>
      <w:r w:rsidRPr="0092646E">
        <w:rPr>
          <w:i/>
        </w:rPr>
        <w:t xml:space="preserve">Distinction: A social critique of the judgement of taste. </w:t>
      </w:r>
      <w:r w:rsidRPr="0092646E">
        <w:t>Translated by R. Nice. London: Routledge.</w:t>
      </w:r>
    </w:p>
    <w:p w14:paraId="7F03C5F3" w14:textId="77777777" w:rsidR="00716B73" w:rsidRPr="0092646E" w:rsidRDefault="00716B73" w:rsidP="00716B73"/>
    <w:p w14:paraId="4ECDF2B6" w14:textId="77777777" w:rsidR="00716B73" w:rsidRPr="0092646E" w:rsidRDefault="00716B73" w:rsidP="00716B73">
      <w:r w:rsidRPr="0092646E">
        <w:t xml:space="preserve">Cohen, L.E. &amp; Felson, M., 1979. </w:t>
      </w:r>
      <w:r w:rsidRPr="0092646E">
        <w:rPr>
          <w:i/>
        </w:rPr>
        <w:t>Social change and crime rate trends: A routine activity approach.</w:t>
      </w:r>
      <w:r w:rsidRPr="0092646E">
        <w:t xml:space="preserve"> American Sociological Review, 44(4), pp. 588-608.</w:t>
      </w:r>
    </w:p>
    <w:p w14:paraId="4DE51EA3" w14:textId="77777777" w:rsidR="00716B73" w:rsidRPr="0092646E" w:rsidRDefault="00716B73" w:rsidP="00716B73"/>
    <w:p w14:paraId="69D529FB" w14:textId="77777777" w:rsidR="00716B73" w:rsidRPr="0092646E" w:rsidRDefault="00716B73" w:rsidP="00716B73">
      <w:r w:rsidRPr="0092646E">
        <w:t xml:space="preserve">Community Tensions, n.d. Safe Newcastle. Available at: Community Tensions | </w:t>
      </w:r>
      <w:r w:rsidRPr="0092646E">
        <w:rPr>
          <w:i/>
        </w:rPr>
        <w:t>Safe Newcastle</w:t>
      </w:r>
      <w:r w:rsidRPr="0092646E">
        <w:t xml:space="preserve"> [online] (Accessed 18 November 2024).</w:t>
      </w:r>
    </w:p>
    <w:p w14:paraId="31B86910" w14:textId="77777777" w:rsidR="00716B73" w:rsidRPr="0092646E" w:rsidRDefault="00716B73" w:rsidP="00716B73"/>
    <w:p w14:paraId="0AA34D5A" w14:textId="77777777" w:rsidR="00716B73" w:rsidRPr="0092646E" w:rsidRDefault="00716B73" w:rsidP="00716B73">
      <w:r w:rsidRPr="0092646E">
        <w:t xml:space="preserve">Cox, P., 2019. </w:t>
      </w:r>
      <w:r w:rsidRPr="0092646E">
        <w:rPr>
          <w:i/>
        </w:rPr>
        <w:t xml:space="preserve">Policing a diverse society: The community based rationale for multi-agency working. </w:t>
      </w:r>
      <w:r w:rsidRPr="0092646E">
        <w:t>Multi-Agency Working in Criminal Justice 2e: Theory, Policy and Practice [online] Available at: 7 Policing a diverse society: the community based rationale for multi-agency working the community based rationale for multi-agency working from Multi-Agency Working in Criminal Justice 2e: Theory, Policy and Practice on JSTOR (Accessed 18 November 2024).</w:t>
      </w:r>
    </w:p>
    <w:p w14:paraId="35DB3490" w14:textId="77777777" w:rsidR="00716B73" w:rsidRPr="0092646E" w:rsidRDefault="00716B73" w:rsidP="00716B73"/>
    <w:p w14:paraId="357C3B00" w14:textId="77777777" w:rsidR="00716B73" w:rsidRPr="0092646E" w:rsidRDefault="00716B73" w:rsidP="00716B73">
      <w:r w:rsidRPr="0092646E">
        <w:t xml:space="preserve">David, F., Bryant, K. and Larsen, J., 2019. </w:t>
      </w:r>
      <w:r w:rsidRPr="0092646E">
        <w:rPr>
          <w:i/>
        </w:rPr>
        <w:t>Migrants and their vulnerability to human trafficking, modern slavery and forced labou</w:t>
      </w:r>
      <w:r w:rsidRPr="0092646E">
        <w:t>r. Available at: https://publications.iom.int/system/files/pdf/migrants_and_their_vulnerability.pdf [online] (Accessed 23 November 2024).</w:t>
      </w:r>
    </w:p>
    <w:p w14:paraId="79F03BCC" w14:textId="77777777" w:rsidR="00716B73" w:rsidRPr="0092646E" w:rsidRDefault="00716B73" w:rsidP="00716B73"/>
    <w:p w14:paraId="10330849" w14:textId="77777777" w:rsidR="00716B73" w:rsidRPr="0092646E" w:rsidRDefault="00716B73" w:rsidP="00716B73">
      <w:r w:rsidRPr="0092646E">
        <w:t xml:space="preserve">Fakjaer, S. and Alecu, A.I., 2021. Attrition of Police Officers With Immigrant Background. Available at: </w:t>
      </w:r>
      <w:r w:rsidRPr="0092646E">
        <w:rPr>
          <w:i/>
        </w:rPr>
        <w:t>Attrition of Police Officers With Immigrant Background</w:t>
      </w:r>
      <w:r w:rsidRPr="0092646E">
        <w:t xml:space="preserve"> - Silje Bringsrud Fekjær, Andreea Ioana Alecu, 2022 [online] (Accessed 21 November 2024).</w:t>
      </w:r>
    </w:p>
    <w:p w14:paraId="10D17FB6" w14:textId="77777777" w:rsidR="00716B73" w:rsidRPr="0092646E" w:rsidRDefault="00716B73" w:rsidP="00716B73"/>
    <w:p w14:paraId="501D1C84" w14:textId="77777777" w:rsidR="00716B73" w:rsidRPr="0092646E" w:rsidRDefault="00716B73" w:rsidP="00716B73">
      <w:r w:rsidRPr="0092646E">
        <w:t xml:space="preserve">Farnworth, M. and Leiber, M.J., 1989. </w:t>
      </w:r>
      <w:r w:rsidRPr="0092646E">
        <w:rPr>
          <w:i/>
        </w:rPr>
        <w:t>Strain theory revisited: Economic goals, educational means, and delinquency.</w:t>
      </w:r>
      <w:r w:rsidRPr="0092646E">
        <w:t xml:space="preserve"> American Sociological Review, 54(2), pp. 263.</w:t>
      </w:r>
    </w:p>
    <w:p w14:paraId="07DBE506" w14:textId="77777777" w:rsidR="00716B73" w:rsidRPr="0092646E" w:rsidRDefault="00716B73" w:rsidP="00716B73"/>
    <w:p w14:paraId="19EDCE54" w14:textId="77777777" w:rsidR="00716B73" w:rsidRPr="0092646E" w:rsidRDefault="00716B73" w:rsidP="00716B73">
      <w:r w:rsidRPr="0092646E">
        <w:t xml:space="preserve">Farrington, D.P. and Welsh, B.C., 2003. </w:t>
      </w:r>
      <w:r w:rsidRPr="0092646E">
        <w:rPr>
          <w:i/>
        </w:rPr>
        <w:t xml:space="preserve">Saving Children from a Life of Crime: Early Risk Factors and Effective </w:t>
      </w:r>
      <w:r w:rsidRPr="0092646E">
        <w:t>Available at: Saving Children from a Life of Crime: Early Risk Factors and Effective - Google Books [online] (Accessed 23 November 2024).</w:t>
      </w:r>
    </w:p>
    <w:p w14:paraId="53113A5E" w14:textId="77777777" w:rsidR="00716B73" w:rsidRPr="0092646E" w:rsidRDefault="00716B73" w:rsidP="00716B73"/>
    <w:p w14:paraId="56F8F76C" w14:textId="77777777" w:rsidR="00716B73" w:rsidRPr="0092646E" w:rsidRDefault="00716B73" w:rsidP="00716B73">
      <w:r w:rsidRPr="0092646E">
        <w:t xml:space="preserve">Filstad, C. and Rod, M., 2024. </w:t>
      </w:r>
      <w:r w:rsidRPr="0092646E">
        <w:rPr>
          <w:i/>
        </w:rPr>
        <w:t>Mandatory psychological support in law enforcement: A Norwegian perspective.</w:t>
      </w:r>
      <w:r w:rsidRPr="0092646E">
        <w:t xml:space="preserve"> Journal of Policing, [online] Volume (Issue), pp. pages.</w:t>
      </w:r>
    </w:p>
    <w:p w14:paraId="2838CAD2" w14:textId="77777777" w:rsidR="00716B73" w:rsidRPr="0092646E" w:rsidRDefault="00716B73" w:rsidP="00716B73"/>
    <w:p w14:paraId="25C992F0" w14:textId="77777777" w:rsidR="00716B73" w:rsidRPr="0092646E" w:rsidRDefault="00716B73" w:rsidP="00716B73">
      <w:r w:rsidRPr="0092646E">
        <w:t xml:space="preserve">Fitzpatrick, S., 2005. </w:t>
      </w:r>
      <w:r w:rsidRPr="0092646E">
        <w:rPr>
          <w:i/>
        </w:rPr>
        <w:t>Explaining Homelessness: a Critical Realist Perspective.</w:t>
      </w:r>
      <w:r w:rsidRPr="0092646E">
        <w:t xml:space="preserve"> Housing, Theory and Society, 22(1), pp. 1–17. Available at: https://doi.org/10.1080/14036090510034563.</w:t>
      </w:r>
    </w:p>
    <w:p w14:paraId="4116C0F4" w14:textId="77777777" w:rsidR="00716B73" w:rsidRPr="0092646E" w:rsidRDefault="00716B73" w:rsidP="00716B73"/>
    <w:p w14:paraId="20F51A39" w14:textId="77777777" w:rsidR="00716B73" w:rsidRPr="0092646E" w:rsidRDefault="00716B73" w:rsidP="00716B73">
      <w:r w:rsidRPr="0092646E">
        <w:t xml:space="preserve">French, P., Barrett, A., Allsopp, K., Williams, R., Brewin, C.R., Hind, D., Sutton, R., Stancombe, J. and Chitsabesan, P., 2019. </w:t>
      </w:r>
      <w:r w:rsidRPr="0092646E">
        <w:rPr>
          <w:i/>
        </w:rPr>
        <w:t>Psychological screening of adults and young people following the Manchester Arena incident</w:t>
      </w:r>
      <w:r w:rsidRPr="0092646E">
        <w:t>. BJPsych Open, [online] 5(5). Available at: https://doi.org/10.1192/bjo.2019.61 [Accessed 13 November 2024].</w:t>
      </w:r>
    </w:p>
    <w:p w14:paraId="75FBBE6B" w14:textId="77777777" w:rsidR="00716B73" w:rsidRPr="0092646E" w:rsidRDefault="00716B73" w:rsidP="00716B73"/>
    <w:p w14:paraId="55C4F42C" w14:textId="77777777" w:rsidR="00716B73" w:rsidRPr="0092646E" w:rsidRDefault="00716B73" w:rsidP="00716B73">
      <w:r w:rsidRPr="0092646E">
        <w:t xml:space="preserve">Garland, D., 2012. </w:t>
      </w:r>
      <w:r w:rsidRPr="0092646E">
        <w:rPr>
          <w:i/>
        </w:rPr>
        <w:t>The Culture of Control</w:t>
      </w:r>
      <w:r w:rsidRPr="0092646E">
        <w:t>. University of Chicago Press.</w:t>
      </w:r>
    </w:p>
    <w:p w14:paraId="7FD82C00" w14:textId="77777777" w:rsidR="00716B73" w:rsidRPr="0092646E" w:rsidRDefault="00716B73" w:rsidP="00716B73"/>
    <w:p w14:paraId="231CEB0C" w14:textId="77777777" w:rsidR="00716B73" w:rsidRPr="0092646E" w:rsidRDefault="00716B73" w:rsidP="00716B73">
      <w:r w:rsidRPr="0092646E">
        <w:t xml:space="preserve">Gilmore, R.W., 2007. </w:t>
      </w:r>
      <w:r w:rsidRPr="0092646E">
        <w:rPr>
          <w:i/>
        </w:rPr>
        <w:t>The Golden Gulag: Prisons, Surplus, Crisis, and Opposition in Globalizing California</w:t>
      </w:r>
      <w:r w:rsidRPr="0092646E">
        <w:t>. University of California Press.</w:t>
      </w:r>
    </w:p>
    <w:p w14:paraId="2771E654" w14:textId="77777777" w:rsidR="00716B73" w:rsidRPr="0092646E" w:rsidRDefault="00716B73" w:rsidP="00716B73"/>
    <w:p w14:paraId="579DFC7B" w14:textId="77777777" w:rsidR="00716B73" w:rsidRPr="0092646E" w:rsidRDefault="00716B73" w:rsidP="00716B73">
      <w:r w:rsidRPr="0092646E">
        <w:t xml:space="preserve">Gov.uk, 2020. </w:t>
      </w:r>
      <w:r w:rsidRPr="0092646E">
        <w:rPr>
          <w:i/>
        </w:rPr>
        <w:t>Characteristics of group-based child sexual exploitation in the community: Literature review</w:t>
      </w:r>
      <w:r w:rsidRPr="0092646E">
        <w:t xml:space="preserve"> (accessible version). Available at: https://www.gov.uk/government/publications/group-based-child-sexual-exploitation-characteristics-of-offending/characteristics-of-group-based-child-sexual-exploitation-in-the-community-literature-review-accessible-version [online] (Accessed 25 November 2024).</w:t>
      </w:r>
    </w:p>
    <w:p w14:paraId="62EBDDF6" w14:textId="77777777" w:rsidR="00716B73" w:rsidRPr="0092646E" w:rsidRDefault="00716B73" w:rsidP="00716B73"/>
    <w:p w14:paraId="0DAF1A0F" w14:textId="77777777" w:rsidR="00716B73" w:rsidRPr="0092646E" w:rsidRDefault="00716B73" w:rsidP="00716B73">
      <w:r w:rsidRPr="0092646E">
        <w:t xml:space="preserve">Gov UK, 2024. </w:t>
      </w:r>
      <w:r w:rsidRPr="0092646E">
        <w:rPr>
          <w:i/>
        </w:rPr>
        <w:t>Stop and Search</w:t>
      </w:r>
      <w:r w:rsidRPr="0092646E">
        <w:t>. Available at: Stop and search - GOV.UK Ethnicity facts and figures [online] (Accessed 21 November 2024).</w:t>
      </w:r>
    </w:p>
    <w:p w14:paraId="11877650" w14:textId="77777777" w:rsidR="00716B73" w:rsidRPr="0092646E" w:rsidRDefault="00716B73" w:rsidP="00716B73"/>
    <w:p w14:paraId="14D28BC5" w14:textId="77777777" w:rsidR="00716B73" w:rsidRPr="0092646E" w:rsidRDefault="00716B73" w:rsidP="00716B73">
      <w:r w:rsidRPr="0092646E">
        <w:t xml:space="preserve">HM Government, 2013. </w:t>
      </w:r>
      <w:r w:rsidRPr="0092646E">
        <w:rPr>
          <w:i/>
        </w:rPr>
        <w:t>Serious and Organised Crime Strategy</w:t>
      </w:r>
      <w:r w:rsidRPr="0092646E">
        <w:t xml:space="preserve"> Cm 8715. [online] Available at: https://assets.publishing.service.gov.uk/media/5a7c448b40f0b62dffde0f40/Serious_and_Organised_Crime_Strategy.pdf [Accessed 25 November 2024].</w:t>
      </w:r>
    </w:p>
    <w:p w14:paraId="6C48BA96" w14:textId="77777777" w:rsidR="00716B73" w:rsidRPr="0092646E" w:rsidRDefault="00716B73" w:rsidP="00716B73"/>
    <w:p w14:paraId="3D2B0B45" w14:textId="77777777" w:rsidR="00716B73" w:rsidRPr="0092646E" w:rsidRDefault="00716B73" w:rsidP="00716B73">
      <w:r w:rsidRPr="0092646E">
        <w:lastRenderedPageBreak/>
        <w:t xml:space="preserve">Hobson, M., Tom, J., Andrews, M. and Smith, H., 2018. </w:t>
      </w:r>
      <w:r w:rsidRPr="0092646E">
        <w:rPr>
          <w:i/>
        </w:rPr>
        <w:t>Are Police-Led Social Crime Prevention Initiatives Effectiv</w:t>
      </w:r>
      <w:r w:rsidRPr="0092646E">
        <w:t>e?: A Process and Outcome Evaluation of a UK Youth Intervention. Ulster University [online] (Accessed 24 November 2024).</w:t>
      </w:r>
    </w:p>
    <w:p w14:paraId="375C3CCB" w14:textId="77777777" w:rsidR="00716B73" w:rsidRPr="0092646E" w:rsidRDefault="00716B73" w:rsidP="00716B73"/>
    <w:p w14:paraId="689512B5" w14:textId="77777777" w:rsidR="00716B73" w:rsidRPr="0092646E" w:rsidRDefault="00716B73" w:rsidP="00716B73">
      <w:r w:rsidRPr="0092646E">
        <w:t xml:space="preserve">Howell, J.C., 2018. </w:t>
      </w:r>
      <w:r w:rsidRPr="0092646E">
        <w:rPr>
          <w:i/>
        </w:rPr>
        <w:t>What works with gangs</w:t>
      </w:r>
      <w:r w:rsidRPr="0092646E">
        <w:t>. Criminology &amp; Public Policy, 17(4), pp. 991–999. doi: https://doi.org/10.1111/1745-9133.12398.</w:t>
      </w:r>
    </w:p>
    <w:p w14:paraId="39FB973A" w14:textId="77777777" w:rsidR="00716B73" w:rsidRPr="0092646E" w:rsidRDefault="00716B73" w:rsidP="00716B73"/>
    <w:p w14:paraId="03E54E03" w14:textId="77777777" w:rsidR="00716B73" w:rsidRPr="0092646E" w:rsidRDefault="00716B73" w:rsidP="00716B73">
      <w:r w:rsidRPr="0092646E">
        <w:t xml:space="preserve">Hurley, M. and Boulton, L.J., 2021. </w:t>
      </w:r>
      <w:r w:rsidRPr="0092646E">
        <w:rPr>
          <w:i/>
        </w:rPr>
        <w:t>Early identification and intervention with individuals at risk of becoming involved in serious and organised crime (SOC</w:t>
      </w:r>
      <w:r w:rsidRPr="0092646E">
        <w:t>). Safer Communities, 20(2), pp. 73–84. doi: https://doi.org/10.1108/sc-11-2020-0039.</w:t>
      </w:r>
    </w:p>
    <w:p w14:paraId="0EEE7693" w14:textId="77777777" w:rsidR="00716B73" w:rsidRPr="0092646E" w:rsidRDefault="00716B73" w:rsidP="00716B73"/>
    <w:p w14:paraId="6D47A2B1" w14:textId="77777777" w:rsidR="00716B73" w:rsidRPr="0092646E" w:rsidRDefault="00716B73" w:rsidP="00716B73">
      <w:r w:rsidRPr="0092646E">
        <w:t xml:space="preserve">Independent Review of the Modern Slavery Act 2015: Final Report, 2019. </w:t>
      </w:r>
      <w:r w:rsidRPr="0092646E">
        <w:rPr>
          <w:i/>
        </w:rPr>
        <w:t>Presented to Parliament by the Secretary of State for the Home Department by Command of Her Majesty, May 2019</w:t>
      </w:r>
      <w:r w:rsidRPr="0092646E">
        <w:t>. [online] Available at: https://assets.publishing.service.gov.uk/government/uploads/system/uploads/attachment_data/file/805026/modern-slavery-review-final-report.pdf [Accessed 25 November 2024].</w:t>
      </w:r>
    </w:p>
    <w:p w14:paraId="70395077" w14:textId="77777777" w:rsidR="00716B73" w:rsidRPr="0092646E" w:rsidRDefault="00716B73" w:rsidP="00716B73"/>
    <w:p w14:paraId="61D0E249" w14:textId="77777777" w:rsidR="00716B73" w:rsidRPr="0092646E" w:rsidRDefault="00716B73" w:rsidP="00716B73">
      <w:r w:rsidRPr="0092646E">
        <w:t xml:space="preserve">Jabr, F., 2024. John A. Long - </w:t>
      </w:r>
      <w:r w:rsidRPr="0092646E">
        <w:rPr>
          <w:i/>
        </w:rPr>
        <w:t>Publications list. Publicationslist.org</w:t>
      </w:r>
      <w:r w:rsidRPr="0092646E">
        <w:t>, 14(6).</w:t>
      </w:r>
    </w:p>
    <w:p w14:paraId="2585EA81" w14:textId="77777777" w:rsidR="00716B73" w:rsidRPr="0092646E" w:rsidRDefault="00716B73" w:rsidP="00716B73"/>
    <w:p w14:paraId="1D82247E" w14:textId="77777777" w:rsidR="00716B73" w:rsidRPr="0092646E" w:rsidRDefault="00716B73" w:rsidP="00716B73">
      <w:r w:rsidRPr="0092646E">
        <w:t xml:space="preserve">Joint Race Equality Plan, 2021. Police and </w:t>
      </w:r>
      <w:r w:rsidRPr="0092646E">
        <w:rPr>
          <w:i/>
        </w:rPr>
        <w:t>Crime Commissioner</w:t>
      </w:r>
      <w:r w:rsidRPr="0092646E">
        <w:t>. [online] Available at: Our Equality Objectives | South Wales Police - Layout 1 [online] (Accessed 18 November 2024).</w:t>
      </w:r>
    </w:p>
    <w:p w14:paraId="24BEB025" w14:textId="77777777" w:rsidR="00716B73" w:rsidRPr="0092646E" w:rsidRDefault="00716B73" w:rsidP="00716B73"/>
    <w:p w14:paraId="42784206" w14:textId="77777777" w:rsidR="00716B73" w:rsidRPr="0092646E" w:rsidRDefault="00716B73" w:rsidP="00716B73">
      <w:r w:rsidRPr="0092646E">
        <w:t xml:space="preserve">Jumbe, S., Milner, A., Clinch, M., Kennedy, J., Pinder, R.J., Sharpe, C.A. and Fenton, K., 2021. </w:t>
      </w:r>
      <w:r w:rsidRPr="0092646E">
        <w:rPr>
          <w:i/>
        </w:rPr>
        <w:t>A qualitative evaluation of Southwark Council’s public health response to mitigating the mental health impact of the 2017 London Bridge and Borough Market terror attack</w:t>
      </w:r>
      <w:r w:rsidRPr="0092646E">
        <w:t>. BMC Public Health, [online] 21(1). Available at: https://doi.org/10.1186/s12889-021-11447-8 [Accessed 19 November 2024].</w:t>
      </w:r>
    </w:p>
    <w:p w14:paraId="1A89BE11" w14:textId="77777777" w:rsidR="00716B73" w:rsidRPr="0092646E" w:rsidRDefault="00716B73" w:rsidP="00716B73"/>
    <w:p w14:paraId="314D5C82" w14:textId="77777777" w:rsidR="00716B73" w:rsidRPr="0092646E" w:rsidRDefault="00716B73" w:rsidP="00716B73">
      <w:r w:rsidRPr="0092646E">
        <w:t xml:space="preserve">Land, T., 2018. </w:t>
      </w:r>
      <w:r w:rsidRPr="0092646E">
        <w:rPr>
          <w:i/>
        </w:rPr>
        <w:t>Taking action against the growing threat of cyberattacks in healthcare.</w:t>
      </w:r>
      <w:r w:rsidRPr="0092646E">
        <w:t xml:space="preserve"> Frontiers of Health Services Management, 35(1), pp. 1–2. doi: https://doi.org/10.1097/hap.0000000000000043.</w:t>
      </w:r>
    </w:p>
    <w:p w14:paraId="7FE2A1E4" w14:textId="77777777" w:rsidR="00716B73" w:rsidRPr="0092646E" w:rsidRDefault="00716B73" w:rsidP="00716B73"/>
    <w:p w14:paraId="3469B0A6" w14:textId="77777777" w:rsidR="00716B73" w:rsidRPr="0092646E" w:rsidRDefault="00716B73" w:rsidP="00716B73">
      <w:r w:rsidRPr="0092646E">
        <w:t xml:space="preserve">Lober, D., and Farrington, D.P., 2000. </w:t>
      </w:r>
      <w:r w:rsidRPr="0092646E">
        <w:rPr>
          <w:i/>
        </w:rPr>
        <w:t>Young children who commit crime: Epidemiology, developmental origins, risk factors, early interventions, and policy implications</w:t>
      </w:r>
      <w:r w:rsidRPr="0092646E">
        <w:t>. Cambridge University Press [online] (Accessed 23 November 2024).</w:t>
      </w:r>
    </w:p>
    <w:p w14:paraId="55AA9DDB" w14:textId="77777777" w:rsidR="00716B73" w:rsidRPr="0092646E" w:rsidRDefault="00716B73" w:rsidP="00716B73"/>
    <w:p w14:paraId="0D76B453" w14:textId="77777777" w:rsidR="00716B73" w:rsidRPr="0092646E" w:rsidRDefault="00716B73" w:rsidP="00716B73">
      <w:r w:rsidRPr="0092646E">
        <w:lastRenderedPageBreak/>
        <w:t>Livingstone, N., et al., 2013. Cochrane Library. Available at: cochranelibrary.com/cdsr/doi/10.1002/14651858.CD008898.pub2/epdf/full [online] (Accessed 24 November 2024).</w:t>
      </w:r>
    </w:p>
    <w:p w14:paraId="1DF09EDC" w14:textId="77777777" w:rsidR="00716B73" w:rsidRPr="0092646E" w:rsidRDefault="00716B73" w:rsidP="00716B73"/>
    <w:p w14:paraId="330B1512" w14:textId="77777777" w:rsidR="00716B73" w:rsidRPr="0092646E" w:rsidRDefault="00716B73" w:rsidP="00716B73">
      <w:r w:rsidRPr="0092646E">
        <w:t xml:space="preserve">London City Hall, n.d. </w:t>
      </w:r>
      <w:r w:rsidRPr="0092646E">
        <w:rPr>
          <w:i/>
        </w:rPr>
        <w:t>Police mental health</w:t>
      </w:r>
      <w:r w:rsidRPr="0092646E">
        <w:t>. [online] Available at: https://www.london.gov.uk/who-we-are/what-london-assembly-does/questions-mayor/find-an-answer/police-mental-health-0 [Accessed 19 November 2024].</w:t>
      </w:r>
    </w:p>
    <w:p w14:paraId="4B342164" w14:textId="77777777" w:rsidR="00716B73" w:rsidRPr="0092646E" w:rsidRDefault="00716B73" w:rsidP="00716B73"/>
    <w:p w14:paraId="29F1C89B" w14:textId="77777777" w:rsidR="00716B73" w:rsidRPr="0092646E" w:rsidRDefault="00716B73" w:rsidP="00716B73">
      <w:r w:rsidRPr="0092646E">
        <w:t xml:space="preserve">NICE, n.d. </w:t>
      </w:r>
      <w:r w:rsidRPr="0092646E">
        <w:rPr>
          <w:i/>
        </w:rPr>
        <w:t xml:space="preserve">National Institute for Health and Care Excellence. </w:t>
      </w:r>
      <w:r w:rsidRPr="0092646E">
        <w:t>Available at: Microsoft Word - The Evidence Base for Family Nurse Partnership-Evidence Le\205) [online] (Accessed 25 November 2024).</w:t>
      </w:r>
    </w:p>
    <w:p w14:paraId="3BA99C87" w14:textId="77777777" w:rsidR="00716B73" w:rsidRPr="0092646E" w:rsidRDefault="00716B73" w:rsidP="00716B73"/>
    <w:p w14:paraId="74E6C60D" w14:textId="77777777" w:rsidR="00716B73" w:rsidRPr="0092646E" w:rsidRDefault="00716B73" w:rsidP="00716B73">
      <w:r w:rsidRPr="0092646E">
        <w:t xml:space="preserve">Our Race Equality Objectives, n.d. </w:t>
      </w:r>
      <w:r w:rsidRPr="0092646E">
        <w:rPr>
          <w:i/>
        </w:rPr>
        <w:t>South Wales Police.</w:t>
      </w:r>
      <w:r w:rsidRPr="0092646E">
        <w:t xml:space="preserve"> Available at: Our Equality Objectives | South Wales Police [online] (Accessed 14 November 2024).</w:t>
      </w:r>
    </w:p>
    <w:p w14:paraId="5448C6D9" w14:textId="77777777" w:rsidR="00716B73" w:rsidRPr="0092646E" w:rsidRDefault="00716B73" w:rsidP="00716B73"/>
    <w:p w14:paraId="070162DB" w14:textId="77777777" w:rsidR="00716B73" w:rsidRPr="0092646E" w:rsidRDefault="00716B73" w:rsidP="00716B73">
      <w:r w:rsidRPr="0092646E">
        <w:t xml:space="preserve">Papazoglou, K., Blumberg, D.M., Chiongbian, V.B., Tuttle, B.M., Kamkar, K., Chopko, B., Milliard, B., Aukhojee, P. and Koskelainen, M., 2020. </w:t>
      </w:r>
      <w:r w:rsidRPr="0092646E">
        <w:rPr>
          <w:i/>
        </w:rPr>
        <w:t>The Role of Moral Injury in PTSD Among Law Enforcement Officers: A Brief Report. Frontiers in Psychology</w:t>
      </w:r>
      <w:r w:rsidRPr="0092646E">
        <w:t>, [online] 11. Available at: https://doi.org/10.3389/fpsyg.2020.00310 [Accessed 19 November</w:t>
      </w:r>
    </w:p>
    <w:p w14:paraId="5B3A0DE0" w14:textId="77777777" w:rsidR="00716B73" w:rsidRPr="0092646E" w:rsidRDefault="00716B73" w:rsidP="00716B73"/>
    <w:p w14:paraId="7D5E48A4" w14:textId="682608B1" w:rsidR="00BD1AB2" w:rsidRPr="000742C0" w:rsidRDefault="00BD1AB2" w:rsidP="00BD1AB2">
      <w:pPr>
        <w:pBdr>
          <w:bottom w:val="single" w:sz="6" w:space="1" w:color="auto"/>
        </w:pBdr>
        <w:jc w:val="center"/>
        <w:rPr>
          <w:rFonts w:ascii="Arial" w:hAnsi="Arial" w:cs="Arial"/>
          <w:vanish/>
          <w:sz w:val="16"/>
          <w:szCs w:val="16"/>
          <w:lang w:val="en-US"/>
        </w:rPr>
      </w:pPr>
      <w:r w:rsidRPr="000742C0">
        <w:rPr>
          <w:rFonts w:ascii="Arial" w:hAnsi="Arial" w:cs="Arial"/>
          <w:vanish/>
          <w:sz w:val="16"/>
          <w:szCs w:val="16"/>
          <w:lang w:val="en-US"/>
        </w:rPr>
        <w:t>Top of Form</w:t>
      </w:r>
    </w:p>
    <w:p w14:paraId="2515A754" w14:textId="77777777" w:rsidR="00BD1AB2" w:rsidRDefault="00BD1AB2" w:rsidP="00BD1AB2"/>
    <w:p w14:paraId="02C46CE3" w14:textId="77777777" w:rsidR="001E2FC0" w:rsidRPr="006B451C" w:rsidRDefault="001E2FC0" w:rsidP="009129D5">
      <w:pPr>
        <w:rPr>
          <w:bCs/>
          <w:color w:val="000000" w:themeColor="text1"/>
        </w:rPr>
      </w:pPr>
    </w:p>
    <w:p w14:paraId="4C435E67" w14:textId="77777777" w:rsidR="00EB37D1" w:rsidRPr="006B451C" w:rsidRDefault="00EB37D1" w:rsidP="009129D5">
      <w:pPr>
        <w:rPr>
          <w:bCs/>
          <w:color w:val="000000" w:themeColor="text1"/>
        </w:rPr>
      </w:pPr>
    </w:p>
    <w:p w14:paraId="50397755" w14:textId="77777777" w:rsidR="00E2378D" w:rsidRPr="006B451C" w:rsidRDefault="00E2378D" w:rsidP="009129D5">
      <w:pPr>
        <w:rPr>
          <w:bCs/>
          <w:color w:val="000000" w:themeColor="text1"/>
        </w:rPr>
      </w:pPr>
    </w:p>
    <w:p w14:paraId="71BA1CA3" w14:textId="77777777" w:rsidR="00E2378D" w:rsidRPr="006B451C" w:rsidRDefault="00E2378D" w:rsidP="009129D5">
      <w:pPr>
        <w:rPr>
          <w:bCs/>
          <w:color w:val="000000" w:themeColor="text1"/>
        </w:rPr>
      </w:pPr>
    </w:p>
    <w:p w14:paraId="15AA9648" w14:textId="77777777" w:rsidR="00195C96" w:rsidRPr="006B451C" w:rsidRDefault="00195C96" w:rsidP="009129D5">
      <w:pPr>
        <w:rPr>
          <w:bCs/>
          <w:color w:val="000000" w:themeColor="text1"/>
        </w:rPr>
      </w:pPr>
    </w:p>
    <w:p w14:paraId="3B34C2FB" w14:textId="2614E80E" w:rsidR="004A6147" w:rsidRPr="006B451C" w:rsidRDefault="004A6147" w:rsidP="00452885">
      <w:pPr>
        <w:rPr>
          <w:bCs/>
          <w:color w:val="000000" w:themeColor="text1"/>
        </w:rPr>
      </w:pPr>
    </w:p>
    <w:p w14:paraId="162984E9" w14:textId="77777777" w:rsidR="009C45EE" w:rsidRPr="006B451C" w:rsidRDefault="009C45EE" w:rsidP="00452885">
      <w:pPr>
        <w:rPr>
          <w:bCs/>
          <w:color w:val="000000" w:themeColor="text1"/>
        </w:rPr>
      </w:pPr>
    </w:p>
    <w:p w14:paraId="65D9746F" w14:textId="4C26EAEC" w:rsidR="00452885" w:rsidRPr="006B451C" w:rsidRDefault="00452885" w:rsidP="009129D5">
      <w:pPr>
        <w:rPr>
          <w:bCs/>
          <w:color w:val="FF0000"/>
        </w:rPr>
      </w:pPr>
    </w:p>
    <w:p w14:paraId="1471CB3C" w14:textId="77777777" w:rsidR="00DD1A4F" w:rsidRPr="006B451C" w:rsidRDefault="00DD1A4F" w:rsidP="009129D5">
      <w:pPr>
        <w:rPr>
          <w:bCs/>
          <w:color w:val="FF0000"/>
        </w:rPr>
      </w:pPr>
    </w:p>
    <w:p w14:paraId="55B4DBFA" w14:textId="77777777" w:rsidR="003527CD" w:rsidRPr="006B451C" w:rsidRDefault="003527CD" w:rsidP="009129D5">
      <w:pPr>
        <w:rPr>
          <w:bCs/>
          <w:color w:val="FF0000"/>
        </w:rPr>
      </w:pPr>
    </w:p>
    <w:sectPr w:rsidR="003527CD" w:rsidRPr="006B4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5043EE"/>
    <w:multiLevelType w:val="hybridMultilevel"/>
    <w:tmpl w:val="82F46C46"/>
    <w:lvl w:ilvl="0" w:tplc="888A905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534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9D5"/>
    <w:rsid w:val="0000007F"/>
    <w:rsid w:val="00006030"/>
    <w:rsid w:val="000077CE"/>
    <w:rsid w:val="000079ED"/>
    <w:rsid w:val="00007CF1"/>
    <w:rsid w:val="00014B1C"/>
    <w:rsid w:val="0001772B"/>
    <w:rsid w:val="00022333"/>
    <w:rsid w:val="00024AC1"/>
    <w:rsid w:val="00026007"/>
    <w:rsid w:val="00026907"/>
    <w:rsid w:val="000324F9"/>
    <w:rsid w:val="00035F37"/>
    <w:rsid w:val="00036127"/>
    <w:rsid w:val="00045087"/>
    <w:rsid w:val="00047EE0"/>
    <w:rsid w:val="00053DA5"/>
    <w:rsid w:val="00061AD7"/>
    <w:rsid w:val="000701AA"/>
    <w:rsid w:val="000735E0"/>
    <w:rsid w:val="00075B87"/>
    <w:rsid w:val="0007650D"/>
    <w:rsid w:val="000839A3"/>
    <w:rsid w:val="000870EC"/>
    <w:rsid w:val="000902F5"/>
    <w:rsid w:val="0009342B"/>
    <w:rsid w:val="000962DB"/>
    <w:rsid w:val="00097880"/>
    <w:rsid w:val="00097A24"/>
    <w:rsid w:val="000A3391"/>
    <w:rsid w:val="000A52A1"/>
    <w:rsid w:val="000A6094"/>
    <w:rsid w:val="000B38ED"/>
    <w:rsid w:val="000B46B2"/>
    <w:rsid w:val="000C2029"/>
    <w:rsid w:val="000C40F6"/>
    <w:rsid w:val="000D14C5"/>
    <w:rsid w:val="000D23B6"/>
    <w:rsid w:val="000E61A7"/>
    <w:rsid w:val="000E6249"/>
    <w:rsid w:val="000F1304"/>
    <w:rsid w:val="000F24B7"/>
    <w:rsid w:val="000F27FE"/>
    <w:rsid w:val="000F3D30"/>
    <w:rsid w:val="000F5D36"/>
    <w:rsid w:val="00101CF4"/>
    <w:rsid w:val="00102903"/>
    <w:rsid w:val="00102C11"/>
    <w:rsid w:val="00104563"/>
    <w:rsid w:val="0010499B"/>
    <w:rsid w:val="00105A51"/>
    <w:rsid w:val="00114EB5"/>
    <w:rsid w:val="001271B7"/>
    <w:rsid w:val="001328AC"/>
    <w:rsid w:val="001450B8"/>
    <w:rsid w:val="00147E40"/>
    <w:rsid w:val="0015231C"/>
    <w:rsid w:val="001538FC"/>
    <w:rsid w:val="001539C9"/>
    <w:rsid w:val="00157F30"/>
    <w:rsid w:val="00160BF3"/>
    <w:rsid w:val="00161DFE"/>
    <w:rsid w:val="00162EA8"/>
    <w:rsid w:val="00170BD4"/>
    <w:rsid w:val="00176677"/>
    <w:rsid w:val="00182E60"/>
    <w:rsid w:val="00187607"/>
    <w:rsid w:val="00195C96"/>
    <w:rsid w:val="001A0C4A"/>
    <w:rsid w:val="001A1D7B"/>
    <w:rsid w:val="001A3604"/>
    <w:rsid w:val="001A5591"/>
    <w:rsid w:val="001B3955"/>
    <w:rsid w:val="001B6F01"/>
    <w:rsid w:val="001B7C1C"/>
    <w:rsid w:val="001C04FF"/>
    <w:rsid w:val="001C2796"/>
    <w:rsid w:val="001C2CB8"/>
    <w:rsid w:val="001C5139"/>
    <w:rsid w:val="001C7348"/>
    <w:rsid w:val="001E2557"/>
    <w:rsid w:val="001E2FC0"/>
    <w:rsid w:val="001E7168"/>
    <w:rsid w:val="001E79A2"/>
    <w:rsid w:val="001F309E"/>
    <w:rsid w:val="001F6A66"/>
    <w:rsid w:val="001F6FFA"/>
    <w:rsid w:val="001F766D"/>
    <w:rsid w:val="002033A1"/>
    <w:rsid w:val="002043DB"/>
    <w:rsid w:val="002059B6"/>
    <w:rsid w:val="00206FC3"/>
    <w:rsid w:val="002073EC"/>
    <w:rsid w:val="00207D6D"/>
    <w:rsid w:val="002115E3"/>
    <w:rsid w:val="00211E79"/>
    <w:rsid w:val="002129FB"/>
    <w:rsid w:val="0021462E"/>
    <w:rsid w:val="00222611"/>
    <w:rsid w:val="00225F9D"/>
    <w:rsid w:val="00240015"/>
    <w:rsid w:val="00245834"/>
    <w:rsid w:val="00251542"/>
    <w:rsid w:val="00252691"/>
    <w:rsid w:val="00252C07"/>
    <w:rsid w:val="00254C3E"/>
    <w:rsid w:val="00260E4A"/>
    <w:rsid w:val="00261AAB"/>
    <w:rsid w:val="00263D4E"/>
    <w:rsid w:val="00264452"/>
    <w:rsid w:val="00281FA4"/>
    <w:rsid w:val="00286D1E"/>
    <w:rsid w:val="00295C61"/>
    <w:rsid w:val="00296104"/>
    <w:rsid w:val="002A1788"/>
    <w:rsid w:val="002A5419"/>
    <w:rsid w:val="002A72FA"/>
    <w:rsid w:val="002A7931"/>
    <w:rsid w:val="002B0316"/>
    <w:rsid w:val="002B6CE0"/>
    <w:rsid w:val="002C0558"/>
    <w:rsid w:val="002C47DD"/>
    <w:rsid w:val="002C5BEE"/>
    <w:rsid w:val="002D691B"/>
    <w:rsid w:val="002E14E2"/>
    <w:rsid w:val="002F5EBD"/>
    <w:rsid w:val="003054E3"/>
    <w:rsid w:val="003057ED"/>
    <w:rsid w:val="0031422E"/>
    <w:rsid w:val="00314530"/>
    <w:rsid w:val="003209D0"/>
    <w:rsid w:val="00325D7C"/>
    <w:rsid w:val="003344A0"/>
    <w:rsid w:val="00336AF5"/>
    <w:rsid w:val="00344320"/>
    <w:rsid w:val="003445FA"/>
    <w:rsid w:val="00345A7D"/>
    <w:rsid w:val="00345B00"/>
    <w:rsid w:val="003464F0"/>
    <w:rsid w:val="00347367"/>
    <w:rsid w:val="003527CD"/>
    <w:rsid w:val="003603AF"/>
    <w:rsid w:val="003616DE"/>
    <w:rsid w:val="00363EF3"/>
    <w:rsid w:val="0037226F"/>
    <w:rsid w:val="00380A6C"/>
    <w:rsid w:val="003903D5"/>
    <w:rsid w:val="0039181A"/>
    <w:rsid w:val="00394E79"/>
    <w:rsid w:val="003A0AA6"/>
    <w:rsid w:val="003A5EE9"/>
    <w:rsid w:val="003A716E"/>
    <w:rsid w:val="003B6A4D"/>
    <w:rsid w:val="003B6FE8"/>
    <w:rsid w:val="003C2D63"/>
    <w:rsid w:val="003C7480"/>
    <w:rsid w:val="003D1F17"/>
    <w:rsid w:val="003D5D1A"/>
    <w:rsid w:val="003D73AD"/>
    <w:rsid w:val="003E2B94"/>
    <w:rsid w:val="003E44DC"/>
    <w:rsid w:val="003F1F3C"/>
    <w:rsid w:val="003F7848"/>
    <w:rsid w:val="0041448A"/>
    <w:rsid w:val="004264B2"/>
    <w:rsid w:val="00434217"/>
    <w:rsid w:val="00437B1D"/>
    <w:rsid w:val="004407B0"/>
    <w:rsid w:val="00440B19"/>
    <w:rsid w:val="004474D3"/>
    <w:rsid w:val="0045051D"/>
    <w:rsid w:val="00452885"/>
    <w:rsid w:val="00454364"/>
    <w:rsid w:val="00460551"/>
    <w:rsid w:val="0047161C"/>
    <w:rsid w:val="00475B3E"/>
    <w:rsid w:val="00477C4A"/>
    <w:rsid w:val="00480FA9"/>
    <w:rsid w:val="00484382"/>
    <w:rsid w:val="00484EBA"/>
    <w:rsid w:val="00486C7E"/>
    <w:rsid w:val="00490DA8"/>
    <w:rsid w:val="004923B9"/>
    <w:rsid w:val="00493C46"/>
    <w:rsid w:val="00494939"/>
    <w:rsid w:val="004A18E5"/>
    <w:rsid w:val="004A3EDF"/>
    <w:rsid w:val="004A5879"/>
    <w:rsid w:val="004A58A8"/>
    <w:rsid w:val="004A6147"/>
    <w:rsid w:val="004B5725"/>
    <w:rsid w:val="004D1BF4"/>
    <w:rsid w:val="004D1DB5"/>
    <w:rsid w:val="004D277F"/>
    <w:rsid w:val="004D4196"/>
    <w:rsid w:val="004D6097"/>
    <w:rsid w:val="004D67F1"/>
    <w:rsid w:val="004D6A75"/>
    <w:rsid w:val="004E28F1"/>
    <w:rsid w:val="004E589D"/>
    <w:rsid w:val="004E5FC1"/>
    <w:rsid w:val="004F1657"/>
    <w:rsid w:val="004F1FCF"/>
    <w:rsid w:val="004F56DB"/>
    <w:rsid w:val="00502144"/>
    <w:rsid w:val="00502F99"/>
    <w:rsid w:val="005069EF"/>
    <w:rsid w:val="00506C13"/>
    <w:rsid w:val="00510222"/>
    <w:rsid w:val="00514FB4"/>
    <w:rsid w:val="005234E3"/>
    <w:rsid w:val="0053514A"/>
    <w:rsid w:val="0053781F"/>
    <w:rsid w:val="00547B38"/>
    <w:rsid w:val="00551788"/>
    <w:rsid w:val="00555753"/>
    <w:rsid w:val="00563287"/>
    <w:rsid w:val="00564AF0"/>
    <w:rsid w:val="00565B57"/>
    <w:rsid w:val="005849BF"/>
    <w:rsid w:val="00586397"/>
    <w:rsid w:val="00587140"/>
    <w:rsid w:val="005925E4"/>
    <w:rsid w:val="005A2A87"/>
    <w:rsid w:val="005A5EFD"/>
    <w:rsid w:val="005A6CCA"/>
    <w:rsid w:val="005B4356"/>
    <w:rsid w:val="005C2789"/>
    <w:rsid w:val="005C332E"/>
    <w:rsid w:val="005D7491"/>
    <w:rsid w:val="005E30AB"/>
    <w:rsid w:val="005E5F60"/>
    <w:rsid w:val="005E7A31"/>
    <w:rsid w:val="005E7AF2"/>
    <w:rsid w:val="005F1521"/>
    <w:rsid w:val="005F2083"/>
    <w:rsid w:val="005F2BBF"/>
    <w:rsid w:val="00603CBF"/>
    <w:rsid w:val="00607042"/>
    <w:rsid w:val="00610E60"/>
    <w:rsid w:val="00615073"/>
    <w:rsid w:val="00630C4F"/>
    <w:rsid w:val="00642596"/>
    <w:rsid w:val="00642759"/>
    <w:rsid w:val="0065167B"/>
    <w:rsid w:val="006531E3"/>
    <w:rsid w:val="006535AD"/>
    <w:rsid w:val="00672E75"/>
    <w:rsid w:val="006737CE"/>
    <w:rsid w:val="006740BF"/>
    <w:rsid w:val="00682628"/>
    <w:rsid w:val="00697E12"/>
    <w:rsid w:val="006A0694"/>
    <w:rsid w:val="006A155A"/>
    <w:rsid w:val="006A1729"/>
    <w:rsid w:val="006A2814"/>
    <w:rsid w:val="006A5257"/>
    <w:rsid w:val="006A5B49"/>
    <w:rsid w:val="006A6CFB"/>
    <w:rsid w:val="006A70D5"/>
    <w:rsid w:val="006B2573"/>
    <w:rsid w:val="006B451C"/>
    <w:rsid w:val="006B7C9E"/>
    <w:rsid w:val="006C3F4A"/>
    <w:rsid w:val="006D0494"/>
    <w:rsid w:val="006D0572"/>
    <w:rsid w:val="006D7D0A"/>
    <w:rsid w:val="006E251B"/>
    <w:rsid w:val="006E40FA"/>
    <w:rsid w:val="006F0485"/>
    <w:rsid w:val="006F1642"/>
    <w:rsid w:val="006F3FE6"/>
    <w:rsid w:val="00700D47"/>
    <w:rsid w:val="0071022A"/>
    <w:rsid w:val="00713E60"/>
    <w:rsid w:val="007141E9"/>
    <w:rsid w:val="00716280"/>
    <w:rsid w:val="00716B73"/>
    <w:rsid w:val="00717091"/>
    <w:rsid w:val="00720D41"/>
    <w:rsid w:val="007234EC"/>
    <w:rsid w:val="0072407D"/>
    <w:rsid w:val="00731E3C"/>
    <w:rsid w:val="00742440"/>
    <w:rsid w:val="0074738C"/>
    <w:rsid w:val="00755EB2"/>
    <w:rsid w:val="00762676"/>
    <w:rsid w:val="007628AC"/>
    <w:rsid w:val="00763184"/>
    <w:rsid w:val="00764BE2"/>
    <w:rsid w:val="00773B4C"/>
    <w:rsid w:val="00776847"/>
    <w:rsid w:val="007839FB"/>
    <w:rsid w:val="00785344"/>
    <w:rsid w:val="00785A84"/>
    <w:rsid w:val="00785FFC"/>
    <w:rsid w:val="00786176"/>
    <w:rsid w:val="00796859"/>
    <w:rsid w:val="007A3123"/>
    <w:rsid w:val="007A3D9F"/>
    <w:rsid w:val="007A5461"/>
    <w:rsid w:val="007A6088"/>
    <w:rsid w:val="007B1E0F"/>
    <w:rsid w:val="007C2C54"/>
    <w:rsid w:val="007C75E4"/>
    <w:rsid w:val="007D23A4"/>
    <w:rsid w:val="007D41E4"/>
    <w:rsid w:val="007D448B"/>
    <w:rsid w:val="007D4572"/>
    <w:rsid w:val="007D58F3"/>
    <w:rsid w:val="007D6399"/>
    <w:rsid w:val="007E0759"/>
    <w:rsid w:val="007E10BF"/>
    <w:rsid w:val="007E2EE0"/>
    <w:rsid w:val="007F05F7"/>
    <w:rsid w:val="007F1BB1"/>
    <w:rsid w:val="007F1FF5"/>
    <w:rsid w:val="007F203F"/>
    <w:rsid w:val="007F2D0C"/>
    <w:rsid w:val="007F5865"/>
    <w:rsid w:val="00800F6E"/>
    <w:rsid w:val="00807A7A"/>
    <w:rsid w:val="00820768"/>
    <w:rsid w:val="00830139"/>
    <w:rsid w:val="0083530E"/>
    <w:rsid w:val="008363C8"/>
    <w:rsid w:val="00837E4F"/>
    <w:rsid w:val="008417F2"/>
    <w:rsid w:val="008425D2"/>
    <w:rsid w:val="008543B1"/>
    <w:rsid w:val="008569F8"/>
    <w:rsid w:val="00860BAB"/>
    <w:rsid w:val="0086158F"/>
    <w:rsid w:val="00861F09"/>
    <w:rsid w:val="00863C07"/>
    <w:rsid w:val="008652E3"/>
    <w:rsid w:val="00872F1C"/>
    <w:rsid w:val="008772B3"/>
    <w:rsid w:val="00880E6D"/>
    <w:rsid w:val="00881287"/>
    <w:rsid w:val="00895265"/>
    <w:rsid w:val="008A4B82"/>
    <w:rsid w:val="008B4F22"/>
    <w:rsid w:val="008B54C9"/>
    <w:rsid w:val="008B5BCF"/>
    <w:rsid w:val="008B7766"/>
    <w:rsid w:val="008C38C6"/>
    <w:rsid w:val="008C487F"/>
    <w:rsid w:val="008C6EFF"/>
    <w:rsid w:val="008E32B6"/>
    <w:rsid w:val="008E66D4"/>
    <w:rsid w:val="008F0393"/>
    <w:rsid w:val="008F059F"/>
    <w:rsid w:val="008F3B6B"/>
    <w:rsid w:val="008F40BC"/>
    <w:rsid w:val="008F5918"/>
    <w:rsid w:val="008F63CD"/>
    <w:rsid w:val="009129D5"/>
    <w:rsid w:val="0091357F"/>
    <w:rsid w:val="00913E3D"/>
    <w:rsid w:val="00921234"/>
    <w:rsid w:val="00923FF8"/>
    <w:rsid w:val="00924369"/>
    <w:rsid w:val="00925BDE"/>
    <w:rsid w:val="009321F8"/>
    <w:rsid w:val="00944E5B"/>
    <w:rsid w:val="00946439"/>
    <w:rsid w:val="00955951"/>
    <w:rsid w:val="0095668F"/>
    <w:rsid w:val="00961378"/>
    <w:rsid w:val="00961FA1"/>
    <w:rsid w:val="009634DC"/>
    <w:rsid w:val="009657C4"/>
    <w:rsid w:val="00976B5A"/>
    <w:rsid w:val="00982561"/>
    <w:rsid w:val="00983578"/>
    <w:rsid w:val="00984308"/>
    <w:rsid w:val="0099702C"/>
    <w:rsid w:val="009A393A"/>
    <w:rsid w:val="009A3D00"/>
    <w:rsid w:val="009A4605"/>
    <w:rsid w:val="009A62C6"/>
    <w:rsid w:val="009B30AC"/>
    <w:rsid w:val="009B53CC"/>
    <w:rsid w:val="009C45EE"/>
    <w:rsid w:val="009C551C"/>
    <w:rsid w:val="009C7EC2"/>
    <w:rsid w:val="009D1F66"/>
    <w:rsid w:val="009D20EF"/>
    <w:rsid w:val="009D5A7E"/>
    <w:rsid w:val="009D6037"/>
    <w:rsid w:val="009E202B"/>
    <w:rsid w:val="009E6BFE"/>
    <w:rsid w:val="009E6EE2"/>
    <w:rsid w:val="009F3FBB"/>
    <w:rsid w:val="009F5985"/>
    <w:rsid w:val="009F7D9F"/>
    <w:rsid w:val="00A02C41"/>
    <w:rsid w:val="00A05215"/>
    <w:rsid w:val="00A074C1"/>
    <w:rsid w:val="00A13D3B"/>
    <w:rsid w:val="00A14138"/>
    <w:rsid w:val="00A1497A"/>
    <w:rsid w:val="00A20A0D"/>
    <w:rsid w:val="00A327A1"/>
    <w:rsid w:val="00A34166"/>
    <w:rsid w:val="00A3590E"/>
    <w:rsid w:val="00A36CD0"/>
    <w:rsid w:val="00A4343C"/>
    <w:rsid w:val="00A61274"/>
    <w:rsid w:val="00A6257D"/>
    <w:rsid w:val="00A626E0"/>
    <w:rsid w:val="00A63793"/>
    <w:rsid w:val="00A64C47"/>
    <w:rsid w:val="00A706B3"/>
    <w:rsid w:val="00A70F76"/>
    <w:rsid w:val="00A72736"/>
    <w:rsid w:val="00A74559"/>
    <w:rsid w:val="00A82C93"/>
    <w:rsid w:val="00A83551"/>
    <w:rsid w:val="00A93BA8"/>
    <w:rsid w:val="00A944B5"/>
    <w:rsid w:val="00A97401"/>
    <w:rsid w:val="00AA1557"/>
    <w:rsid w:val="00AA732D"/>
    <w:rsid w:val="00AB225C"/>
    <w:rsid w:val="00AB3E2F"/>
    <w:rsid w:val="00AC11D4"/>
    <w:rsid w:val="00AC39BD"/>
    <w:rsid w:val="00AC41CF"/>
    <w:rsid w:val="00AC4303"/>
    <w:rsid w:val="00AC4F37"/>
    <w:rsid w:val="00AC5358"/>
    <w:rsid w:val="00AD29DF"/>
    <w:rsid w:val="00AD3B11"/>
    <w:rsid w:val="00AD75B0"/>
    <w:rsid w:val="00AE0696"/>
    <w:rsid w:val="00AE565E"/>
    <w:rsid w:val="00AE7150"/>
    <w:rsid w:val="00AF0BA6"/>
    <w:rsid w:val="00AF1165"/>
    <w:rsid w:val="00B00749"/>
    <w:rsid w:val="00B01ECF"/>
    <w:rsid w:val="00B023DD"/>
    <w:rsid w:val="00B02FA4"/>
    <w:rsid w:val="00B061D7"/>
    <w:rsid w:val="00B0701D"/>
    <w:rsid w:val="00B108F5"/>
    <w:rsid w:val="00B15B0E"/>
    <w:rsid w:val="00B30FFB"/>
    <w:rsid w:val="00B31E66"/>
    <w:rsid w:val="00B326A6"/>
    <w:rsid w:val="00B412A5"/>
    <w:rsid w:val="00B41637"/>
    <w:rsid w:val="00B41F3C"/>
    <w:rsid w:val="00B43664"/>
    <w:rsid w:val="00B47D9E"/>
    <w:rsid w:val="00B52E79"/>
    <w:rsid w:val="00B54020"/>
    <w:rsid w:val="00B63AB5"/>
    <w:rsid w:val="00B644BB"/>
    <w:rsid w:val="00B6696D"/>
    <w:rsid w:val="00B70A6A"/>
    <w:rsid w:val="00B77C3D"/>
    <w:rsid w:val="00B9669D"/>
    <w:rsid w:val="00BA29FD"/>
    <w:rsid w:val="00BA54E2"/>
    <w:rsid w:val="00BB11E6"/>
    <w:rsid w:val="00BB24BC"/>
    <w:rsid w:val="00BB3824"/>
    <w:rsid w:val="00BB5416"/>
    <w:rsid w:val="00BB7F2E"/>
    <w:rsid w:val="00BC04BB"/>
    <w:rsid w:val="00BC23A4"/>
    <w:rsid w:val="00BC5A6D"/>
    <w:rsid w:val="00BD09CD"/>
    <w:rsid w:val="00BD12C9"/>
    <w:rsid w:val="00BD167D"/>
    <w:rsid w:val="00BD1AB2"/>
    <w:rsid w:val="00BD499A"/>
    <w:rsid w:val="00BD52E4"/>
    <w:rsid w:val="00BD6186"/>
    <w:rsid w:val="00BD76D1"/>
    <w:rsid w:val="00BF174A"/>
    <w:rsid w:val="00BF5695"/>
    <w:rsid w:val="00BF66E2"/>
    <w:rsid w:val="00C03248"/>
    <w:rsid w:val="00C06CF6"/>
    <w:rsid w:val="00C10DBF"/>
    <w:rsid w:val="00C110F6"/>
    <w:rsid w:val="00C22618"/>
    <w:rsid w:val="00C275B5"/>
    <w:rsid w:val="00C30B81"/>
    <w:rsid w:val="00C341AD"/>
    <w:rsid w:val="00C354C2"/>
    <w:rsid w:val="00C42109"/>
    <w:rsid w:val="00C61C70"/>
    <w:rsid w:val="00C642B0"/>
    <w:rsid w:val="00C725EC"/>
    <w:rsid w:val="00C77B69"/>
    <w:rsid w:val="00C82024"/>
    <w:rsid w:val="00C834E5"/>
    <w:rsid w:val="00C84A5E"/>
    <w:rsid w:val="00C85D7A"/>
    <w:rsid w:val="00C87FC8"/>
    <w:rsid w:val="00C90E1E"/>
    <w:rsid w:val="00C92CBE"/>
    <w:rsid w:val="00C94F9D"/>
    <w:rsid w:val="00C968BD"/>
    <w:rsid w:val="00CA5502"/>
    <w:rsid w:val="00CA7A7E"/>
    <w:rsid w:val="00CB0197"/>
    <w:rsid w:val="00CB1CF2"/>
    <w:rsid w:val="00CB36EA"/>
    <w:rsid w:val="00CB46D7"/>
    <w:rsid w:val="00CB7524"/>
    <w:rsid w:val="00CC2E84"/>
    <w:rsid w:val="00CC2F97"/>
    <w:rsid w:val="00CD1586"/>
    <w:rsid w:val="00CD1FA8"/>
    <w:rsid w:val="00CE05C1"/>
    <w:rsid w:val="00CE2DF2"/>
    <w:rsid w:val="00CF0C82"/>
    <w:rsid w:val="00CF46B4"/>
    <w:rsid w:val="00D04C8A"/>
    <w:rsid w:val="00D213F1"/>
    <w:rsid w:val="00D36FB5"/>
    <w:rsid w:val="00D47656"/>
    <w:rsid w:val="00D5446C"/>
    <w:rsid w:val="00D57368"/>
    <w:rsid w:val="00D57F86"/>
    <w:rsid w:val="00D615B1"/>
    <w:rsid w:val="00D6436E"/>
    <w:rsid w:val="00D65B4C"/>
    <w:rsid w:val="00D65F53"/>
    <w:rsid w:val="00D715BD"/>
    <w:rsid w:val="00D821E2"/>
    <w:rsid w:val="00D83231"/>
    <w:rsid w:val="00D84641"/>
    <w:rsid w:val="00D85BD2"/>
    <w:rsid w:val="00D8714B"/>
    <w:rsid w:val="00DA305B"/>
    <w:rsid w:val="00DA3C55"/>
    <w:rsid w:val="00DA6EB5"/>
    <w:rsid w:val="00DB4594"/>
    <w:rsid w:val="00DB5600"/>
    <w:rsid w:val="00DC2803"/>
    <w:rsid w:val="00DC2882"/>
    <w:rsid w:val="00DD1A4F"/>
    <w:rsid w:val="00DD2679"/>
    <w:rsid w:val="00DD3079"/>
    <w:rsid w:val="00DD6200"/>
    <w:rsid w:val="00DD6A8E"/>
    <w:rsid w:val="00DE16E9"/>
    <w:rsid w:val="00DE29FC"/>
    <w:rsid w:val="00DE3489"/>
    <w:rsid w:val="00DE57D1"/>
    <w:rsid w:val="00DF4BC1"/>
    <w:rsid w:val="00DF5E51"/>
    <w:rsid w:val="00DF6F90"/>
    <w:rsid w:val="00E03268"/>
    <w:rsid w:val="00E06492"/>
    <w:rsid w:val="00E13310"/>
    <w:rsid w:val="00E15C21"/>
    <w:rsid w:val="00E2378D"/>
    <w:rsid w:val="00E27C72"/>
    <w:rsid w:val="00E35CC2"/>
    <w:rsid w:val="00E36A0B"/>
    <w:rsid w:val="00E36C7D"/>
    <w:rsid w:val="00E50A85"/>
    <w:rsid w:val="00E56600"/>
    <w:rsid w:val="00E569D7"/>
    <w:rsid w:val="00E6424A"/>
    <w:rsid w:val="00E7520C"/>
    <w:rsid w:val="00E76635"/>
    <w:rsid w:val="00E807D7"/>
    <w:rsid w:val="00E870B4"/>
    <w:rsid w:val="00E93ABF"/>
    <w:rsid w:val="00EA04BA"/>
    <w:rsid w:val="00EA6342"/>
    <w:rsid w:val="00EA6C96"/>
    <w:rsid w:val="00EA7331"/>
    <w:rsid w:val="00EB0EFC"/>
    <w:rsid w:val="00EB2E19"/>
    <w:rsid w:val="00EB2EF2"/>
    <w:rsid w:val="00EB37D1"/>
    <w:rsid w:val="00EC4CDA"/>
    <w:rsid w:val="00ED1146"/>
    <w:rsid w:val="00ED3104"/>
    <w:rsid w:val="00ED3845"/>
    <w:rsid w:val="00EE0529"/>
    <w:rsid w:val="00EE18BD"/>
    <w:rsid w:val="00EE5FA4"/>
    <w:rsid w:val="00EF0399"/>
    <w:rsid w:val="00EF7564"/>
    <w:rsid w:val="00F02948"/>
    <w:rsid w:val="00F04DA8"/>
    <w:rsid w:val="00F15762"/>
    <w:rsid w:val="00F17F31"/>
    <w:rsid w:val="00F204D5"/>
    <w:rsid w:val="00F2650A"/>
    <w:rsid w:val="00F31D58"/>
    <w:rsid w:val="00F345A7"/>
    <w:rsid w:val="00F3572D"/>
    <w:rsid w:val="00F50A35"/>
    <w:rsid w:val="00F6501F"/>
    <w:rsid w:val="00F65541"/>
    <w:rsid w:val="00F765E6"/>
    <w:rsid w:val="00F80DB2"/>
    <w:rsid w:val="00F82ED5"/>
    <w:rsid w:val="00F847DF"/>
    <w:rsid w:val="00F86C07"/>
    <w:rsid w:val="00F87818"/>
    <w:rsid w:val="00FA28C2"/>
    <w:rsid w:val="00FB18AA"/>
    <w:rsid w:val="00FB3202"/>
    <w:rsid w:val="00FB58CA"/>
    <w:rsid w:val="00FC4F31"/>
    <w:rsid w:val="00FD1551"/>
    <w:rsid w:val="00FE415E"/>
    <w:rsid w:val="00FE4275"/>
    <w:rsid w:val="00FE64F8"/>
    <w:rsid w:val="00FF1B71"/>
    <w:rsid w:val="00FF3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8ABB6"/>
  <w15:chartTrackingRefBased/>
  <w15:docId w15:val="{364C6FFB-4A43-425E-B8F8-B88A5DB2F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4A0"/>
  </w:style>
  <w:style w:type="paragraph" w:styleId="Heading1">
    <w:name w:val="heading 1"/>
    <w:basedOn w:val="Normal"/>
    <w:next w:val="Normal"/>
    <w:link w:val="Heading1Char"/>
    <w:uiPriority w:val="9"/>
    <w:qFormat/>
    <w:rsid w:val="009129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29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29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29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29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29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9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9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9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9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29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29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29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29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29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29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29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29D5"/>
    <w:rPr>
      <w:rFonts w:eastAsiaTheme="majorEastAsia" w:cstheme="majorBidi"/>
      <w:color w:val="272727" w:themeColor="text1" w:themeTint="D8"/>
    </w:rPr>
  </w:style>
  <w:style w:type="paragraph" w:styleId="Title">
    <w:name w:val="Title"/>
    <w:basedOn w:val="Normal"/>
    <w:next w:val="Normal"/>
    <w:link w:val="TitleChar"/>
    <w:uiPriority w:val="10"/>
    <w:qFormat/>
    <w:rsid w:val="00912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9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29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29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9D5"/>
    <w:pPr>
      <w:spacing w:before="160"/>
      <w:jc w:val="center"/>
    </w:pPr>
    <w:rPr>
      <w:i/>
      <w:iCs/>
      <w:color w:val="404040" w:themeColor="text1" w:themeTint="BF"/>
    </w:rPr>
  </w:style>
  <w:style w:type="character" w:customStyle="1" w:styleId="QuoteChar">
    <w:name w:val="Quote Char"/>
    <w:basedOn w:val="DefaultParagraphFont"/>
    <w:link w:val="Quote"/>
    <w:uiPriority w:val="29"/>
    <w:rsid w:val="009129D5"/>
    <w:rPr>
      <w:i/>
      <w:iCs/>
      <w:color w:val="404040" w:themeColor="text1" w:themeTint="BF"/>
    </w:rPr>
  </w:style>
  <w:style w:type="paragraph" w:styleId="ListParagraph">
    <w:name w:val="List Paragraph"/>
    <w:basedOn w:val="Normal"/>
    <w:uiPriority w:val="34"/>
    <w:qFormat/>
    <w:rsid w:val="009129D5"/>
    <w:pPr>
      <w:ind w:left="720"/>
      <w:contextualSpacing/>
    </w:pPr>
  </w:style>
  <w:style w:type="character" w:styleId="IntenseEmphasis">
    <w:name w:val="Intense Emphasis"/>
    <w:basedOn w:val="DefaultParagraphFont"/>
    <w:uiPriority w:val="21"/>
    <w:qFormat/>
    <w:rsid w:val="009129D5"/>
    <w:rPr>
      <w:i/>
      <w:iCs/>
      <w:color w:val="0F4761" w:themeColor="accent1" w:themeShade="BF"/>
    </w:rPr>
  </w:style>
  <w:style w:type="paragraph" w:styleId="IntenseQuote">
    <w:name w:val="Intense Quote"/>
    <w:basedOn w:val="Normal"/>
    <w:next w:val="Normal"/>
    <w:link w:val="IntenseQuoteChar"/>
    <w:uiPriority w:val="30"/>
    <w:qFormat/>
    <w:rsid w:val="009129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29D5"/>
    <w:rPr>
      <w:i/>
      <w:iCs/>
      <w:color w:val="0F4761" w:themeColor="accent1" w:themeShade="BF"/>
    </w:rPr>
  </w:style>
  <w:style w:type="character" w:styleId="IntenseReference">
    <w:name w:val="Intense Reference"/>
    <w:basedOn w:val="DefaultParagraphFont"/>
    <w:uiPriority w:val="32"/>
    <w:qFormat/>
    <w:rsid w:val="009129D5"/>
    <w:rPr>
      <w:b/>
      <w:bCs/>
      <w:smallCaps/>
      <w:color w:val="0F4761" w:themeColor="accent1" w:themeShade="BF"/>
      <w:spacing w:val="5"/>
    </w:rPr>
  </w:style>
  <w:style w:type="character" w:styleId="Hyperlink">
    <w:name w:val="Hyperlink"/>
    <w:basedOn w:val="DefaultParagraphFont"/>
    <w:uiPriority w:val="99"/>
    <w:unhideWhenUsed/>
    <w:rsid w:val="008C38C6"/>
    <w:rPr>
      <w:color w:val="467886" w:themeColor="hyperlink"/>
      <w:u w:val="single"/>
    </w:rPr>
  </w:style>
  <w:style w:type="character" w:styleId="UnresolvedMention">
    <w:name w:val="Unresolved Mention"/>
    <w:basedOn w:val="DefaultParagraphFont"/>
    <w:uiPriority w:val="99"/>
    <w:semiHidden/>
    <w:unhideWhenUsed/>
    <w:rsid w:val="008C38C6"/>
    <w:rPr>
      <w:color w:val="605E5C"/>
      <w:shd w:val="clear" w:color="auto" w:fill="E1DFDD"/>
    </w:rPr>
  </w:style>
  <w:style w:type="character" w:styleId="FollowedHyperlink">
    <w:name w:val="FollowedHyperlink"/>
    <w:basedOn w:val="DefaultParagraphFont"/>
    <w:uiPriority w:val="99"/>
    <w:semiHidden/>
    <w:unhideWhenUsed/>
    <w:rsid w:val="009E6E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31390">
      <w:bodyDiv w:val="1"/>
      <w:marLeft w:val="0"/>
      <w:marRight w:val="0"/>
      <w:marTop w:val="0"/>
      <w:marBottom w:val="0"/>
      <w:divBdr>
        <w:top w:val="none" w:sz="0" w:space="0" w:color="auto"/>
        <w:left w:val="none" w:sz="0" w:space="0" w:color="auto"/>
        <w:bottom w:val="none" w:sz="0" w:space="0" w:color="auto"/>
        <w:right w:val="none" w:sz="0" w:space="0" w:color="auto"/>
      </w:divBdr>
    </w:div>
    <w:div w:id="160245308">
      <w:bodyDiv w:val="1"/>
      <w:marLeft w:val="0"/>
      <w:marRight w:val="0"/>
      <w:marTop w:val="0"/>
      <w:marBottom w:val="0"/>
      <w:divBdr>
        <w:top w:val="none" w:sz="0" w:space="0" w:color="auto"/>
        <w:left w:val="none" w:sz="0" w:space="0" w:color="auto"/>
        <w:bottom w:val="none" w:sz="0" w:space="0" w:color="auto"/>
        <w:right w:val="none" w:sz="0" w:space="0" w:color="auto"/>
      </w:divBdr>
    </w:div>
    <w:div w:id="209264303">
      <w:bodyDiv w:val="1"/>
      <w:marLeft w:val="0"/>
      <w:marRight w:val="0"/>
      <w:marTop w:val="0"/>
      <w:marBottom w:val="0"/>
      <w:divBdr>
        <w:top w:val="none" w:sz="0" w:space="0" w:color="auto"/>
        <w:left w:val="none" w:sz="0" w:space="0" w:color="auto"/>
        <w:bottom w:val="none" w:sz="0" w:space="0" w:color="auto"/>
        <w:right w:val="none" w:sz="0" w:space="0" w:color="auto"/>
      </w:divBdr>
      <w:divsChild>
        <w:div w:id="1188761481">
          <w:marLeft w:val="0"/>
          <w:marRight w:val="0"/>
          <w:marTop w:val="0"/>
          <w:marBottom w:val="0"/>
          <w:divBdr>
            <w:top w:val="none" w:sz="0" w:space="0" w:color="auto"/>
            <w:left w:val="none" w:sz="0" w:space="0" w:color="auto"/>
            <w:bottom w:val="none" w:sz="0" w:space="0" w:color="auto"/>
            <w:right w:val="none" w:sz="0" w:space="0" w:color="auto"/>
          </w:divBdr>
          <w:divsChild>
            <w:div w:id="1979844897">
              <w:marLeft w:val="0"/>
              <w:marRight w:val="0"/>
              <w:marTop w:val="0"/>
              <w:marBottom w:val="0"/>
              <w:divBdr>
                <w:top w:val="none" w:sz="0" w:space="0" w:color="auto"/>
                <w:left w:val="none" w:sz="0" w:space="0" w:color="auto"/>
                <w:bottom w:val="none" w:sz="0" w:space="0" w:color="auto"/>
                <w:right w:val="none" w:sz="0" w:space="0" w:color="auto"/>
              </w:divBdr>
              <w:divsChild>
                <w:div w:id="1764379249">
                  <w:marLeft w:val="0"/>
                  <w:marRight w:val="0"/>
                  <w:marTop w:val="0"/>
                  <w:marBottom w:val="0"/>
                  <w:divBdr>
                    <w:top w:val="none" w:sz="0" w:space="0" w:color="auto"/>
                    <w:left w:val="none" w:sz="0" w:space="0" w:color="auto"/>
                    <w:bottom w:val="none" w:sz="0" w:space="0" w:color="auto"/>
                    <w:right w:val="none" w:sz="0" w:space="0" w:color="auto"/>
                  </w:divBdr>
                  <w:divsChild>
                    <w:div w:id="730663890">
                      <w:marLeft w:val="0"/>
                      <w:marRight w:val="0"/>
                      <w:marTop w:val="0"/>
                      <w:marBottom w:val="0"/>
                      <w:divBdr>
                        <w:top w:val="none" w:sz="0" w:space="0" w:color="auto"/>
                        <w:left w:val="none" w:sz="0" w:space="0" w:color="auto"/>
                        <w:bottom w:val="none" w:sz="0" w:space="0" w:color="auto"/>
                        <w:right w:val="none" w:sz="0" w:space="0" w:color="auto"/>
                      </w:divBdr>
                    </w:div>
                    <w:div w:id="808596196">
                      <w:marLeft w:val="0"/>
                      <w:marRight w:val="0"/>
                      <w:marTop w:val="0"/>
                      <w:marBottom w:val="0"/>
                      <w:divBdr>
                        <w:top w:val="none" w:sz="0" w:space="0" w:color="auto"/>
                        <w:left w:val="none" w:sz="0" w:space="0" w:color="auto"/>
                        <w:bottom w:val="none" w:sz="0" w:space="0" w:color="auto"/>
                        <w:right w:val="none" w:sz="0" w:space="0" w:color="auto"/>
                      </w:divBdr>
                      <w:divsChild>
                        <w:div w:id="938561025">
                          <w:marLeft w:val="0"/>
                          <w:marRight w:val="0"/>
                          <w:marTop w:val="0"/>
                          <w:marBottom w:val="0"/>
                          <w:divBdr>
                            <w:top w:val="none" w:sz="0" w:space="0" w:color="auto"/>
                            <w:left w:val="none" w:sz="0" w:space="0" w:color="auto"/>
                            <w:bottom w:val="none" w:sz="0" w:space="0" w:color="auto"/>
                            <w:right w:val="none" w:sz="0" w:space="0" w:color="auto"/>
                          </w:divBdr>
                        </w:div>
                        <w:div w:id="543908484">
                          <w:marLeft w:val="0"/>
                          <w:marRight w:val="0"/>
                          <w:marTop w:val="0"/>
                          <w:marBottom w:val="0"/>
                          <w:divBdr>
                            <w:top w:val="none" w:sz="0" w:space="0" w:color="auto"/>
                            <w:left w:val="none" w:sz="0" w:space="0" w:color="auto"/>
                            <w:bottom w:val="none" w:sz="0" w:space="0" w:color="auto"/>
                            <w:right w:val="none" w:sz="0" w:space="0" w:color="auto"/>
                          </w:divBdr>
                        </w:div>
                        <w:div w:id="1557663298">
                          <w:marLeft w:val="0"/>
                          <w:marRight w:val="0"/>
                          <w:marTop w:val="0"/>
                          <w:marBottom w:val="0"/>
                          <w:divBdr>
                            <w:top w:val="none" w:sz="0" w:space="0" w:color="auto"/>
                            <w:left w:val="none" w:sz="0" w:space="0" w:color="auto"/>
                            <w:bottom w:val="none" w:sz="0" w:space="0" w:color="auto"/>
                            <w:right w:val="none" w:sz="0" w:space="0" w:color="auto"/>
                          </w:divBdr>
                        </w:div>
                        <w:div w:id="1939635708">
                          <w:marLeft w:val="0"/>
                          <w:marRight w:val="0"/>
                          <w:marTop w:val="0"/>
                          <w:marBottom w:val="0"/>
                          <w:divBdr>
                            <w:top w:val="none" w:sz="0" w:space="0" w:color="auto"/>
                            <w:left w:val="none" w:sz="0" w:space="0" w:color="auto"/>
                            <w:bottom w:val="none" w:sz="0" w:space="0" w:color="auto"/>
                            <w:right w:val="none" w:sz="0" w:space="0" w:color="auto"/>
                          </w:divBdr>
                        </w:div>
                        <w:div w:id="159781835">
                          <w:marLeft w:val="0"/>
                          <w:marRight w:val="0"/>
                          <w:marTop w:val="0"/>
                          <w:marBottom w:val="0"/>
                          <w:divBdr>
                            <w:top w:val="none" w:sz="0" w:space="0" w:color="auto"/>
                            <w:left w:val="none" w:sz="0" w:space="0" w:color="auto"/>
                            <w:bottom w:val="none" w:sz="0" w:space="0" w:color="auto"/>
                            <w:right w:val="none" w:sz="0" w:space="0" w:color="auto"/>
                          </w:divBdr>
                        </w:div>
                        <w:div w:id="2142768002">
                          <w:marLeft w:val="0"/>
                          <w:marRight w:val="0"/>
                          <w:marTop w:val="0"/>
                          <w:marBottom w:val="0"/>
                          <w:divBdr>
                            <w:top w:val="none" w:sz="0" w:space="0" w:color="auto"/>
                            <w:left w:val="none" w:sz="0" w:space="0" w:color="auto"/>
                            <w:bottom w:val="none" w:sz="0" w:space="0" w:color="auto"/>
                            <w:right w:val="none" w:sz="0" w:space="0" w:color="auto"/>
                          </w:divBdr>
                        </w:div>
                        <w:div w:id="2146729390">
                          <w:marLeft w:val="0"/>
                          <w:marRight w:val="0"/>
                          <w:marTop w:val="0"/>
                          <w:marBottom w:val="0"/>
                          <w:divBdr>
                            <w:top w:val="none" w:sz="0" w:space="0" w:color="auto"/>
                            <w:left w:val="none" w:sz="0" w:space="0" w:color="auto"/>
                            <w:bottom w:val="none" w:sz="0" w:space="0" w:color="auto"/>
                            <w:right w:val="none" w:sz="0" w:space="0" w:color="auto"/>
                          </w:divBdr>
                        </w:div>
                        <w:div w:id="127019803">
                          <w:marLeft w:val="0"/>
                          <w:marRight w:val="0"/>
                          <w:marTop w:val="0"/>
                          <w:marBottom w:val="0"/>
                          <w:divBdr>
                            <w:top w:val="none" w:sz="0" w:space="0" w:color="auto"/>
                            <w:left w:val="none" w:sz="0" w:space="0" w:color="auto"/>
                            <w:bottom w:val="none" w:sz="0" w:space="0" w:color="auto"/>
                            <w:right w:val="none" w:sz="0" w:space="0" w:color="auto"/>
                          </w:divBdr>
                        </w:div>
                        <w:div w:id="1788575714">
                          <w:marLeft w:val="0"/>
                          <w:marRight w:val="0"/>
                          <w:marTop w:val="0"/>
                          <w:marBottom w:val="0"/>
                          <w:divBdr>
                            <w:top w:val="none" w:sz="0" w:space="0" w:color="auto"/>
                            <w:left w:val="none" w:sz="0" w:space="0" w:color="auto"/>
                            <w:bottom w:val="none" w:sz="0" w:space="0" w:color="auto"/>
                            <w:right w:val="none" w:sz="0" w:space="0" w:color="auto"/>
                          </w:divBdr>
                        </w:div>
                        <w:div w:id="301889906">
                          <w:marLeft w:val="0"/>
                          <w:marRight w:val="0"/>
                          <w:marTop w:val="0"/>
                          <w:marBottom w:val="0"/>
                          <w:divBdr>
                            <w:top w:val="none" w:sz="0" w:space="0" w:color="auto"/>
                            <w:left w:val="none" w:sz="0" w:space="0" w:color="auto"/>
                            <w:bottom w:val="none" w:sz="0" w:space="0" w:color="auto"/>
                            <w:right w:val="none" w:sz="0" w:space="0" w:color="auto"/>
                          </w:divBdr>
                        </w:div>
                        <w:div w:id="157621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9515515">
      <w:bodyDiv w:val="1"/>
      <w:marLeft w:val="0"/>
      <w:marRight w:val="0"/>
      <w:marTop w:val="0"/>
      <w:marBottom w:val="0"/>
      <w:divBdr>
        <w:top w:val="none" w:sz="0" w:space="0" w:color="auto"/>
        <w:left w:val="none" w:sz="0" w:space="0" w:color="auto"/>
        <w:bottom w:val="none" w:sz="0" w:space="0" w:color="auto"/>
        <w:right w:val="none" w:sz="0" w:space="0" w:color="auto"/>
      </w:divBdr>
    </w:div>
    <w:div w:id="409163382">
      <w:bodyDiv w:val="1"/>
      <w:marLeft w:val="0"/>
      <w:marRight w:val="0"/>
      <w:marTop w:val="0"/>
      <w:marBottom w:val="0"/>
      <w:divBdr>
        <w:top w:val="none" w:sz="0" w:space="0" w:color="auto"/>
        <w:left w:val="none" w:sz="0" w:space="0" w:color="auto"/>
        <w:bottom w:val="none" w:sz="0" w:space="0" w:color="auto"/>
        <w:right w:val="none" w:sz="0" w:space="0" w:color="auto"/>
      </w:divBdr>
      <w:divsChild>
        <w:div w:id="756290872">
          <w:marLeft w:val="0"/>
          <w:marRight w:val="0"/>
          <w:marTop w:val="0"/>
          <w:marBottom w:val="0"/>
          <w:divBdr>
            <w:top w:val="none" w:sz="0" w:space="0" w:color="auto"/>
            <w:left w:val="none" w:sz="0" w:space="0" w:color="auto"/>
            <w:bottom w:val="none" w:sz="0" w:space="0" w:color="auto"/>
            <w:right w:val="none" w:sz="0" w:space="0" w:color="auto"/>
          </w:divBdr>
          <w:divsChild>
            <w:div w:id="1562130741">
              <w:marLeft w:val="0"/>
              <w:marRight w:val="0"/>
              <w:marTop w:val="0"/>
              <w:marBottom w:val="0"/>
              <w:divBdr>
                <w:top w:val="none" w:sz="0" w:space="0" w:color="auto"/>
                <w:left w:val="none" w:sz="0" w:space="0" w:color="auto"/>
                <w:bottom w:val="none" w:sz="0" w:space="0" w:color="auto"/>
                <w:right w:val="none" w:sz="0" w:space="0" w:color="auto"/>
              </w:divBdr>
              <w:divsChild>
                <w:div w:id="981085046">
                  <w:marLeft w:val="0"/>
                  <w:marRight w:val="0"/>
                  <w:marTop w:val="0"/>
                  <w:marBottom w:val="0"/>
                  <w:divBdr>
                    <w:top w:val="none" w:sz="0" w:space="0" w:color="auto"/>
                    <w:left w:val="none" w:sz="0" w:space="0" w:color="auto"/>
                    <w:bottom w:val="none" w:sz="0" w:space="0" w:color="auto"/>
                    <w:right w:val="none" w:sz="0" w:space="0" w:color="auto"/>
                  </w:divBdr>
                  <w:divsChild>
                    <w:div w:id="192795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930611">
      <w:bodyDiv w:val="1"/>
      <w:marLeft w:val="0"/>
      <w:marRight w:val="0"/>
      <w:marTop w:val="0"/>
      <w:marBottom w:val="0"/>
      <w:divBdr>
        <w:top w:val="none" w:sz="0" w:space="0" w:color="auto"/>
        <w:left w:val="none" w:sz="0" w:space="0" w:color="auto"/>
        <w:bottom w:val="none" w:sz="0" w:space="0" w:color="auto"/>
        <w:right w:val="none" w:sz="0" w:space="0" w:color="auto"/>
      </w:divBdr>
    </w:div>
    <w:div w:id="598607686">
      <w:bodyDiv w:val="1"/>
      <w:marLeft w:val="0"/>
      <w:marRight w:val="0"/>
      <w:marTop w:val="0"/>
      <w:marBottom w:val="0"/>
      <w:divBdr>
        <w:top w:val="none" w:sz="0" w:space="0" w:color="auto"/>
        <w:left w:val="none" w:sz="0" w:space="0" w:color="auto"/>
        <w:bottom w:val="none" w:sz="0" w:space="0" w:color="auto"/>
        <w:right w:val="none" w:sz="0" w:space="0" w:color="auto"/>
      </w:divBdr>
    </w:div>
    <w:div w:id="618336968">
      <w:bodyDiv w:val="1"/>
      <w:marLeft w:val="0"/>
      <w:marRight w:val="0"/>
      <w:marTop w:val="0"/>
      <w:marBottom w:val="0"/>
      <w:divBdr>
        <w:top w:val="none" w:sz="0" w:space="0" w:color="auto"/>
        <w:left w:val="none" w:sz="0" w:space="0" w:color="auto"/>
        <w:bottom w:val="none" w:sz="0" w:space="0" w:color="auto"/>
        <w:right w:val="none" w:sz="0" w:space="0" w:color="auto"/>
      </w:divBdr>
      <w:divsChild>
        <w:div w:id="1220819619">
          <w:marLeft w:val="0"/>
          <w:marRight w:val="0"/>
          <w:marTop w:val="0"/>
          <w:marBottom w:val="0"/>
          <w:divBdr>
            <w:top w:val="none" w:sz="0" w:space="0" w:color="auto"/>
            <w:left w:val="none" w:sz="0" w:space="0" w:color="auto"/>
            <w:bottom w:val="none" w:sz="0" w:space="0" w:color="auto"/>
            <w:right w:val="none" w:sz="0" w:space="0" w:color="auto"/>
          </w:divBdr>
          <w:divsChild>
            <w:div w:id="198468330">
              <w:marLeft w:val="0"/>
              <w:marRight w:val="0"/>
              <w:marTop w:val="0"/>
              <w:marBottom w:val="0"/>
              <w:divBdr>
                <w:top w:val="none" w:sz="0" w:space="0" w:color="auto"/>
                <w:left w:val="none" w:sz="0" w:space="0" w:color="auto"/>
                <w:bottom w:val="none" w:sz="0" w:space="0" w:color="auto"/>
                <w:right w:val="none" w:sz="0" w:space="0" w:color="auto"/>
              </w:divBdr>
              <w:divsChild>
                <w:div w:id="429816964">
                  <w:marLeft w:val="0"/>
                  <w:marRight w:val="0"/>
                  <w:marTop w:val="0"/>
                  <w:marBottom w:val="0"/>
                  <w:divBdr>
                    <w:top w:val="none" w:sz="0" w:space="0" w:color="auto"/>
                    <w:left w:val="none" w:sz="0" w:space="0" w:color="auto"/>
                    <w:bottom w:val="none" w:sz="0" w:space="0" w:color="auto"/>
                    <w:right w:val="none" w:sz="0" w:space="0" w:color="auto"/>
                  </w:divBdr>
                  <w:divsChild>
                    <w:div w:id="179929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862823">
      <w:bodyDiv w:val="1"/>
      <w:marLeft w:val="0"/>
      <w:marRight w:val="0"/>
      <w:marTop w:val="0"/>
      <w:marBottom w:val="0"/>
      <w:divBdr>
        <w:top w:val="none" w:sz="0" w:space="0" w:color="auto"/>
        <w:left w:val="none" w:sz="0" w:space="0" w:color="auto"/>
        <w:bottom w:val="none" w:sz="0" w:space="0" w:color="auto"/>
        <w:right w:val="none" w:sz="0" w:space="0" w:color="auto"/>
      </w:divBdr>
    </w:div>
    <w:div w:id="778452479">
      <w:bodyDiv w:val="1"/>
      <w:marLeft w:val="0"/>
      <w:marRight w:val="0"/>
      <w:marTop w:val="0"/>
      <w:marBottom w:val="0"/>
      <w:divBdr>
        <w:top w:val="none" w:sz="0" w:space="0" w:color="auto"/>
        <w:left w:val="none" w:sz="0" w:space="0" w:color="auto"/>
        <w:bottom w:val="none" w:sz="0" w:space="0" w:color="auto"/>
        <w:right w:val="none" w:sz="0" w:space="0" w:color="auto"/>
      </w:divBdr>
    </w:div>
    <w:div w:id="1050612450">
      <w:bodyDiv w:val="1"/>
      <w:marLeft w:val="0"/>
      <w:marRight w:val="0"/>
      <w:marTop w:val="0"/>
      <w:marBottom w:val="0"/>
      <w:divBdr>
        <w:top w:val="none" w:sz="0" w:space="0" w:color="auto"/>
        <w:left w:val="none" w:sz="0" w:space="0" w:color="auto"/>
        <w:bottom w:val="none" w:sz="0" w:space="0" w:color="auto"/>
        <w:right w:val="none" w:sz="0" w:space="0" w:color="auto"/>
      </w:divBdr>
    </w:div>
    <w:div w:id="1159689951">
      <w:bodyDiv w:val="1"/>
      <w:marLeft w:val="0"/>
      <w:marRight w:val="0"/>
      <w:marTop w:val="0"/>
      <w:marBottom w:val="0"/>
      <w:divBdr>
        <w:top w:val="none" w:sz="0" w:space="0" w:color="auto"/>
        <w:left w:val="none" w:sz="0" w:space="0" w:color="auto"/>
        <w:bottom w:val="none" w:sz="0" w:space="0" w:color="auto"/>
        <w:right w:val="none" w:sz="0" w:space="0" w:color="auto"/>
      </w:divBdr>
    </w:div>
    <w:div w:id="1412698673">
      <w:bodyDiv w:val="1"/>
      <w:marLeft w:val="0"/>
      <w:marRight w:val="0"/>
      <w:marTop w:val="0"/>
      <w:marBottom w:val="0"/>
      <w:divBdr>
        <w:top w:val="none" w:sz="0" w:space="0" w:color="auto"/>
        <w:left w:val="none" w:sz="0" w:space="0" w:color="auto"/>
        <w:bottom w:val="none" w:sz="0" w:space="0" w:color="auto"/>
        <w:right w:val="none" w:sz="0" w:space="0" w:color="auto"/>
      </w:divBdr>
    </w:div>
    <w:div w:id="1431196666">
      <w:bodyDiv w:val="1"/>
      <w:marLeft w:val="0"/>
      <w:marRight w:val="0"/>
      <w:marTop w:val="0"/>
      <w:marBottom w:val="0"/>
      <w:divBdr>
        <w:top w:val="none" w:sz="0" w:space="0" w:color="auto"/>
        <w:left w:val="none" w:sz="0" w:space="0" w:color="auto"/>
        <w:bottom w:val="none" w:sz="0" w:space="0" w:color="auto"/>
        <w:right w:val="none" w:sz="0" w:space="0" w:color="auto"/>
      </w:divBdr>
    </w:div>
    <w:div w:id="1570266272">
      <w:bodyDiv w:val="1"/>
      <w:marLeft w:val="0"/>
      <w:marRight w:val="0"/>
      <w:marTop w:val="0"/>
      <w:marBottom w:val="0"/>
      <w:divBdr>
        <w:top w:val="none" w:sz="0" w:space="0" w:color="auto"/>
        <w:left w:val="none" w:sz="0" w:space="0" w:color="auto"/>
        <w:bottom w:val="none" w:sz="0" w:space="0" w:color="auto"/>
        <w:right w:val="none" w:sz="0" w:space="0" w:color="auto"/>
      </w:divBdr>
    </w:div>
    <w:div w:id="1621178570">
      <w:bodyDiv w:val="1"/>
      <w:marLeft w:val="0"/>
      <w:marRight w:val="0"/>
      <w:marTop w:val="0"/>
      <w:marBottom w:val="0"/>
      <w:divBdr>
        <w:top w:val="none" w:sz="0" w:space="0" w:color="auto"/>
        <w:left w:val="none" w:sz="0" w:space="0" w:color="auto"/>
        <w:bottom w:val="none" w:sz="0" w:space="0" w:color="auto"/>
        <w:right w:val="none" w:sz="0" w:space="0" w:color="auto"/>
      </w:divBdr>
      <w:divsChild>
        <w:div w:id="621033979">
          <w:marLeft w:val="0"/>
          <w:marRight w:val="0"/>
          <w:marTop w:val="0"/>
          <w:marBottom w:val="0"/>
          <w:divBdr>
            <w:top w:val="none" w:sz="0" w:space="0" w:color="auto"/>
            <w:left w:val="none" w:sz="0" w:space="0" w:color="auto"/>
            <w:bottom w:val="none" w:sz="0" w:space="0" w:color="auto"/>
            <w:right w:val="none" w:sz="0" w:space="0" w:color="auto"/>
          </w:divBdr>
          <w:divsChild>
            <w:div w:id="17125669">
              <w:marLeft w:val="0"/>
              <w:marRight w:val="0"/>
              <w:marTop w:val="0"/>
              <w:marBottom w:val="0"/>
              <w:divBdr>
                <w:top w:val="none" w:sz="0" w:space="0" w:color="auto"/>
                <w:left w:val="none" w:sz="0" w:space="0" w:color="auto"/>
                <w:bottom w:val="none" w:sz="0" w:space="0" w:color="auto"/>
                <w:right w:val="none" w:sz="0" w:space="0" w:color="auto"/>
              </w:divBdr>
              <w:divsChild>
                <w:div w:id="148525866">
                  <w:marLeft w:val="0"/>
                  <w:marRight w:val="0"/>
                  <w:marTop w:val="0"/>
                  <w:marBottom w:val="0"/>
                  <w:divBdr>
                    <w:top w:val="none" w:sz="0" w:space="0" w:color="auto"/>
                    <w:left w:val="none" w:sz="0" w:space="0" w:color="auto"/>
                    <w:bottom w:val="none" w:sz="0" w:space="0" w:color="auto"/>
                    <w:right w:val="none" w:sz="0" w:space="0" w:color="auto"/>
                  </w:divBdr>
                  <w:divsChild>
                    <w:div w:id="1476606417">
                      <w:marLeft w:val="0"/>
                      <w:marRight w:val="0"/>
                      <w:marTop w:val="0"/>
                      <w:marBottom w:val="0"/>
                      <w:divBdr>
                        <w:top w:val="none" w:sz="0" w:space="0" w:color="auto"/>
                        <w:left w:val="none" w:sz="0" w:space="0" w:color="auto"/>
                        <w:bottom w:val="none" w:sz="0" w:space="0" w:color="auto"/>
                        <w:right w:val="none" w:sz="0" w:space="0" w:color="auto"/>
                      </w:divBdr>
                    </w:div>
                    <w:div w:id="236524188">
                      <w:marLeft w:val="0"/>
                      <w:marRight w:val="0"/>
                      <w:marTop w:val="0"/>
                      <w:marBottom w:val="0"/>
                      <w:divBdr>
                        <w:top w:val="none" w:sz="0" w:space="0" w:color="auto"/>
                        <w:left w:val="none" w:sz="0" w:space="0" w:color="auto"/>
                        <w:bottom w:val="none" w:sz="0" w:space="0" w:color="auto"/>
                        <w:right w:val="none" w:sz="0" w:space="0" w:color="auto"/>
                      </w:divBdr>
                      <w:divsChild>
                        <w:div w:id="958024165">
                          <w:marLeft w:val="0"/>
                          <w:marRight w:val="0"/>
                          <w:marTop w:val="0"/>
                          <w:marBottom w:val="0"/>
                          <w:divBdr>
                            <w:top w:val="none" w:sz="0" w:space="0" w:color="auto"/>
                            <w:left w:val="none" w:sz="0" w:space="0" w:color="auto"/>
                            <w:bottom w:val="none" w:sz="0" w:space="0" w:color="auto"/>
                            <w:right w:val="none" w:sz="0" w:space="0" w:color="auto"/>
                          </w:divBdr>
                        </w:div>
                        <w:div w:id="620575962">
                          <w:marLeft w:val="0"/>
                          <w:marRight w:val="0"/>
                          <w:marTop w:val="0"/>
                          <w:marBottom w:val="0"/>
                          <w:divBdr>
                            <w:top w:val="none" w:sz="0" w:space="0" w:color="auto"/>
                            <w:left w:val="none" w:sz="0" w:space="0" w:color="auto"/>
                            <w:bottom w:val="none" w:sz="0" w:space="0" w:color="auto"/>
                            <w:right w:val="none" w:sz="0" w:space="0" w:color="auto"/>
                          </w:divBdr>
                        </w:div>
                        <w:div w:id="42800131">
                          <w:marLeft w:val="0"/>
                          <w:marRight w:val="0"/>
                          <w:marTop w:val="0"/>
                          <w:marBottom w:val="0"/>
                          <w:divBdr>
                            <w:top w:val="none" w:sz="0" w:space="0" w:color="auto"/>
                            <w:left w:val="none" w:sz="0" w:space="0" w:color="auto"/>
                            <w:bottom w:val="none" w:sz="0" w:space="0" w:color="auto"/>
                            <w:right w:val="none" w:sz="0" w:space="0" w:color="auto"/>
                          </w:divBdr>
                        </w:div>
                        <w:div w:id="682974384">
                          <w:marLeft w:val="0"/>
                          <w:marRight w:val="0"/>
                          <w:marTop w:val="0"/>
                          <w:marBottom w:val="0"/>
                          <w:divBdr>
                            <w:top w:val="none" w:sz="0" w:space="0" w:color="auto"/>
                            <w:left w:val="none" w:sz="0" w:space="0" w:color="auto"/>
                            <w:bottom w:val="none" w:sz="0" w:space="0" w:color="auto"/>
                            <w:right w:val="none" w:sz="0" w:space="0" w:color="auto"/>
                          </w:divBdr>
                        </w:div>
                        <w:div w:id="1614827494">
                          <w:marLeft w:val="0"/>
                          <w:marRight w:val="0"/>
                          <w:marTop w:val="0"/>
                          <w:marBottom w:val="0"/>
                          <w:divBdr>
                            <w:top w:val="none" w:sz="0" w:space="0" w:color="auto"/>
                            <w:left w:val="none" w:sz="0" w:space="0" w:color="auto"/>
                            <w:bottom w:val="none" w:sz="0" w:space="0" w:color="auto"/>
                            <w:right w:val="none" w:sz="0" w:space="0" w:color="auto"/>
                          </w:divBdr>
                        </w:div>
                        <w:div w:id="372852320">
                          <w:marLeft w:val="0"/>
                          <w:marRight w:val="0"/>
                          <w:marTop w:val="0"/>
                          <w:marBottom w:val="0"/>
                          <w:divBdr>
                            <w:top w:val="none" w:sz="0" w:space="0" w:color="auto"/>
                            <w:left w:val="none" w:sz="0" w:space="0" w:color="auto"/>
                            <w:bottom w:val="none" w:sz="0" w:space="0" w:color="auto"/>
                            <w:right w:val="none" w:sz="0" w:space="0" w:color="auto"/>
                          </w:divBdr>
                        </w:div>
                        <w:div w:id="1933856332">
                          <w:marLeft w:val="0"/>
                          <w:marRight w:val="0"/>
                          <w:marTop w:val="0"/>
                          <w:marBottom w:val="0"/>
                          <w:divBdr>
                            <w:top w:val="none" w:sz="0" w:space="0" w:color="auto"/>
                            <w:left w:val="none" w:sz="0" w:space="0" w:color="auto"/>
                            <w:bottom w:val="none" w:sz="0" w:space="0" w:color="auto"/>
                            <w:right w:val="none" w:sz="0" w:space="0" w:color="auto"/>
                          </w:divBdr>
                        </w:div>
                        <w:div w:id="2019119126">
                          <w:marLeft w:val="0"/>
                          <w:marRight w:val="0"/>
                          <w:marTop w:val="0"/>
                          <w:marBottom w:val="0"/>
                          <w:divBdr>
                            <w:top w:val="none" w:sz="0" w:space="0" w:color="auto"/>
                            <w:left w:val="none" w:sz="0" w:space="0" w:color="auto"/>
                            <w:bottom w:val="none" w:sz="0" w:space="0" w:color="auto"/>
                            <w:right w:val="none" w:sz="0" w:space="0" w:color="auto"/>
                          </w:divBdr>
                        </w:div>
                        <w:div w:id="475881970">
                          <w:marLeft w:val="0"/>
                          <w:marRight w:val="0"/>
                          <w:marTop w:val="0"/>
                          <w:marBottom w:val="0"/>
                          <w:divBdr>
                            <w:top w:val="none" w:sz="0" w:space="0" w:color="auto"/>
                            <w:left w:val="none" w:sz="0" w:space="0" w:color="auto"/>
                            <w:bottom w:val="none" w:sz="0" w:space="0" w:color="auto"/>
                            <w:right w:val="none" w:sz="0" w:space="0" w:color="auto"/>
                          </w:divBdr>
                        </w:div>
                        <w:div w:id="596326676">
                          <w:marLeft w:val="0"/>
                          <w:marRight w:val="0"/>
                          <w:marTop w:val="0"/>
                          <w:marBottom w:val="0"/>
                          <w:divBdr>
                            <w:top w:val="none" w:sz="0" w:space="0" w:color="auto"/>
                            <w:left w:val="none" w:sz="0" w:space="0" w:color="auto"/>
                            <w:bottom w:val="none" w:sz="0" w:space="0" w:color="auto"/>
                            <w:right w:val="none" w:sz="0" w:space="0" w:color="auto"/>
                          </w:divBdr>
                        </w:div>
                        <w:div w:id="69102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3337222">
      <w:bodyDiv w:val="1"/>
      <w:marLeft w:val="0"/>
      <w:marRight w:val="0"/>
      <w:marTop w:val="0"/>
      <w:marBottom w:val="0"/>
      <w:divBdr>
        <w:top w:val="none" w:sz="0" w:space="0" w:color="auto"/>
        <w:left w:val="none" w:sz="0" w:space="0" w:color="auto"/>
        <w:bottom w:val="none" w:sz="0" w:space="0" w:color="auto"/>
        <w:right w:val="none" w:sz="0" w:space="0" w:color="auto"/>
      </w:divBdr>
    </w:div>
    <w:div w:id="1719280338">
      <w:bodyDiv w:val="1"/>
      <w:marLeft w:val="0"/>
      <w:marRight w:val="0"/>
      <w:marTop w:val="0"/>
      <w:marBottom w:val="0"/>
      <w:divBdr>
        <w:top w:val="none" w:sz="0" w:space="0" w:color="auto"/>
        <w:left w:val="none" w:sz="0" w:space="0" w:color="auto"/>
        <w:bottom w:val="none" w:sz="0" w:space="0" w:color="auto"/>
        <w:right w:val="none" w:sz="0" w:space="0" w:color="auto"/>
      </w:divBdr>
    </w:div>
    <w:div w:id="1896970649">
      <w:bodyDiv w:val="1"/>
      <w:marLeft w:val="0"/>
      <w:marRight w:val="0"/>
      <w:marTop w:val="0"/>
      <w:marBottom w:val="0"/>
      <w:divBdr>
        <w:top w:val="none" w:sz="0" w:space="0" w:color="auto"/>
        <w:left w:val="none" w:sz="0" w:space="0" w:color="auto"/>
        <w:bottom w:val="none" w:sz="0" w:space="0" w:color="auto"/>
        <w:right w:val="none" w:sz="0" w:space="0" w:color="auto"/>
      </w:divBdr>
    </w:div>
    <w:div w:id="1972902831">
      <w:bodyDiv w:val="1"/>
      <w:marLeft w:val="0"/>
      <w:marRight w:val="0"/>
      <w:marTop w:val="0"/>
      <w:marBottom w:val="0"/>
      <w:divBdr>
        <w:top w:val="none" w:sz="0" w:space="0" w:color="auto"/>
        <w:left w:val="none" w:sz="0" w:space="0" w:color="auto"/>
        <w:bottom w:val="none" w:sz="0" w:space="0" w:color="auto"/>
        <w:right w:val="none" w:sz="0" w:space="0" w:color="auto"/>
      </w:divBdr>
      <w:divsChild>
        <w:div w:id="30612188">
          <w:marLeft w:val="0"/>
          <w:marRight w:val="0"/>
          <w:marTop w:val="0"/>
          <w:marBottom w:val="0"/>
          <w:divBdr>
            <w:top w:val="none" w:sz="0" w:space="0" w:color="auto"/>
            <w:left w:val="none" w:sz="0" w:space="0" w:color="auto"/>
            <w:bottom w:val="none" w:sz="0" w:space="0" w:color="auto"/>
            <w:right w:val="none" w:sz="0" w:space="0" w:color="auto"/>
          </w:divBdr>
          <w:divsChild>
            <w:div w:id="1972054829">
              <w:marLeft w:val="0"/>
              <w:marRight w:val="0"/>
              <w:marTop w:val="0"/>
              <w:marBottom w:val="0"/>
              <w:divBdr>
                <w:top w:val="none" w:sz="0" w:space="0" w:color="auto"/>
                <w:left w:val="none" w:sz="0" w:space="0" w:color="auto"/>
                <w:bottom w:val="none" w:sz="0" w:space="0" w:color="auto"/>
                <w:right w:val="none" w:sz="0" w:space="0" w:color="auto"/>
              </w:divBdr>
              <w:divsChild>
                <w:div w:id="26608927">
                  <w:marLeft w:val="0"/>
                  <w:marRight w:val="0"/>
                  <w:marTop w:val="0"/>
                  <w:marBottom w:val="0"/>
                  <w:divBdr>
                    <w:top w:val="none" w:sz="0" w:space="0" w:color="auto"/>
                    <w:left w:val="none" w:sz="0" w:space="0" w:color="auto"/>
                    <w:bottom w:val="none" w:sz="0" w:space="0" w:color="auto"/>
                    <w:right w:val="none" w:sz="0" w:space="0" w:color="auto"/>
                  </w:divBdr>
                  <w:divsChild>
                    <w:div w:id="44041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488504">
      <w:bodyDiv w:val="1"/>
      <w:marLeft w:val="0"/>
      <w:marRight w:val="0"/>
      <w:marTop w:val="0"/>
      <w:marBottom w:val="0"/>
      <w:divBdr>
        <w:top w:val="none" w:sz="0" w:space="0" w:color="auto"/>
        <w:left w:val="none" w:sz="0" w:space="0" w:color="auto"/>
        <w:bottom w:val="none" w:sz="0" w:space="0" w:color="auto"/>
        <w:right w:val="none" w:sz="0" w:space="0" w:color="auto"/>
      </w:divBdr>
      <w:divsChild>
        <w:div w:id="1418550425">
          <w:marLeft w:val="0"/>
          <w:marRight w:val="0"/>
          <w:marTop w:val="0"/>
          <w:marBottom w:val="0"/>
          <w:divBdr>
            <w:top w:val="none" w:sz="0" w:space="0" w:color="auto"/>
            <w:left w:val="none" w:sz="0" w:space="0" w:color="auto"/>
            <w:bottom w:val="none" w:sz="0" w:space="0" w:color="auto"/>
            <w:right w:val="none" w:sz="0" w:space="0" w:color="auto"/>
          </w:divBdr>
          <w:divsChild>
            <w:div w:id="556473211">
              <w:marLeft w:val="0"/>
              <w:marRight w:val="0"/>
              <w:marTop w:val="0"/>
              <w:marBottom w:val="0"/>
              <w:divBdr>
                <w:top w:val="none" w:sz="0" w:space="0" w:color="auto"/>
                <w:left w:val="none" w:sz="0" w:space="0" w:color="auto"/>
                <w:bottom w:val="none" w:sz="0" w:space="0" w:color="auto"/>
                <w:right w:val="none" w:sz="0" w:space="0" w:color="auto"/>
              </w:divBdr>
              <w:divsChild>
                <w:div w:id="917441231">
                  <w:marLeft w:val="0"/>
                  <w:marRight w:val="0"/>
                  <w:marTop w:val="0"/>
                  <w:marBottom w:val="0"/>
                  <w:divBdr>
                    <w:top w:val="none" w:sz="0" w:space="0" w:color="auto"/>
                    <w:left w:val="none" w:sz="0" w:space="0" w:color="auto"/>
                    <w:bottom w:val="none" w:sz="0" w:space="0" w:color="auto"/>
                    <w:right w:val="none" w:sz="0" w:space="0" w:color="auto"/>
                  </w:divBdr>
                  <w:divsChild>
                    <w:div w:id="125589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26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7602</TotalTime>
  <Pages>14</Pages>
  <Words>5591</Words>
  <Characters>31875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Rahman,Hafizur swp8647</dc:creator>
  <cp:keywords/>
  <dc:description/>
  <cp:lastModifiedBy>Rahman,Hafizur swp8647</cp:lastModifiedBy>
  <cp:revision>612</cp:revision>
  <dcterms:created xsi:type="dcterms:W3CDTF">2024-11-14T12:30:00Z</dcterms:created>
  <dcterms:modified xsi:type="dcterms:W3CDTF">2024-11-25T22:32:00Z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2024-11-14T14:18:25Z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f3b9c1f9-9c9b-4792-9f61-b51a76393e02</vt:lpwstr>
  </property>
  <property fmtid="{D5CDD505-2E9C-101B-9397-08002B2CF9AE}" pid="8" name="MSIP_Label_66cf8fe5-b7b7-4df7-b38d-1c61ac2f6639_ContentBits">
    <vt:lpwstr>0</vt:lpwstr>
  </property>
</Properties>
</file>